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C11" w:rsidRDefault="00095293" w:rsidP="003911CA">
      <w:pPr>
        <w:spacing w:after="120" w:line="240" w:lineRule="auto"/>
        <w:jc w:val="center"/>
        <w:rPr>
          <w:rFonts w:ascii="Freestyle Script" w:hAnsi="Freestyle Script" w:cs="Arial"/>
          <w:sz w:val="56"/>
          <w:szCs w:val="56"/>
        </w:rPr>
      </w:pPr>
      <w:r>
        <w:rPr>
          <w:rFonts w:ascii="Freestyle Script" w:hAnsi="Freestyle Script" w:cs="Arial"/>
          <w:sz w:val="56"/>
          <w:szCs w:val="56"/>
        </w:rPr>
        <w:t xml:space="preserve">Traitement par iode 131 des cancers </w:t>
      </w:r>
      <w:r w:rsidR="00206504">
        <w:rPr>
          <w:rFonts w:ascii="Freestyle Script" w:hAnsi="Freestyle Script" w:cs="Arial"/>
          <w:sz w:val="56"/>
          <w:szCs w:val="56"/>
        </w:rPr>
        <w:t>thyroïdiens</w:t>
      </w:r>
    </w:p>
    <w:p w:rsidR="009F0C11" w:rsidRDefault="00956601" w:rsidP="00DD7024">
      <w:pPr>
        <w:pStyle w:val="Titre1"/>
        <w:numPr>
          <w:ilvl w:val="0"/>
          <w:numId w:val="2"/>
        </w:numPr>
        <w:spacing w:after="0"/>
        <w:ind w:left="714" w:hanging="357"/>
        <w:rPr>
          <w:color w:val="ED7D31" w:themeColor="accent2"/>
          <w:sz w:val="28"/>
          <w:szCs w:val="28"/>
        </w:rPr>
      </w:pPr>
      <w:r w:rsidRPr="00DD7024">
        <w:rPr>
          <w:color w:val="ED7D31" w:themeColor="accent2"/>
          <w:sz w:val="28"/>
          <w:szCs w:val="28"/>
        </w:rPr>
        <w:t>Principe</w:t>
      </w:r>
      <w:r w:rsidR="00D75CD5" w:rsidRPr="00DD7024">
        <w:rPr>
          <w:color w:val="ED7D31" w:themeColor="accent2"/>
          <w:sz w:val="28"/>
          <w:szCs w:val="28"/>
        </w:rPr>
        <w:t xml:space="preserve"> et définition</w:t>
      </w:r>
    </w:p>
    <w:p w:rsidR="00095293" w:rsidRPr="00761618" w:rsidRDefault="00095293" w:rsidP="00761618">
      <w:pPr>
        <w:spacing w:after="0" w:line="240" w:lineRule="auto"/>
        <w:rPr>
          <w:color w:val="000000"/>
          <w:sz w:val="20"/>
          <w:szCs w:val="20"/>
        </w:rPr>
      </w:pPr>
      <w:r w:rsidRPr="00095293">
        <w:rPr>
          <w:color w:val="000000"/>
          <w:sz w:val="20"/>
          <w:szCs w:val="20"/>
        </w:rPr>
        <w:t xml:space="preserve">Le </w:t>
      </w:r>
      <w:r w:rsidRPr="00761618">
        <w:rPr>
          <w:color w:val="000000"/>
          <w:sz w:val="20"/>
          <w:szCs w:val="20"/>
        </w:rPr>
        <w:t xml:space="preserve">traitement des cancers thyroïdiens différenciés non médullaires repose sur le </w:t>
      </w:r>
      <w:r w:rsidRPr="00761618">
        <w:rPr>
          <w:b/>
          <w:bCs/>
          <w:color w:val="000000"/>
          <w:sz w:val="20"/>
          <w:szCs w:val="20"/>
        </w:rPr>
        <w:t>trépied</w:t>
      </w:r>
      <w:r w:rsidRPr="00761618">
        <w:rPr>
          <w:color w:val="000000"/>
          <w:sz w:val="20"/>
          <w:szCs w:val="20"/>
        </w:rPr>
        <w:t xml:space="preserve"> </w:t>
      </w:r>
      <w:r w:rsidRPr="00761618">
        <w:rPr>
          <w:b/>
          <w:bCs/>
          <w:color w:val="000000"/>
          <w:sz w:val="20"/>
          <w:szCs w:val="20"/>
        </w:rPr>
        <w:t xml:space="preserve">suivant </w:t>
      </w:r>
      <w:r w:rsidRPr="00761618">
        <w:rPr>
          <w:color w:val="000000"/>
          <w:sz w:val="20"/>
          <w:szCs w:val="20"/>
        </w:rPr>
        <w:t>:</w:t>
      </w:r>
    </w:p>
    <w:p w:rsidR="00095293" w:rsidRPr="003A50E4" w:rsidRDefault="00095293" w:rsidP="00761618">
      <w:pPr>
        <w:pStyle w:val="Paragraphedeliste"/>
        <w:numPr>
          <w:ilvl w:val="0"/>
          <w:numId w:val="28"/>
        </w:numPr>
        <w:spacing w:after="0" w:line="240" w:lineRule="auto"/>
        <w:rPr>
          <w:sz w:val="20"/>
          <w:szCs w:val="20"/>
        </w:rPr>
      </w:pPr>
      <w:r w:rsidRPr="003A50E4">
        <w:rPr>
          <w:sz w:val="20"/>
          <w:szCs w:val="20"/>
        </w:rPr>
        <w:t>Thyroïdectomie chirurgicale totale et exérèse des chaînes ganglionnaires</w:t>
      </w:r>
    </w:p>
    <w:p w:rsidR="00095293" w:rsidRPr="003A50E4" w:rsidRDefault="00095293" w:rsidP="00761618">
      <w:pPr>
        <w:pStyle w:val="Paragraphedeliste"/>
        <w:numPr>
          <w:ilvl w:val="0"/>
          <w:numId w:val="28"/>
        </w:numPr>
        <w:spacing w:after="0" w:line="240" w:lineRule="auto"/>
        <w:rPr>
          <w:sz w:val="20"/>
          <w:szCs w:val="20"/>
        </w:rPr>
      </w:pPr>
      <w:r w:rsidRPr="003A50E4">
        <w:rPr>
          <w:sz w:val="20"/>
          <w:szCs w:val="20"/>
        </w:rPr>
        <w:t xml:space="preserve">Traitement par iode 131, administré 4 à 6 semaines </w:t>
      </w:r>
      <w:r w:rsidR="00761618" w:rsidRPr="003A50E4">
        <w:rPr>
          <w:sz w:val="20"/>
          <w:szCs w:val="20"/>
        </w:rPr>
        <w:t>après</w:t>
      </w:r>
      <w:r w:rsidRPr="003A50E4">
        <w:rPr>
          <w:sz w:val="20"/>
          <w:szCs w:val="20"/>
        </w:rPr>
        <w:t xml:space="preserve"> la </w:t>
      </w:r>
      <w:r w:rsidR="00761618" w:rsidRPr="003A50E4">
        <w:rPr>
          <w:sz w:val="20"/>
          <w:szCs w:val="20"/>
        </w:rPr>
        <w:t>thyroïdectomie</w:t>
      </w:r>
      <w:r w:rsidRPr="003A50E4">
        <w:rPr>
          <w:sz w:val="20"/>
          <w:szCs w:val="20"/>
        </w:rPr>
        <w:t xml:space="preserve">, pour détruire le tissu </w:t>
      </w:r>
      <w:r w:rsidR="00761618" w:rsidRPr="003A50E4">
        <w:rPr>
          <w:sz w:val="20"/>
          <w:szCs w:val="20"/>
        </w:rPr>
        <w:t>thyroïdien</w:t>
      </w:r>
      <w:r w:rsidRPr="003A50E4">
        <w:rPr>
          <w:sz w:val="20"/>
          <w:szCs w:val="20"/>
        </w:rPr>
        <w:t xml:space="preserve"> restant ainsi que d’éventuelles </w:t>
      </w:r>
      <w:r w:rsidR="00206504" w:rsidRPr="003A50E4">
        <w:rPr>
          <w:sz w:val="20"/>
          <w:szCs w:val="20"/>
        </w:rPr>
        <w:t>micro-métastases</w:t>
      </w:r>
      <w:r w:rsidR="00761618" w:rsidRPr="003A50E4">
        <w:rPr>
          <w:sz w:val="20"/>
          <w:szCs w:val="20"/>
        </w:rPr>
        <w:t xml:space="preserve"> et faciliter la détection ultérieure de rechutes.</w:t>
      </w:r>
    </w:p>
    <w:p w:rsidR="00761618" w:rsidRPr="003A50E4" w:rsidRDefault="00761618" w:rsidP="00761618">
      <w:pPr>
        <w:pStyle w:val="Paragraphedeliste"/>
        <w:numPr>
          <w:ilvl w:val="0"/>
          <w:numId w:val="28"/>
        </w:numPr>
        <w:spacing w:after="0" w:line="240" w:lineRule="auto"/>
        <w:rPr>
          <w:sz w:val="20"/>
          <w:szCs w:val="20"/>
        </w:rPr>
      </w:pPr>
      <w:r w:rsidRPr="003A50E4">
        <w:rPr>
          <w:sz w:val="20"/>
          <w:szCs w:val="20"/>
        </w:rPr>
        <w:t>Traitement par hormone thyroïdienne visant à corriger l’hypothyroïdie.</w:t>
      </w:r>
    </w:p>
    <w:p w:rsidR="00DD7024" w:rsidRDefault="00DD7024" w:rsidP="00490828">
      <w:pPr>
        <w:pStyle w:val="Titre1"/>
        <w:numPr>
          <w:ilvl w:val="0"/>
          <w:numId w:val="2"/>
        </w:numPr>
        <w:spacing w:after="0"/>
        <w:ind w:left="714" w:hanging="357"/>
        <w:rPr>
          <w:color w:val="ED7D31" w:themeColor="accent2"/>
          <w:sz w:val="28"/>
          <w:szCs w:val="28"/>
        </w:rPr>
      </w:pPr>
      <w:r>
        <w:rPr>
          <w:color w:val="ED7D31" w:themeColor="accent2"/>
          <w:sz w:val="28"/>
          <w:szCs w:val="28"/>
        </w:rPr>
        <w:t>I</w:t>
      </w:r>
      <w:r w:rsidR="00D75CD5" w:rsidRPr="00DD7024">
        <w:rPr>
          <w:color w:val="ED7D31" w:themeColor="accent2"/>
          <w:sz w:val="28"/>
          <w:szCs w:val="28"/>
        </w:rPr>
        <w:t>ndications</w:t>
      </w:r>
      <w:r>
        <w:rPr>
          <w:color w:val="ED7D31" w:themeColor="accent2"/>
          <w:sz w:val="28"/>
          <w:szCs w:val="28"/>
        </w:rPr>
        <w:t xml:space="preserve"> et contre-indications</w:t>
      </w:r>
    </w:p>
    <w:p w:rsidR="00D75CD5" w:rsidRPr="00B34EE6" w:rsidRDefault="00DD7024" w:rsidP="00490828">
      <w:pPr>
        <w:pStyle w:val="Titre1"/>
        <w:spacing w:before="0" w:after="0"/>
        <w:rPr>
          <w:rFonts w:asciiTheme="minorHAnsi" w:hAnsiTheme="minorHAnsi"/>
          <w:color w:val="auto"/>
          <w:sz w:val="22"/>
          <w:szCs w:val="22"/>
        </w:rPr>
      </w:pPr>
      <w:r w:rsidRPr="00B34EE6">
        <w:rPr>
          <w:rFonts w:asciiTheme="minorHAnsi" w:hAnsiTheme="minorHAnsi"/>
          <w:color w:val="auto"/>
          <w:sz w:val="22"/>
          <w:szCs w:val="22"/>
        </w:rPr>
        <w:t>Indication :</w:t>
      </w:r>
      <w:r w:rsidR="00D75CD5" w:rsidRPr="00B34EE6">
        <w:rPr>
          <w:rFonts w:asciiTheme="minorHAnsi" w:hAnsiTheme="minorHAnsi"/>
          <w:color w:val="auto"/>
          <w:sz w:val="22"/>
          <w:szCs w:val="22"/>
        </w:rPr>
        <w:t> </w:t>
      </w:r>
    </w:p>
    <w:p w:rsidR="00761618" w:rsidRPr="00F52BDA" w:rsidRDefault="00761618" w:rsidP="00F52BDA">
      <w:pPr>
        <w:pStyle w:val="Paragraphedeliste"/>
        <w:numPr>
          <w:ilvl w:val="0"/>
          <w:numId w:val="29"/>
        </w:numPr>
        <w:spacing w:after="0" w:line="240" w:lineRule="auto"/>
        <w:ind w:left="714" w:hanging="357"/>
        <w:rPr>
          <w:sz w:val="20"/>
          <w:szCs w:val="20"/>
        </w:rPr>
      </w:pPr>
      <w:r w:rsidRPr="00F52BDA">
        <w:rPr>
          <w:sz w:val="20"/>
          <w:szCs w:val="20"/>
        </w:rPr>
        <w:t>Destruction post-opératoire des reliquats thyroïdiens ;</w:t>
      </w:r>
    </w:p>
    <w:p w:rsidR="00761618" w:rsidRPr="00F52BDA" w:rsidRDefault="00761618" w:rsidP="00761618">
      <w:pPr>
        <w:pStyle w:val="Paragraphedeliste"/>
        <w:numPr>
          <w:ilvl w:val="0"/>
          <w:numId w:val="29"/>
        </w:numPr>
        <w:rPr>
          <w:sz w:val="20"/>
          <w:szCs w:val="20"/>
        </w:rPr>
      </w:pPr>
      <w:r w:rsidRPr="00F52BDA">
        <w:rPr>
          <w:sz w:val="20"/>
          <w:szCs w:val="20"/>
        </w:rPr>
        <w:t xml:space="preserve">Traitement du cancer résiduel et de ses métastases après une </w:t>
      </w:r>
      <w:r w:rsidR="00206504" w:rsidRPr="00F52BDA">
        <w:rPr>
          <w:sz w:val="20"/>
          <w:szCs w:val="20"/>
        </w:rPr>
        <w:t>thyroïdectomie</w:t>
      </w:r>
      <w:r w:rsidRPr="00F52BDA">
        <w:rPr>
          <w:sz w:val="20"/>
          <w:szCs w:val="20"/>
        </w:rPr>
        <w:t xml:space="preserve"> chirurgicale totale ou partielle ;</w:t>
      </w:r>
    </w:p>
    <w:p w:rsidR="00DD7024" w:rsidRPr="00F52BDA" w:rsidRDefault="00DD7024" w:rsidP="00DD7024">
      <w:pPr>
        <w:spacing w:after="0" w:line="240" w:lineRule="auto"/>
        <w:rPr>
          <w:b/>
          <w:sz w:val="20"/>
          <w:szCs w:val="20"/>
        </w:rPr>
      </w:pPr>
      <w:r w:rsidRPr="00B34EE6">
        <w:rPr>
          <w:b/>
        </w:rPr>
        <w:t xml:space="preserve">Contre-indication : </w:t>
      </w:r>
      <w:r w:rsidRPr="00F52BDA">
        <w:rPr>
          <w:sz w:val="20"/>
          <w:szCs w:val="20"/>
        </w:rPr>
        <w:t>Grossesse</w:t>
      </w:r>
      <w:r w:rsidR="00761618" w:rsidRPr="00F52BDA">
        <w:rPr>
          <w:sz w:val="20"/>
          <w:szCs w:val="20"/>
        </w:rPr>
        <w:t xml:space="preserve"> et allaitement</w:t>
      </w:r>
    </w:p>
    <w:p w:rsidR="009F0C11" w:rsidRPr="00DD7024" w:rsidRDefault="0047540C" w:rsidP="00DD7024">
      <w:pPr>
        <w:pStyle w:val="Titre1"/>
        <w:numPr>
          <w:ilvl w:val="0"/>
          <w:numId w:val="2"/>
        </w:numPr>
        <w:spacing w:after="0"/>
        <w:rPr>
          <w:color w:val="ED7D31" w:themeColor="accent2"/>
          <w:sz w:val="28"/>
          <w:szCs w:val="28"/>
        </w:rPr>
      </w:pPr>
      <w:proofErr w:type="spellStart"/>
      <w:r w:rsidRPr="00DD7024">
        <w:rPr>
          <w:color w:val="ED7D31" w:themeColor="accent2"/>
          <w:sz w:val="28"/>
          <w:szCs w:val="28"/>
        </w:rPr>
        <w:t>Radiopharmaceutiques</w:t>
      </w:r>
      <w:proofErr w:type="spellEnd"/>
    </w:p>
    <w:p w:rsidR="0047540C" w:rsidRPr="00B34EE6" w:rsidRDefault="0047540C" w:rsidP="00C759BC">
      <w:pPr>
        <w:spacing w:after="0" w:line="240" w:lineRule="auto"/>
        <w:rPr>
          <w:b/>
        </w:rPr>
      </w:pPr>
      <w:r w:rsidRPr="00B34EE6">
        <w:rPr>
          <w:b/>
        </w:rPr>
        <w:t>Caractéristiques physique</w:t>
      </w:r>
      <w:r w:rsidR="00DC459F" w:rsidRPr="00B34EE6">
        <w:rPr>
          <w:b/>
        </w:rPr>
        <w:t>s</w:t>
      </w:r>
      <w:r w:rsidRPr="00B34EE6">
        <w:rPr>
          <w:b/>
        </w:rPr>
        <w:t xml:space="preserve"> : </w:t>
      </w:r>
    </w:p>
    <w:tbl>
      <w:tblPr>
        <w:tblStyle w:val="TableauGrille5Fonc-Accentuation2"/>
        <w:tblW w:w="10627" w:type="dxa"/>
        <w:tblLook w:val="04A0" w:firstRow="1" w:lastRow="0" w:firstColumn="1" w:lastColumn="0" w:noHBand="0" w:noVBand="1"/>
      </w:tblPr>
      <w:tblGrid>
        <w:gridCol w:w="1397"/>
        <w:gridCol w:w="2709"/>
        <w:gridCol w:w="2126"/>
        <w:gridCol w:w="993"/>
        <w:gridCol w:w="1843"/>
        <w:gridCol w:w="1559"/>
      </w:tblGrid>
      <w:tr w:rsidR="00711D35" w:rsidTr="00490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54F9E" w:rsidRPr="002C4901" w:rsidRDefault="00354F9E" w:rsidP="00C759BC">
            <w:pPr>
              <w:jc w:val="center"/>
              <w:rPr>
                <w:sz w:val="20"/>
                <w:szCs w:val="20"/>
              </w:rPr>
            </w:pPr>
            <w:r w:rsidRPr="002C4901">
              <w:rPr>
                <w:sz w:val="20"/>
                <w:szCs w:val="20"/>
              </w:rPr>
              <w:t>Radionucléide</w:t>
            </w:r>
          </w:p>
        </w:tc>
        <w:tc>
          <w:tcPr>
            <w:tcW w:w="2709" w:type="dxa"/>
            <w:vAlign w:val="center"/>
          </w:tcPr>
          <w:p w:rsidR="00354F9E" w:rsidRPr="002C4901" w:rsidRDefault="00490828"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Production</w:t>
            </w:r>
          </w:p>
        </w:tc>
        <w:tc>
          <w:tcPr>
            <w:tcW w:w="2126" w:type="dxa"/>
            <w:vAlign w:val="center"/>
          </w:tcPr>
          <w:p w:rsidR="00354F9E" w:rsidRPr="002C4901" w:rsidRDefault="00354F9E"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Mode de décroissance</w:t>
            </w:r>
          </w:p>
        </w:tc>
        <w:tc>
          <w:tcPr>
            <w:tcW w:w="993" w:type="dxa"/>
            <w:vAlign w:val="center"/>
          </w:tcPr>
          <w:p w:rsidR="00354F9E" w:rsidRPr="002C4901" w:rsidRDefault="00354F9E"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Période</w:t>
            </w:r>
          </w:p>
        </w:tc>
        <w:tc>
          <w:tcPr>
            <w:tcW w:w="1843" w:type="dxa"/>
            <w:vAlign w:val="center"/>
          </w:tcPr>
          <w:p w:rsidR="00354F9E" w:rsidRPr="002C4901" w:rsidRDefault="00354F9E"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Energie β</w:t>
            </w:r>
          </w:p>
        </w:tc>
        <w:tc>
          <w:tcPr>
            <w:tcW w:w="1559" w:type="dxa"/>
            <w:vAlign w:val="center"/>
          </w:tcPr>
          <w:p w:rsidR="00354F9E" w:rsidRPr="002C4901" w:rsidRDefault="00354F9E"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Energie X ou γ</w:t>
            </w:r>
          </w:p>
        </w:tc>
      </w:tr>
      <w:tr w:rsidR="00490828" w:rsidTr="0049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54F9E" w:rsidRPr="002C4901" w:rsidRDefault="00BA5426" w:rsidP="00C759BC">
            <w:pPr>
              <w:jc w:val="center"/>
              <w:rPr>
                <w:sz w:val="20"/>
                <w:szCs w:val="20"/>
                <w:vertAlign w:val="superscript"/>
              </w:rPr>
            </w:pPr>
            <w:r>
              <w:rPr>
                <w:sz w:val="20"/>
                <w:szCs w:val="20"/>
                <w:vertAlign w:val="superscript"/>
              </w:rPr>
              <w:t>131</w:t>
            </w:r>
            <w:r w:rsidR="00354F9E" w:rsidRPr="00354F9E">
              <w:rPr>
                <w:sz w:val="20"/>
                <w:szCs w:val="20"/>
              </w:rPr>
              <w:t>I</w:t>
            </w:r>
          </w:p>
        </w:tc>
        <w:tc>
          <w:tcPr>
            <w:tcW w:w="2709" w:type="dxa"/>
            <w:vAlign w:val="center"/>
          </w:tcPr>
          <w:p w:rsidR="00D956CD" w:rsidRPr="00183BED" w:rsidRDefault="0060044A"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Fission de l’Uranium 235 ou bombardement neutronique de tellure</w:t>
            </w:r>
          </w:p>
        </w:tc>
        <w:tc>
          <w:tcPr>
            <w:tcW w:w="2126" w:type="dxa"/>
            <w:vAlign w:val="center"/>
          </w:tcPr>
          <w:p w:rsidR="00183BED" w:rsidRPr="00183BED" w:rsidRDefault="0060044A"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Emetteur gamma</w:t>
            </w:r>
          </w:p>
        </w:tc>
        <w:tc>
          <w:tcPr>
            <w:tcW w:w="993" w:type="dxa"/>
            <w:vAlign w:val="center"/>
          </w:tcPr>
          <w:p w:rsidR="00354F9E" w:rsidRPr="002C4901" w:rsidRDefault="0060044A"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8.06 j</w:t>
            </w:r>
          </w:p>
        </w:tc>
        <w:tc>
          <w:tcPr>
            <w:tcW w:w="1843" w:type="dxa"/>
            <w:vAlign w:val="center"/>
          </w:tcPr>
          <w:p w:rsidR="00354F9E" w:rsidRDefault="0060044A"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606 </w:t>
            </w:r>
            <w:proofErr w:type="spellStart"/>
            <w:r>
              <w:rPr>
                <w:sz w:val="20"/>
                <w:szCs w:val="20"/>
              </w:rPr>
              <w:t>keV</w:t>
            </w:r>
            <w:proofErr w:type="spellEnd"/>
            <w:r w:rsidR="00B06AA7">
              <w:rPr>
                <w:sz w:val="20"/>
                <w:szCs w:val="20"/>
              </w:rPr>
              <w:t xml:space="preserve"> (89.6%)</w:t>
            </w:r>
          </w:p>
          <w:p w:rsidR="00490828" w:rsidRPr="002C4901" w:rsidRDefault="00B22DFE"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r w:rsidR="00206504">
              <w:rPr>
                <w:sz w:val="20"/>
                <w:szCs w:val="20"/>
              </w:rPr>
              <w:t>3</w:t>
            </w:r>
            <w:r w:rsidR="00490828">
              <w:rPr>
                <w:sz w:val="20"/>
                <w:szCs w:val="20"/>
              </w:rPr>
              <w:t xml:space="preserve">4 </w:t>
            </w:r>
            <w:proofErr w:type="spellStart"/>
            <w:r w:rsidR="00490828">
              <w:rPr>
                <w:sz w:val="20"/>
                <w:szCs w:val="20"/>
              </w:rPr>
              <w:t>keV</w:t>
            </w:r>
            <w:proofErr w:type="spellEnd"/>
            <w:r w:rsidR="00490828">
              <w:rPr>
                <w:sz w:val="20"/>
                <w:szCs w:val="20"/>
              </w:rPr>
              <w:t xml:space="preserve"> (7,23%)</w:t>
            </w:r>
          </w:p>
        </w:tc>
        <w:tc>
          <w:tcPr>
            <w:tcW w:w="1559" w:type="dxa"/>
            <w:vAlign w:val="center"/>
          </w:tcPr>
          <w:p w:rsidR="00354F9E" w:rsidRDefault="0060044A"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364</w:t>
            </w:r>
            <w:r w:rsidR="00711D35">
              <w:rPr>
                <w:sz w:val="20"/>
                <w:szCs w:val="20"/>
              </w:rPr>
              <w:t xml:space="preserve"> </w:t>
            </w:r>
            <w:proofErr w:type="spellStart"/>
            <w:r w:rsidR="00711D35">
              <w:rPr>
                <w:sz w:val="20"/>
                <w:szCs w:val="20"/>
              </w:rPr>
              <w:t>keV</w:t>
            </w:r>
            <w:proofErr w:type="spellEnd"/>
            <w:r>
              <w:rPr>
                <w:sz w:val="20"/>
                <w:szCs w:val="20"/>
              </w:rPr>
              <w:t xml:space="preserve"> (82%)</w:t>
            </w:r>
          </w:p>
          <w:p w:rsidR="0060044A" w:rsidRDefault="0060044A"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637 </w:t>
            </w:r>
            <w:proofErr w:type="spellStart"/>
            <w:r>
              <w:rPr>
                <w:sz w:val="20"/>
                <w:szCs w:val="20"/>
              </w:rPr>
              <w:t>keV</w:t>
            </w:r>
            <w:proofErr w:type="spellEnd"/>
            <w:r>
              <w:rPr>
                <w:sz w:val="20"/>
                <w:szCs w:val="20"/>
              </w:rPr>
              <w:t xml:space="preserve"> (6.8%)</w:t>
            </w:r>
          </w:p>
          <w:p w:rsidR="0060044A" w:rsidRPr="002C4901" w:rsidRDefault="0060044A" w:rsidP="0060044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284 </w:t>
            </w:r>
            <w:proofErr w:type="spellStart"/>
            <w:r>
              <w:rPr>
                <w:sz w:val="20"/>
                <w:szCs w:val="20"/>
              </w:rPr>
              <w:t>keV</w:t>
            </w:r>
            <w:proofErr w:type="spellEnd"/>
            <w:r>
              <w:rPr>
                <w:sz w:val="20"/>
                <w:szCs w:val="20"/>
              </w:rPr>
              <w:t xml:space="preserve"> (5,4%)</w:t>
            </w:r>
          </w:p>
        </w:tc>
      </w:tr>
    </w:tbl>
    <w:p w:rsidR="00B06AA7" w:rsidRPr="00490828" w:rsidRDefault="00B7479F" w:rsidP="00B7479F">
      <w:pPr>
        <w:spacing w:before="120" w:after="0" w:line="240" w:lineRule="auto"/>
        <w:rPr>
          <w:sz w:val="20"/>
          <w:szCs w:val="20"/>
        </w:rPr>
      </w:pPr>
      <w:r w:rsidRPr="00B34EE6">
        <w:rPr>
          <w:b/>
        </w:rPr>
        <w:t>Caractéristiques des molécules vectrices utilisées :</w:t>
      </w:r>
      <w:r w:rsidR="00711D35" w:rsidRPr="00490828">
        <w:rPr>
          <w:b/>
          <w:sz w:val="20"/>
          <w:szCs w:val="20"/>
        </w:rPr>
        <w:t xml:space="preserve"> </w:t>
      </w:r>
      <w:r w:rsidR="0060044A" w:rsidRPr="00490828">
        <w:rPr>
          <w:sz w:val="20"/>
          <w:szCs w:val="20"/>
        </w:rPr>
        <w:t xml:space="preserve">L’iode 131 est sous forme d’iodure de sodium </w:t>
      </w:r>
      <w:proofErr w:type="spellStart"/>
      <w:r w:rsidR="0060044A" w:rsidRPr="00490828">
        <w:rPr>
          <w:sz w:val="20"/>
          <w:szCs w:val="20"/>
        </w:rPr>
        <w:t>NaI</w:t>
      </w:r>
      <w:proofErr w:type="spellEnd"/>
      <w:r w:rsidR="00B06AA7" w:rsidRPr="00490828">
        <w:rPr>
          <w:sz w:val="20"/>
          <w:szCs w:val="20"/>
        </w:rPr>
        <w:t>.</w:t>
      </w:r>
    </w:p>
    <w:p w:rsidR="003911CA" w:rsidRDefault="0075774F" w:rsidP="00DD7024">
      <w:pPr>
        <w:pStyle w:val="Titre1"/>
        <w:numPr>
          <w:ilvl w:val="0"/>
          <w:numId w:val="2"/>
        </w:numPr>
        <w:spacing w:after="0"/>
        <w:rPr>
          <w:color w:val="ED7D31" w:themeColor="accent2"/>
          <w:sz w:val="28"/>
          <w:szCs w:val="28"/>
        </w:rPr>
      </w:pPr>
      <w:r w:rsidRPr="00DD7024">
        <w:rPr>
          <w:color w:val="ED7D31" w:themeColor="accent2"/>
          <w:sz w:val="28"/>
          <w:szCs w:val="28"/>
        </w:rPr>
        <w:t>Activité injectée, mode d’administration et données dosimétriques</w:t>
      </w:r>
    </w:p>
    <w:p w:rsidR="00B06AA7" w:rsidRPr="003A50E4" w:rsidRDefault="00B06AA7" w:rsidP="00490828">
      <w:pPr>
        <w:pStyle w:val="Paragraphedeliste"/>
        <w:numPr>
          <w:ilvl w:val="0"/>
          <w:numId w:val="30"/>
        </w:numPr>
        <w:spacing w:after="0" w:line="240" w:lineRule="auto"/>
        <w:ind w:left="714" w:hanging="357"/>
        <w:jc w:val="both"/>
        <w:rPr>
          <w:sz w:val="20"/>
          <w:szCs w:val="20"/>
        </w:rPr>
      </w:pPr>
      <w:r w:rsidRPr="003A50E4">
        <w:rPr>
          <w:sz w:val="20"/>
          <w:szCs w:val="20"/>
        </w:rPr>
        <w:t xml:space="preserve">Après la thyroïdectomie totale ou quasi-totale, l’activité administrée en vue d’éliminer le reliquat de tissu thyroïdien est comprise entre 1 100 et 3 700 </w:t>
      </w:r>
      <w:proofErr w:type="spellStart"/>
      <w:r w:rsidRPr="003A50E4">
        <w:rPr>
          <w:sz w:val="20"/>
          <w:szCs w:val="20"/>
        </w:rPr>
        <w:t>MBq</w:t>
      </w:r>
      <w:proofErr w:type="spellEnd"/>
      <w:r w:rsidRPr="003A50E4">
        <w:rPr>
          <w:sz w:val="20"/>
          <w:szCs w:val="20"/>
        </w:rPr>
        <w:t xml:space="preserve"> (30 et 100 </w:t>
      </w:r>
      <w:proofErr w:type="spellStart"/>
      <w:r w:rsidRPr="003A50E4">
        <w:rPr>
          <w:sz w:val="20"/>
          <w:szCs w:val="20"/>
        </w:rPr>
        <w:t>mCi</w:t>
      </w:r>
      <w:proofErr w:type="spellEnd"/>
      <w:r w:rsidRPr="003A50E4">
        <w:rPr>
          <w:sz w:val="20"/>
          <w:szCs w:val="20"/>
        </w:rPr>
        <w:t>). Elle est fonction du pronostic, s’il existe une forte suspicion d</w:t>
      </w:r>
      <w:r w:rsidR="00490828" w:rsidRPr="003A50E4">
        <w:rPr>
          <w:sz w:val="20"/>
          <w:szCs w:val="20"/>
        </w:rPr>
        <w:t xml:space="preserve">e </w:t>
      </w:r>
      <w:r w:rsidRPr="003A50E4">
        <w:rPr>
          <w:sz w:val="20"/>
          <w:szCs w:val="20"/>
        </w:rPr>
        <w:t xml:space="preserve">tumeur résiduelle, l’activité administrée sera de préférence 3,7 </w:t>
      </w:r>
      <w:proofErr w:type="spellStart"/>
      <w:r w:rsidRPr="003A50E4">
        <w:rPr>
          <w:sz w:val="20"/>
          <w:szCs w:val="20"/>
        </w:rPr>
        <w:t>GBq</w:t>
      </w:r>
      <w:proofErr w:type="spellEnd"/>
      <w:r w:rsidRPr="003A50E4">
        <w:rPr>
          <w:sz w:val="20"/>
          <w:szCs w:val="20"/>
        </w:rPr>
        <w:t xml:space="preserve"> pour un adulte, si le pronostic est bon, avec un très faible risque de maladie résiduelle, l’activité peut-être 1,1 </w:t>
      </w:r>
      <w:proofErr w:type="spellStart"/>
      <w:r w:rsidRPr="003A50E4">
        <w:rPr>
          <w:sz w:val="20"/>
          <w:szCs w:val="20"/>
        </w:rPr>
        <w:t>GBq</w:t>
      </w:r>
      <w:proofErr w:type="spellEnd"/>
      <w:r w:rsidRPr="003A50E4">
        <w:rPr>
          <w:sz w:val="20"/>
          <w:szCs w:val="20"/>
        </w:rPr>
        <w:t>.</w:t>
      </w:r>
    </w:p>
    <w:p w:rsidR="00B06AA7" w:rsidRPr="003A50E4" w:rsidRDefault="00B06AA7" w:rsidP="00490828">
      <w:pPr>
        <w:pStyle w:val="Paragraphedeliste"/>
        <w:numPr>
          <w:ilvl w:val="0"/>
          <w:numId w:val="30"/>
        </w:numPr>
        <w:jc w:val="both"/>
        <w:rPr>
          <w:sz w:val="20"/>
          <w:szCs w:val="20"/>
        </w:rPr>
      </w:pPr>
      <w:r w:rsidRPr="003A50E4">
        <w:rPr>
          <w:sz w:val="20"/>
          <w:szCs w:val="20"/>
        </w:rPr>
        <w:t xml:space="preserve">Dans le traitement de cancers métastasés à distance ou en cas d’exérèse chirurgicale incomplète, l’activité administrée varie entre 3 700 </w:t>
      </w:r>
      <w:proofErr w:type="spellStart"/>
      <w:r w:rsidRPr="003A50E4">
        <w:rPr>
          <w:sz w:val="20"/>
          <w:szCs w:val="20"/>
        </w:rPr>
        <w:t>MBq</w:t>
      </w:r>
      <w:proofErr w:type="spellEnd"/>
      <w:r w:rsidRPr="003A50E4">
        <w:rPr>
          <w:sz w:val="20"/>
          <w:szCs w:val="20"/>
        </w:rPr>
        <w:t xml:space="preserve"> et 7 400 </w:t>
      </w:r>
      <w:proofErr w:type="spellStart"/>
      <w:r w:rsidRPr="003A50E4">
        <w:rPr>
          <w:sz w:val="20"/>
          <w:szCs w:val="20"/>
        </w:rPr>
        <w:t>MBq</w:t>
      </w:r>
      <w:proofErr w:type="spellEnd"/>
      <w:r w:rsidRPr="003A50E4">
        <w:rPr>
          <w:sz w:val="20"/>
          <w:szCs w:val="20"/>
        </w:rPr>
        <w:t xml:space="preserve"> (100 </w:t>
      </w:r>
      <w:proofErr w:type="spellStart"/>
      <w:r w:rsidRPr="003A50E4">
        <w:rPr>
          <w:sz w:val="20"/>
          <w:szCs w:val="20"/>
        </w:rPr>
        <w:t>mCi</w:t>
      </w:r>
      <w:proofErr w:type="spellEnd"/>
      <w:r w:rsidRPr="003A50E4">
        <w:rPr>
          <w:sz w:val="20"/>
          <w:szCs w:val="20"/>
        </w:rPr>
        <w:t xml:space="preserve"> et 200mCi)</w:t>
      </w:r>
    </w:p>
    <w:p w:rsidR="00B06AA7" w:rsidRPr="00490828" w:rsidRDefault="00B06AA7" w:rsidP="00490828">
      <w:pPr>
        <w:pStyle w:val="Paragraphedeliste"/>
        <w:numPr>
          <w:ilvl w:val="0"/>
          <w:numId w:val="30"/>
        </w:numPr>
        <w:jc w:val="both"/>
        <w:rPr>
          <w:sz w:val="20"/>
          <w:szCs w:val="20"/>
        </w:rPr>
      </w:pPr>
      <w:r w:rsidRPr="003A50E4">
        <w:rPr>
          <w:sz w:val="20"/>
          <w:szCs w:val="20"/>
        </w:rPr>
        <w:t>L’iode 131 est administré généralement sous forme d’une gélule, avalée entière</w:t>
      </w:r>
      <w:r w:rsidRPr="00490828">
        <w:rPr>
          <w:color w:val="000000"/>
          <w:sz w:val="20"/>
          <w:szCs w:val="20"/>
        </w:rPr>
        <w:t>, avec une quantité suffisante d’eau pour faciliter son transit dans l’œsophage et jusqu’à l’intestin.</w:t>
      </w:r>
    </w:p>
    <w:p w:rsidR="00B06AA7" w:rsidRPr="00490828" w:rsidRDefault="00B06AA7" w:rsidP="00B06AA7">
      <w:pPr>
        <w:pStyle w:val="Paragraphedeliste"/>
        <w:numPr>
          <w:ilvl w:val="0"/>
          <w:numId w:val="30"/>
        </w:numPr>
        <w:jc w:val="both"/>
        <w:rPr>
          <w:sz w:val="20"/>
          <w:szCs w:val="20"/>
        </w:rPr>
      </w:pPr>
      <w:r w:rsidRPr="00490828">
        <w:rPr>
          <w:color w:val="000000"/>
          <w:sz w:val="20"/>
          <w:szCs w:val="20"/>
        </w:rPr>
        <w:t>Le traitement substitutif par hormone thyroïdienne est repris dans les 2 à 4 jours qui suivent la prise de l'iode.</w:t>
      </w:r>
    </w:p>
    <w:p w:rsidR="003911CA" w:rsidRPr="00DD7024" w:rsidRDefault="000D4F80" w:rsidP="00DD7024">
      <w:pPr>
        <w:pStyle w:val="Titre1"/>
        <w:numPr>
          <w:ilvl w:val="0"/>
          <w:numId w:val="2"/>
        </w:numPr>
        <w:spacing w:after="0"/>
        <w:rPr>
          <w:color w:val="ED7D31" w:themeColor="accent2"/>
          <w:sz w:val="28"/>
          <w:szCs w:val="28"/>
        </w:rPr>
      </w:pPr>
      <w:r w:rsidRPr="00DD7024">
        <w:rPr>
          <w:color w:val="ED7D31" w:themeColor="accent2"/>
          <w:sz w:val="28"/>
          <w:szCs w:val="28"/>
        </w:rPr>
        <w:t xml:space="preserve">Acquisition </w:t>
      </w:r>
      <w:r w:rsidR="00F942A9" w:rsidRPr="00DD7024">
        <w:rPr>
          <w:color w:val="ED7D31" w:themeColor="accent2"/>
          <w:sz w:val="28"/>
          <w:szCs w:val="28"/>
        </w:rPr>
        <w:t xml:space="preserve">et traitement </w:t>
      </w:r>
      <w:r w:rsidRPr="00DD7024">
        <w:rPr>
          <w:color w:val="ED7D31" w:themeColor="accent2"/>
          <w:sz w:val="28"/>
          <w:szCs w:val="28"/>
        </w:rPr>
        <w:t xml:space="preserve">des images </w:t>
      </w:r>
      <w:proofErr w:type="spellStart"/>
      <w:r w:rsidRPr="00DD7024">
        <w:rPr>
          <w:color w:val="ED7D31" w:themeColor="accent2"/>
          <w:sz w:val="28"/>
          <w:szCs w:val="28"/>
        </w:rPr>
        <w:t>scintigraphiques</w:t>
      </w:r>
      <w:proofErr w:type="spellEnd"/>
    </w:p>
    <w:p w:rsidR="005E233F" w:rsidRPr="003A50E4" w:rsidRDefault="003D0CA6" w:rsidP="003D0CA6">
      <w:pPr>
        <w:spacing w:after="0" w:line="240" w:lineRule="auto"/>
        <w:jc w:val="both"/>
        <w:rPr>
          <w:sz w:val="20"/>
          <w:szCs w:val="20"/>
        </w:rPr>
      </w:pPr>
      <w:r w:rsidRPr="003D0CA6">
        <w:rPr>
          <w:b/>
          <w:sz w:val="20"/>
          <w:szCs w:val="20"/>
        </w:rPr>
        <w:t xml:space="preserve">Scintigraphie </w:t>
      </w:r>
      <w:r w:rsidR="00B34EE6">
        <w:rPr>
          <w:b/>
          <w:sz w:val="20"/>
          <w:szCs w:val="20"/>
        </w:rPr>
        <w:t xml:space="preserve">CE </w:t>
      </w:r>
      <w:r w:rsidRPr="003D0CA6">
        <w:rPr>
          <w:b/>
          <w:sz w:val="20"/>
          <w:szCs w:val="20"/>
        </w:rPr>
        <w:t>post-</w:t>
      </w:r>
      <w:proofErr w:type="spellStart"/>
      <w:r w:rsidRPr="003D0CA6">
        <w:rPr>
          <w:b/>
          <w:sz w:val="20"/>
          <w:szCs w:val="20"/>
        </w:rPr>
        <w:t>irathérapie</w:t>
      </w:r>
      <w:proofErr w:type="spellEnd"/>
      <w:r w:rsidRPr="003D0CA6">
        <w:rPr>
          <w:b/>
          <w:sz w:val="20"/>
          <w:szCs w:val="20"/>
        </w:rPr>
        <w:t xml:space="preserve"> : </w:t>
      </w:r>
      <w:r w:rsidRPr="003D0CA6">
        <w:rPr>
          <w:color w:val="000000"/>
          <w:sz w:val="20"/>
          <w:szCs w:val="20"/>
        </w:rPr>
        <w:t>L’examen est ré</w:t>
      </w:r>
      <w:r w:rsidRPr="003A50E4">
        <w:rPr>
          <w:sz w:val="20"/>
          <w:szCs w:val="20"/>
        </w:rPr>
        <w:t>alisé de 3 à 7 jours après le traitement par l’iode 131. Un délai trop réduit risque d’entraîner un phénomène de saturation du détecteur en raison de la haute activité présente dans le reliquat, inversement une image trop tardive risque de faire disparaître certains foyers métastatiques fixant de petite taille. Cet examen renseigne non seulement sur les reliquats thyroïdiens laissés en place lors de la thyroïdectomie chirurgicale mais aussi sur la présence éventuelle de métastases fixant l’iode au niveau des ganglions régionaux ou bien de sites à distance, en particulier, pulmonaires et osseux.</w:t>
      </w:r>
    </w:p>
    <w:p w:rsidR="003D0CA6" w:rsidRPr="003A50E4" w:rsidRDefault="003D0CA6" w:rsidP="003D0CA6">
      <w:pPr>
        <w:spacing w:after="0" w:line="240" w:lineRule="auto"/>
        <w:jc w:val="both"/>
        <w:rPr>
          <w:sz w:val="20"/>
          <w:szCs w:val="20"/>
        </w:rPr>
      </w:pPr>
      <w:r w:rsidRPr="003A50E4">
        <w:rPr>
          <w:sz w:val="20"/>
          <w:szCs w:val="20"/>
        </w:rPr>
        <w:t>L'examen consiste en un balayage corps entier. La caméra est équipée d’un collimateur à</w:t>
      </w:r>
      <w:r w:rsidR="00B22DFE" w:rsidRPr="003A50E4">
        <w:rPr>
          <w:sz w:val="20"/>
          <w:szCs w:val="20"/>
        </w:rPr>
        <w:t xml:space="preserve"> </w:t>
      </w:r>
      <w:r w:rsidRPr="003A50E4">
        <w:rPr>
          <w:sz w:val="20"/>
          <w:szCs w:val="20"/>
        </w:rPr>
        <w:t>trous parallèles, haute énergie, et la vitesse de balayage est assez lente de 8 à 10 cm/min.</w:t>
      </w:r>
      <w:r w:rsidR="00B22DFE" w:rsidRPr="003A50E4">
        <w:rPr>
          <w:sz w:val="20"/>
          <w:szCs w:val="20"/>
        </w:rPr>
        <w:t xml:space="preserve"> </w:t>
      </w:r>
      <w:r w:rsidRPr="003A50E4">
        <w:rPr>
          <w:sz w:val="20"/>
          <w:szCs w:val="20"/>
        </w:rPr>
        <w:t>La réalisation de clichés statiques centrés sur le cou et le thorax est utile pour une analyse</w:t>
      </w:r>
      <w:r w:rsidR="00B22DFE" w:rsidRPr="003A50E4">
        <w:rPr>
          <w:sz w:val="20"/>
          <w:szCs w:val="20"/>
        </w:rPr>
        <w:t xml:space="preserve"> </w:t>
      </w:r>
      <w:r w:rsidRPr="003A50E4">
        <w:rPr>
          <w:sz w:val="20"/>
          <w:szCs w:val="20"/>
        </w:rPr>
        <w:t>plus fine des foyers fixant notamment l’identification d’éventuels ganglions métastatiques au voisinage des reliquats thyroïdiens.</w:t>
      </w:r>
      <w:bookmarkStart w:id="0" w:name="_GoBack"/>
      <w:bookmarkEnd w:id="0"/>
    </w:p>
    <w:sectPr w:rsidR="003D0CA6" w:rsidRPr="003A50E4" w:rsidSect="009F0C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3779"/>
    <w:multiLevelType w:val="hybridMultilevel"/>
    <w:tmpl w:val="C37C1D6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03296E"/>
    <w:multiLevelType w:val="hybridMultilevel"/>
    <w:tmpl w:val="1B946A9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031EE6"/>
    <w:multiLevelType w:val="hybridMultilevel"/>
    <w:tmpl w:val="237A7E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5265F3"/>
    <w:multiLevelType w:val="hybridMultilevel"/>
    <w:tmpl w:val="EF9E32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BF7E94"/>
    <w:multiLevelType w:val="hybridMultilevel"/>
    <w:tmpl w:val="8C2A9D0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1C729E"/>
    <w:multiLevelType w:val="hybridMultilevel"/>
    <w:tmpl w:val="10307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D6365A"/>
    <w:multiLevelType w:val="hybridMultilevel"/>
    <w:tmpl w:val="220C74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BA6235"/>
    <w:multiLevelType w:val="hybridMultilevel"/>
    <w:tmpl w:val="CB96AE0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9297AA6"/>
    <w:multiLevelType w:val="hybridMultilevel"/>
    <w:tmpl w:val="5C080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886F2B"/>
    <w:multiLevelType w:val="hybridMultilevel"/>
    <w:tmpl w:val="F3FEDF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1B3549"/>
    <w:multiLevelType w:val="hybridMultilevel"/>
    <w:tmpl w:val="C7164C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E366F1"/>
    <w:multiLevelType w:val="hybridMultilevel"/>
    <w:tmpl w:val="060C408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CB672AD"/>
    <w:multiLevelType w:val="hybridMultilevel"/>
    <w:tmpl w:val="545A5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E50703C"/>
    <w:multiLevelType w:val="hybridMultilevel"/>
    <w:tmpl w:val="115A0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FFF7EFF"/>
    <w:multiLevelType w:val="hybridMultilevel"/>
    <w:tmpl w:val="7E282B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4160F2"/>
    <w:multiLevelType w:val="hybridMultilevel"/>
    <w:tmpl w:val="09E28C5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6F756F0"/>
    <w:multiLevelType w:val="hybridMultilevel"/>
    <w:tmpl w:val="1E227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7C05B6"/>
    <w:multiLevelType w:val="hybridMultilevel"/>
    <w:tmpl w:val="A82A085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67B1A87"/>
    <w:multiLevelType w:val="hybridMultilevel"/>
    <w:tmpl w:val="D01AE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215660"/>
    <w:multiLevelType w:val="hybridMultilevel"/>
    <w:tmpl w:val="C6A05C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7E648E2"/>
    <w:multiLevelType w:val="hybridMultilevel"/>
    <w:tmpl w:val="8BCEC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CCF2E85"/>
    <w:multiLevelType w:val="hybridMultilevel"/>
    <w:tmpl w:val="1BE68C2A"/>
    <w:lvl w:ilvl="0" w:tplc="040C0001">
      <w:start w:val="1"/>
      <w:numFmt w:val="bullet"/>
      <w:lvlText w:val=""/>
      <w:lvlJc w:val="left"/>
      <w:pPr>
        <w:ind w:left="764" w:hanging="360"/>
      </w:pPr>
      <w:rPr>
        <w:rFonts w:ascii="Symbol" w:hAnsi="Symbol" w:hint="default"/>
      </w:rPr>
    </w:lvl>
    <w:lvl w:ilvl="1" w:tplc="040C0003" w:tentative="1">
      <w:start w:val="1"/>
      <w:numFmt w:val="bullet"/>
      <w:lvlText w:val="o"/>
      <w:lvlJc w:val="left"/>
      <w:pPr>
        <w:ind w:left="1484" w:hanging="360"/>
      </w:pPr>
      <w:rPr>
        <w:rFonts w:ascii="Courier New" w:hAnsi="Courier New" w:cs="Courier New" w:hint="default"/>
      </w:rPr>
    </w:lvl>
    <w:lvl w:ilvl="2" w:tplc="040C0005" w:tentative="1">
      <w:start w:val="1"/>
      <w:numFmt w:val="bullet"/>
      <w:lvlText w:val=""/>
      <w:lvlJc w:val="left"/>
      <w:pPr>
        <w:ind w:left="2204" w:hanging="360"/>
      </w:pPr>
      <w:rPr>
        <w:rFonts w:ascii="Wingdings" w:hAnsi="Wingdings" w:hint="default"/>
      </w:rPr>
    </w:lvl>
    <w:lvl w:ilvl="3" w:tplc="040C0001" w:tentative="1">
      <w:start w:val="1"/>
      <w:numFmt w:val="bullet"/>
      <w:lvlText w:val=""/>
      <w:lvlJc w:val="left"/>
      <w:pPr>
        <w:ind w:left="2924" w:hanging="360"/>
      </w:pPr>
      <w:rPr>
        <w:rFonts w:ascii="Symbol" w:hAnsi="Symbol" w:hint="default"/>
      </w:rPr>
    </w:lvl>
    <w:lvl w:ilvl="4" w:tplc="040C0003" w:tentative="1">
      <w:start w:val="1"/>
      <w:numFmt w:val="bullet"/>
      <w:lvlText w:val="o"/>
      <w:lvlJc w:val="left"/>
      <w:pPr>
        <w:ind w:left="3644" w:hanging="360"/>
      </w:pPr>
      <w:rPr>
        <w:rFonts w:ascii="Courier New" w:hAnsi="Courier New" w:cs="Courier New" w:hint="default"/>
      </w:rPr>
    </w:lvl>
    <w:lvl w:ilvl="5" w:tplc="040C0005" w:tentative="1">
      <w:start w:val="1"/>
      <w:numFmt w:val="bullet"/>
      <w:lvlText w:val=""/>
      <w:lvlJc w:val="left"/>
      <w:pPr>
        <w:ind w:left="4364" w:hanging="360"/>
      </w:pPr>
      <w:rPr>
        <w:rFonts w:ascii="Wingdings" w:hAnsi="Wingdings" w:hint="default"/>
      </w:rPr>
    </w:lvl>
    <w:lvl w:ilvl="6" w:tplc="040C0001" w:tentative="1">
      <w:start w:val="1"/>
      <w:numFmt w:val="bullet"/>
      <w:lvlText w:val=""/>
      <w:lvlJc w:val="left"/>
      <w:pPr>
        <w:ind w:left="5084" w:hanging="360"/>
      </w:pPr>
      <w:rPr>
        <w:rFonts w:ascii="Symbol" w:hAnsi="Symbol" w:hint="default"/>
      </w:rPr>
    </w:lvl>
    <w:lvl w:ilvl="7" w:tplc="040C0003" w:tentative="1">
      <w:start w:val="1"/>
      <w:numFmt w:val="bullet"/>
      <w:lvlText w:val="o"/>
      <w:lvlJc w:val="left"/>
      <w:pPr>
        <w:ind w:left="5804" w:hanging="360"/>
      </w:pPr>
      <w:rPr>
        <w:rFonts w:ascii="Courier New" w:hAnsi="Courier New" w:cs="Courier New" w:hint="default"/>
      </w:rPr>
    </w:lvl>
    <w:lvl w:ilvl="8" w:tplc="040C0005" w:tentative="1">
      <w:start w:val="1"/>
      <w:numFmt w:val="bullet"/>
      <w:lvlText w:val=""/>
      <w:lvlJc w:val="left"/>
      <w:pPr>
        <w:ind w:left="6524" w:hanging="360"/>
      </w:pPr>
      <w:rPr>
        <w:rFonts w:ascii="Wingdings" w:hAnsi="Wingdings" w:hint="default"/>
      </w:rPr>
    </w:lvl>
  </w:abstractNum>
  <w:abstractNum w:abstractNumId="22" w15:restartNumberingAfterBreak="0">
    <w:nsid w:val="5CF61B8F"/>
    <w:multiLevelType w:val="hybridMultilevel"/>
    <w:tmpl w:val="CD3C07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A063E9"/>
    <w:multiLevelType w:val="hybridMultilevel"/>
    <w:tmpl w:val="45948E2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92865AD"/>
    <w:multiLevelType w:val="hybridMultilevel"/>
    <w:tmpl w:val="14E02A6A"/>
    <w:lvl w:ilvl="0" w:tplc="BCD24F34">
      <w:start w:val="2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ADF306C"/>
    <w:multiLevelType w:val="hybridMultilevel"/>
    <w:tmpl w:val="A43C229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76FE50FA"/>
    <w:multiLevelType w:val="hybridMultilevel"/>
    <w:tmpl w:val="BE7E8A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AF6723D"/>
    <w:multiLevelType w:val="hybridMultilevel"/>
    <w:tmpl w:val="6FE41146"/>
    <w:lvl w:ilvl="0" w:tplc="D03045B2">
      <w:start w:val="1"/>
      <w:numFmt w:val="upperRoman"/>
      <w:lvlText w:val="%1."/>
      <w:lvlJc w:val="righ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BD90282"/>
    <w:multiLevelType w:val="hybridMultilevel"/>
    <w:tmpl w:val="C62C13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F147B90"/>
    <w:multiLevelType w:val="hybridMultilevel"/>
    <w:tmpl w:val="498E1C6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27"/>
  </w:num>
  <w:num w:numId="3">
    <w:abstractNumId w:val="24"/>
  </w:num>
  <w:num w:numId="4">
    <w:abstractNumId w:val="19"/>
  </w:num>
  <w:num w:numId="5">
    <w:abstractNumId w:val="21"/>
  </w:num>
  <w:num w:numId="6">
    <w:abstractNumId w:val="5"/>
  </w:num>
  <w:num w:numId="7">
    <w:abstractNumId w:val="8"/>
  </w:num>
  <w:num w:numId="8">
    <w:abstractNumId w:val="6"/>
  </w:num>
  <w:num w:numId="9">
    <w:abstractNumId w:val="9"/>
  </w:num>
  <w:num w:numId="10">
    <w:abstractNumId w:val="29"/>
  </w:num>
  <w:num w:numId="11">
    <w:abstractNumId w:val="2"/>
  </w:num>
  <w:num w:numId="12">
    <w:abstractNumId w:val="20"/>
  </w:num>
  <w:num w:numId="13">
    <w:abstractNumId w:val="16"/>
  </w:num>
  <w:num w:numId="14">
    <w:abstractNumId w:val="1"/>
  </w:num>
  <w:num w:numId="15">
    <w:abstractNumId w:val="23"/>
  </w:num>
  <w:num w:numId="16">
    <w:abstractNumId w:val="18"/>
  </w:num>
  <w:num w:numId="17">
    <w:abstractNumId w:val="13"/>
  </w:num>
  <w:num w:numId="18">
    <w:abstractNumId w:val="15"/>
  </w:num>
  <w:num w:numId="19">
    <w:abstractNumId w:val="26"/>
  </w:num>
  <w:num w:numId="20">
    <w:abstractNumId w:val="4"/>
  </w:num>
  <w:num w:numId="21">
    <w:abstractNumId w:val="0"/>
  </w:num>
  <w:num w:numId="22">
    <w:abstractNumId w:val="7"/>
  </w:num>
  <w:num w:numId="23">
    <w:abstractNumId w:val="11"/>
  </w:num>
  <w:num w:numId="24">
    <w:abstractNumId w:val="14"/>
  </w:num>
  <w:num w:numId="25">
    <w:abstractNumId w:val="12"/>
  </w:num>
  <w:num w:numId="26">
    <w:abstractNumId w:val="3"/>
  </w:num>
  <w:num w:numId="27">
    <w:abstractNumId w:val="25"/>
  </w:num>
  <w:num w:numId="28">
    <w:abstractNumId w:val="28"/>
  </w:num>
  <w:num w:numId="29">
    <w:abstractNumId w:val="10"/>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11"/>
    <w:rsid w:val="00095293"/>
    <w:rsid w:val="000B7190"/>
    <w:rsid w:val="000D4AF9"/>
    <w:rsid w:val="000D4F80"/>
    <w:rsid w:val="00125498"/>
    <w:rsid w:val="00183BED"/>
    <w:rsid w:val="00206504"/>
    <w:rsid w:val="002A0801"/>
    <w:rsid w:val="002C0BA5"/>
    <w:rsid w:val="002C4901"/>
    <w:rsid w:val="00354F9E"/>
    <w:rsid w:val="00372AEA"/>
    <w:rsid w:val="003911CA"/>
    <w:rsid w:val="003A50E4"/>
    <w:rsid w:val="003D0CA6"/>
    <w:rsid w:val="003F197D"/>
    <w:rsid w:val="0047540C"/>
    <w:rsid w:val="00490828"/>
    <w:rsid w:val="004D61C9"/>
    <w:rsid w:val="0051575D"/>
    <w:rsid w:val="005E233F"/>
    <w:rsid w:val="005F5C63"/>
    <w:rsid w:val="0060044A"/>
    <w:rsid w:val="006636DA"/>
    <w:rsid w:val="006F6CE7"/>
    <w:rsid w:val="00711D35"/>
    <w:rsid w:val="0075774F"/>
    <w:rsid w:val="00761618"/>
    <w:rsid w:val="0079679B"/>
    <w:rsid w:val="00800E53"/>
    <w:rsid w:val="00935317"/>
    <w:rsid w:val="00956601"/>
    <w:rsid w:val="009F0C11"/>
    <w:rsid w:val="00A73CE6"/>
    <w:rsid w:val="00AD13EC"/>
    <w:rsid w:val="00B06AA7"/>
    <w:rsid w:val="00B22DFE"/>
    <w:rsid w:val="00B34EE6"/>
    <w:rsid w:val="00B5386F"/>
    <w:rsid w:val="00B567DE"/>
    <w:rsid w:val="00B7479F"/>
    <w:rsid w:val="00BA5426"/>
    <w:rsid w:val="00C70B7E"/>
    <w:rsid w:val="00C727BA"/>
    <w:rsid w:val="00C759BC"/>
    <w:rsid w:val="00D44A03"/>
    <w:rsid w:val="00D75CD5"/>
    <w:rsid w:val="00D956CD"/>
    <w:rsid w:val="00DC459F"/>
    <w:rsid w:val="00DD7024"/>
    <w:rsid w:val="00F52BDA"/>
    <w:rsid w:val="00F758A8"/>
    <w:rsid w:val="00F942A9"/>
    <w:rsid w:val="00FC78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CBD6B-6B53-4C1C-A559-04EEA942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540C"/>
    <w:pPr>
      <w:keepNext/>
      <w:keepLines/>
      <w:spacing w:before="120" w:after="120" w:line="240" w:lineRule="auto"/>
      <w:outlineLvl w:val="0"/>
    </w:pPr>
    <w:rPr>
      <w:rFonts w:asciiTheme="majorHAnsi" w:eastAsiaTheme="majorEastAsia" w:hAnsiTheme="majorHAnsi" w:cstheme="majorBidi"/>
      <w:b/>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0C11"/>
    <w:pPr>
      <w:ind w:left="720"/>
      <w:contextualSpacing/>
    </w:pPr>
  </w:style>
  <w:style w:type="character" w:customStyle="1" w:styleId="Titre1Car">
    <w:name w:val="Titre 1 Car"/>
    <w:basedOn w:val="Policepardfaut"/>
    <w:link w:val="Titre1"/>
    <w:uiPriority w:val="9"/>
    <w:rsid w:val="0047540C"/>
    <w:rPr>
      <w:rFonts w:asciiTheme="majorHAnsi" w:eastAsiaTheme="majorEastAsia" w:hAnsiTheme="majorHAnsi" w:cstheme="majorBidi"/>
      <w:b/>
      <w:color w:val="2E74B5" w:themeColor="accent1" w:themeShade="BF"/>
      <w:sz w:val="32"/>
      <w:szCs w:val="32"/>
    </w:rPr>
  </w:style>
  <w:style w:type="table" w:styleId="Grilledutableau">
    <w:name w:val="Table Grid"/>
    <w:basedOn w:val="TableauNormal"/>
    <w:uiPriority w:val="39"/>
    <w:rsid w:val="00475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2C490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simple5">
    <w:name w:val="Plain Table 5"/>
    <w:basedOn w:val="TableauNormal"/>
    <w:uiPriority w:val="45"/>
    <w:rsid w:val="002C49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2C490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5Fonc-Accentuation2">
    <w:name w:val="Grid Table 5 Dark Accent 2"/>
    <w:basedOn w:val="TableauNormal"/>
    <w:uiPriority w:val="50"/>
    <w:rsid w:val="002C49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613647">
      <w:bodyDiv w:val="1"/>
      <w:marLeft w:val="0"/>
      <w:marRight w:val="0"/>
      <w:marTop w:val="0"/>
      <w:marBottom w:val="0"/>
      <w:divBdr>
        <w:top w:val="none" w:sz="0" w:space="0" w:color="auto"/>
        <w:left w:val="none" w:sz="0" w:space="0" w:color="auto"/>
        <w:bottom w:val="none" w:sz="0" w:space="0" w:color="auto"/>
        <w:right w:val="none" w:sz="0" w:space="0" w:color="auto"/>
      </w:divBdr>
      <w:divsChild>
        <w:div w:id="2068608280">
          <w:marLeft w:val="0"/>
          <w:marRight w:val="0"/>
          <w:marTop w:val="0"/>
          <w:marBottom w:val="0"/>
          <w:divBdr>
            <w:top w:val="none" w:sz="0" w:space="0" w:color="auto"/>
            <w:left w:val="none" w:sz="0" w:space="0" w:color="auto"/>
            <w:bottom w:val="none" w:sz="0" w:space="0" w:color="auto"/>
            <w:right w:val="none" w:sz="0" w:space="0" w:color="auto"/>
          </w:divBdr>
          <w:divsChild>
            <w:div w:id="1991664797">
              <w:marLeft w:val="0"/>
              <w:marRight w:val="0"/>
              <w:marTop w:val="0"/>
              <w:marBottom w:val="0"/>
              <w:divBdr>
                <w:top w:val="none" w:sz="0" w:space="0" w:color="auto"/>
                <w:left w:val="none" w:sz="0" w:space="0" w:color="auto"/>
                <w:bottom w:val="none" w:sz="0" w:space="0" w:color="auto"/>
                <w:right w:val="none" w:sz="0" w:space="0" w:color="auto"/>
              </w:divBdr>
              <w:divsChild>
                <w:div w:id="1333608419">
                  <w:marLeft w:val="0"/>
                  <w:marRight w:val="0"/>
                  <w:marTop w:val="0"/>
                  <w:marBottom w:val="0"/>
                  <w:divBdr>
                    <w:top w:val="none" w:sz="0" w:space="0" w:color="auto"/>
                    <w:left w:val="none" w:sz="0" w:space="0" w:color="auto"/>
                    <w:bottom w:val="none" w:sz="0" w:space="0" w:color="auto"/>
                    <w:right w:val="none" w:sz="0" w:space="0" w:color="auto"/>
                  </w:divBdr>
                  <w:divsChild>
                    <w:div w:id="2139637393">
                      <w:marLeft w:val="0"/>
                      <w:marRight w:val="0"/>
                      <w:marTop w:val="0"/>
                      <w:marBottom w:val="0"/>
                      <w:divBdr>
                        <w:top w:val="none" w:sz="0" w:space="0" w:color="auto"/>
                        <w:left w:val="none" w:sz="0" w:space="0" w:color="auto"/>
                        <w:bottom w:val="none" w:sz="0" w:space="0" w:color="auto"/>
                        <w:right w:val="none" w:sz="0" w:space="0" w:color="auto"/>
                      </w:divBdr>
                      <w:divsChild>
                        <w:div w:id="225989925">
                          <w:marLeft w:val="0"/>
                          <w:marRight w:val="0"/>
                          <w:marTop w:val="0"/>
                          <w:marBottom w:val="0"/>
                          <w:divBdr>
                            <w:top w:val="none" w:sz="0" w:space="0" w:color="auto"/>
                            <w:left w:val="none" w:sz="0" w:space="0" w:color="auto"/>
                            <w:bottom w:val="none" w:sz="0" w:space="0" w:color="auto"/>
                            <w:right w:val="none" w:sz="0" w:space="0" w:color="auto"/>
                          </w:divBdr>
                          <w:divsChild>
                            <w:div w:id="353968251">
                              <w:marLeft w:val="0"/>
                              <w:marRight w:val="0"/>
                              <w:marTop w:val="0"/>
                              <w:marBottom w:val="0"/>
                              <w:divBdr>
                                <w:top w:val="none" w:sz="0" w:space="0" w:color="auto"/>
                                <w:left w:val="none" w:sz="0" w:space="0" w:color="auto"/>
                                <w:bottom w:val="none" w:sz="0" w:space="0" w:color="auto"/>
                                <w:right w:val="none" w:sz="0" w:space="0" w:color="auto"/>
                              </w:divBdr>
                              <w:divsChild>
                                <w:div w:id="1072393214">
                                  <w:marLeft w:val="0"/>
                                  <w:marRight w:val="0"/>
                                  <w:marTop w:val="0"/>
                                  <w:marBottom w:val="0"/>
                                  <w:divBdr>
                                    <w:top w:val="none" w:sz="0" w:space="0" w:color="auto"/>
                                    <w:left w:val="none" w:sz="0" w:space="0" w:color="auto"/>
                                    <w:bottom w:val="none" w:sz="0" w:space="0" w:color="auto"/>
                                    <w:right w:val="none" w:sz="0" w:space="0" w:color="auto"/>
                                  </w:divBdr>
                                  <w:divsChild>
                                    <w:div w:id="64912865">
                                      <w:marLeft w:val="0"/>
                                      <w:marRight w:val="0"/>
                                      <w:marTop w:val="0"/>
                                      <w:marBottom w:val="0"/>
                                      <w:divBdr>
                                        <w:top w:val="none" w:sz="0" w:space="0" w:color="auto"/>
                                        <w:left w:val="none" w:sz="0" w:space="0" w:color="auto"/>
                                        <w:bottom w:val="none" w:sz="0" w:space="0" w:color="auto"/>
                                        <w:right w:val="none" w:sz="0" w:space="0" w:color="auto"/>
                                      </w:divBdr>
                                      <w:divsChild>
                                        <w:div w:id="1834833983">
                                          <w:marLeft w:val="0"/>
                                          <w:marRight w:val="0"/>
                                          <w:marTop w:val="0"/>
                                          <w:marBottom w:val="0"/>
                                          <w:divBdr>
                                            <w:top w:val="none" w:sz="0" w:space="0" w:color="auto"/>
                                            <w:left w:val="none" w:sz="0" w:space="0" w:color="auto"/>
                                            <w:bottom w:val="none" w:sz="0" w:space="0" w:color="auto"/>
                                            <w:right w:val="none" w:sz="0" w:space="0" w:color="auto"/>
                                          </w:divBdr>
                                          <w:divsChild>
                                            <w:div w:id="914556631">
                                              <w:marLeft w:val="0"/>
                                              <w:marRight w:val="0"/>
                                              <w:marTop w:val="0"/>
                                              <w:marBottom w:val="0"/>
                                              <w:divBdr>
                                                <w:top w:val="single" w:sz="12" w:space="2" w:color="FFFFCC"/>
                                                <w:left w:val="single" w:sz="12" w:space="2" w:color="FFFFCC"/>
                                                <w:bottom w:val="single" w:sz="12" w:space="2" w:color="FFFFCC"/>
                                                <w:right w:val="single" w:sz="12" w:space="0" w:color="FFFFCC"/>
                                              </w:divBdr>
                                              <w:divsChild>
                                                <w:div w:id="1491948771">
                                                  <w:marLeft w:val="0"/>
                                                  <w:marRight w:val="0"/>
                                                  <w:marTop w:val="0"/>
                                                  <w:marBottom w:val="0"/>
                                                  <w:divBdr>
                                                    <w:top w:val="none" w:sz="0" w:space="0" w:color="auto"/>
                                                    <w:left w:val="none" w:sz="0" w:space="0" w:color="auto"/>
                                                    <w:bottom w:val="none" w:sz="0" w:space="0" w:color="auto"/>
                                                    <w:right w:val="none" w:sz="0" w:space="0" w:color="auto"/>
                                                  </w:divBdr>
                                                  <w:divsChild>
                                                    <w:div w:id="909778475">
                                                      <w:marLeft w:val="0"/>
                                                      <w:marRight w:val="0"/>
                                                      <w:marTop w:val="0"/>
                                                      <w:marBottom w:val="0"/>
                                                      <w:divBdr>
                                                        <w:top w:val="none" w:sz="0" w:space="0" w:color="auto"/>
                                                        <w:left w:val="none" w:sz="0" w:space="0" w:color="auto"/>
                                                        <w:bottom w:val="none" w:sz="0" w:space="0" w:color="auto"/>
                                                        <w:right w:val="none" w:sz="0" w:space="0" w:color="auto"/>
                                                      </w:divBdr>
                                                      <w:divsChild>
                                                        <w:div w:id="1445953236">
                                                          <w:marLeft w:val="0"/>
                                                          <w:marRight w:val="0"/>
                                                          <w:marTop w:val="0"/>
                                                          <w:marBottom w:val="0"/>
                                                          <w:divBdr>
                                                            <w:top w:val="none" w:sz="0" w:space="0" w:color="auto"/>
                                                            <w:left w:val="none" w:sz="0" w:space="0" w:color="auto"/>
                                                            <w:bottom w:val="none" w:sz="0" w:space="0" w:color="auto"/>
                                                            <w:right w:val="none" w:sz="0" w:space="0" w:color="auto"/>
                                                          </w:divBdr>
                                                          <w:divsChild>
                                                            <w:div w:id="2020042101">
                                                              <w:marLeft w:val="0"/>
                                                              <w:marRight w:val="0"/>
                                                              <w:marTop w:val="0"/>
                                                              <w:marBottom w:val="0"/>
                                                              <w:divBdr>
                                                                <w:top w:val="none" w:sz="0" w:space="0" w:color="auto"/>
                                                                <w:left w:val="none" w:sz="0" w:space="0" w:color="auto"/>
                                                                <w:bottom w:val="none" w:sz="0" w:space="0" w:color="auto"/>
                                                                <w:right w:val="none" w:sz="0" w:space="0" w:color="auto"/>
                                                              </w:divBdr>
                                                              <w:divsChild>
                                                                <w:div w:id="382563339">
                                                                  <w:marLeft w:val="0"/>
                                                                  <w:marRight w:val="0"/>
                                                                  <w:marTop w:val="0"/>
                                                                  <w:marBottom w:val="0"/>
                                                                  <w:divBdr>
                                                                    <w:top w:val="none" w:sz="0" w:space="0" w:color="auto"/>
                                                                    <w:left w:val="none" w:sz="0" w:space="0" w:color="auto"/>
                                                                    <w:bottom w:val="none" w:sz="0" w:space="0" w:color="auto"/>
                                                                    <w:right w:val="none" w:sz="0" w:space="0" w:color="auto"/>
                                                                  </w:divBdr>
                                                                  <w:divsChild>
                                                                    <w:div w:id="822770214">
                                                                      <w:marLeft w:val="0"/>
                                                                      <w:marRight w:val="0"/>
                                                                      <w:marTop w:val="0"/>
                                                                      <w:marBottom w:val="0"/>
                                                                      <w:divBdr>
                                                                        <w:top w:val="none" w:sz="0" w:space="0" w:color="auto"/>
                                                                        <w:left w:val="none" w:sz="0" w:space="0" w:color="auto"/>
                                                                        <w:bottom w:val="none" w:sz="0" w:space="0" w:color="auto"/>
                                                                        <w:right w:val="none" w:sz="0" w:space="0" w:color="auto"/>
                                                                      </w:divBdr>
                                                                      <w:divsChild>
                                                                        <w:div w:id="1732655800">
                                                                          <w:marLeft w:val="0"/>
                                                                          <w:marRight w:val="0"/>
                                                                          <w:marTop w:val="0"/>
                                                                          <w:marBottom w:val="0"/>
                                                                          <w:divBdr>
                                                                            <w:top w:val="none" w:sz="0" w:space="0" w:color="auto"/>
                                                                            <w:left w:val="none" w:sz="0" w:space="0" w:color="auto"/>
                                                                            <w:bottom w:val="none" w:sz="0" w:space="0" w:color="auto"/>
                                                                            <w:right w:val="none" w:sz="0" w:space="0" w:color="auto"/>
                                                                          </w:divBdr>
                                                                          <w:divsChild>
                                                                            <w:div w:id="1733849686">
                                                                              <w:marLeft w:val="0"/>
                                                                              <w:marRight w:val="0"/>
                                                                              <w:marTop w:val="0"/>
                                                                              <w:marBottom w:val="0"/>
                                                                              <w:divBdr>
                                                                                <w:top w:val="none" w:sz="0" w:space="0" w:color="auto"/>
                                                                                <w:left w:val="none" w:sz="0" w:space="0" w:color="auto"/>
                                                                                <w:bottom w:val="none" w:sz="0" w:space="0" w:color="auto"/>
                                                                                <w:right w:val="none" w:sz="0" w:space="0" w:color="auto"/>
                                                                              </w:divBdr>
                                                                              <w:divsChild>
                                                                                <w:div w:id="894389593">
                                                                                  <w:marLeft w:val="0"/>
                                                                                  <w:marRight w:val="0"/>
                                                                                  <w:marTop w:val="0"/>
                                                                                  <w:marBottom w:val="0"/>
                                                                                  <w:divBdr>
                                                                                    <w:top w:val="none" w:sz="0" w:space="0" w:color="auto"/>
                                                                                    <w:left w:val="none" w:sz="0" w:space="0" w:color="auto"/>
                                                                                    <w:bottom w:val="none" w:sz="0" w:space="0" w:color="auto"/>
                                                                                    <w:right w:val="none" w:sz="0" w:space="0" w:color="auto"/>
                                                                                  </w:divBdr>
                                                                                  <w:divsChild>
                                                                                    <w:div w:id="1200626611">
                                                                                      <w:marLeft w:val="0"/>
                                                                                      <w:marRight w:val="0"/>
                                                                                      <w:marTop w:val="0"/>
                                                                                      <w:marBottom w:val="0"/>
                                                                                      <w:divBdr>
                                                                                        <w:top w:val="none" w:sz="0" w:space="0" w:color="auto"/>
                                                                                        <w:left w:val="none" w:sz="0" w:space="0" w:color="auto"/>
                                                                                        <w:bottom w:val="none" w:sz="0" w:space="0" w:color="auto"/>
                                                                                        <w:right w:val="none" w:sz="0" w:space="0" w:color="auto"/>
                                                                                      </w:divBdr>
                                                                                      <w:divsChild>
                                                                                        <w:div w:id="1029375872">
                                                                                          <w:marLeft w:val="0"/>
                                                                                          <w:marRight w:val="120"/>
                                                                                          <w:marTop w:val="0"/>
                                                                                          <w:marBottom w:val="150"/>
                                                                                          <w:divBdr>
                                                                                            <w:top w:val="single" w:sz="2" w:space="0" w:color="EFEFEF"/>
                                                                                            <w:left w:val="single" w:sz="6" w:space="0" w:color="EFEFEF"/>
                                                                                            <w:bottom w:val="single" w:sz="6" w:space="0" w:color="E2E2E2"/>
                                                                                            <w:right w:val="single" w:sz="6" w:space="0" w:color="EFEFEF"/>
                                                                                          </w:divBdr>
                                                                                          <w:divsChild>
                                                                                            <w:div w:id="790633475">
                                                                                              <w:marLeft w:val="0"/>
                                                                                              <w:marRight w:val="0"/>
                                                                                              <w:marTop w:val="0"/>
                                                                                              <w:marBottom w:val="0"/>
                                                                                              <w:divBdr>
                                                                                                <w:top w:val="none" w:sz="0" w:space="0" w:color="auto"/>
                                                                                                <w:left w:val="none" w:sz="0" w:space="0" w:color="auto"/>
                                                                                                <w:bottom w:val="none" w:sz="0" w:space="0" w:color="auto"/>
                                                                                                <w:right w:val="none" w:sz="0" w:space="0" w:color="auto"/>
                                                                                              </w:divBdr>
                                                                                              <w:divsChild>
                                                                                                <w:div w:id="809638074">
                                                                                                  <w:marLeft w:val="0"/>
                                                                                                  <w:marRight w:val="0"/>
                                                                                                  <w:marTop w:val="0"/>
                                                                                                  <w:marBottom w:val="0"/>
                                                                                                  <w:divBdr>
                                                                                                    <w:top w:val="none" w:sz="0" w:space="0" w:color="auto"/>
                                                                                                    <w:left w:val="none" w:sz="0" w:space="0" w:color="auto"/>
                                                                                                    <w:bottom w:val="none" w:sz="0" w:space="0" w:color="auto"/>
                                                                                                    <w:right w:val="none" w:sz="0" w:space="0" w:color="auto"/>
                                                                                                  </w:divBdr>
                                                                                                  <w:divsChild>
                                                                                                    <w:div w:id="470755866">
                                                                                                      <w:marLeft w:val="0"/>
                                                                                                      <w:marRight w:val="0"/>
                                                                                                      <w:marTop w:val="0"/>
                                                                                                      <w:marBottom w:val="0"/>
                                                                                                      <w:divBdr>
                                                                                                        <w:top w:val="none" w:sz="0" w:space="0" w:color="auto"/>
                                                                                                        <w:left w:val="none" w:sz="0" w:space="0" w:color="auto"/>
                                                                                                        <w:bottom w:val="none" w:sz="0" w:space="0" w:color="auto"/>
                                                                                                        <w:right w:val="none" w:sz="0" w:space="0" w:color="auto"/>
                                                                                                      </w:divBdr>
                                                                                                      <w:divsChild>
                                                                                                        <w:div w:id="1225877152">
                                                                                                          <w:marLeft w:val="0"/>
                                                                                                          <w:marRight w:val="0"/>
                                                                                                          <w:marTop w:val="0"/>
                                                                                                          <w:marBottom w:val="0"/>
                                                                                                          <w:divBdr>
                                                                                                            <w:top w:val="single" w:sz="6" w:space="0" w:color="E5E5E5"/>
                                                                                                            <w:left w:val="none" w:sz="0" w:space="0" w:color="auto"/>
                                                                                                            <w:bottom w:val="none" w:sz="0" w:space="0" w:color="auto"/>
                                                                                                            <w:right w:val="none" w:sz="0" w:space="0" w:color="auto"/>
                                                                                                          </w:divBdr>
                                                                                                          <w:divsChild>
                                                                                                            <w:div w:id="85733348">
                                                                                                              <w:marLeft w:val="0"/>
                                                                                                              <w:marRight w:val="0"/>
                                                                                                              <w:marTop w:val="0"/>
                                                                                                              <w:marBottom w:val="0"/>
                                                                                                              <w:divBdr>
                                                                                                                <w:top w:val="single" w:sz="6" w:space="9" w:color="D8D8D8"/>
                                                                                                                <w:left w:val="none" w:sz="0" w:space="0" w:color="auto"/>
                                                                                                                <w:bottom w:val="none" w:sz="0" w:space="0" w:color="auto"/>
                                                                                                                <w:right w:val="none" w:sz="0" w:space="0" w:color="auto"/>
                                                                                                              </w:divBdr>
                                                                                                              <w:divsChild>
                                                                                                                <w:div w:id="502938061">
                                                                                                                  <w:marLeft w:val="0"/>
                                                                                                                  <w:marRight w:val="0"/>
                                                                                                                  <w:marTop w:val="0"/>
                                                                                                                  <w:marBottom w:val="0"/>
                                                                                                                  <w:divBdr>
                                                                                                                    <w:top w:val="none" w:sz="0" w:space="0" w:color="auto"/>
                                                                                                                    <w:left w:val="none" w:sz="0" w:space="0" w:color="auto"/>
                                                                                                                    <w:bottom w:val="none" w:sz="0" w:space="0" w:color="auto"/>
                                                                                                                    <w:right w:val="none" w:sz="0" w:space="0" w:color="auto"/>
                                                                                                                  </w:divBdr>
                                                                                                                  <w:divsChild>
                                                                                                                    <w:div w:id="186141735">
                                                                                                                      <w:marLeft w:val="0"/>
                                                                                                                      <w:marRight w:val="0"/>
                                                                                                                      <w:marTop w:val="0"/>
                                                                                                                      <w:marBottom w:val="0"/>
                                                                                                                      <w:divBdr>
                                                                                                                        <w:top w:val="none" w:sz="0" w:space="0" w:color="auto"/>
                                                                                                                        <w:left w:val="none" w:sz="0" w:space="0" w:color="auto"/>
                                                                                                                        <w:bottom w:val="none" w:sz="0" w:space="0" w:color="auto"/>
                                                                                                                        <w:right w:val="none" w:sz="0" w:space="0" w:color="auto"/>
                                                                                                                      </w:divBdr>
                                                                                                                      <w:divsChild>
                                                                                                                        <w:div w:id="1095902534">
                                                                                                                          <w:marLeft w:val="0"/>
                                                                                                                          <w:marRight w:val="0"/>
                                                                                                                          <w:marTop w:val="0"/>
                                                                                                                          <w:marBottom w:val="0"/>
                                                                                                                          <w:divBdr>
                                                                                                                            <w:top w:val="none" w:sz="0" w:space="0" w:color="auto"/>
                                                                                                                            <w:left w:val="none" w:sz="0" w:space="0" w:color="auto"/>
                                                                                                                            <w:bottom w:val="none" w:sz="0" w:space="0" w:color="auto"/>
                                                                                                                            <w:right w:val="none" w:sz="0" w:space="0" w:color="auto"/>
                                                                                                                          </w:divBdr>
                                                                                                                          <w:divsChild>
                                                                                                                            <w:div w:id="1240017539">
                                                                                                                              <w:marLeft w:val="-6000"/>
                                                                                                                              <w:marRight w:val="0"/>
                                                                                                                              <w:marTop w:val="0"/>
                                                                                                                              <w:marBottom w:val="135"/>
                                                                                                                              <w:divBdr>
                                                                                                                                <w:top w:val="none" w:sz="0" w:space="0" w:color="auto"/>
                                                                                                                                <w:left w:val="none" w:sz="0" w:space="0" w:color="auto"/>
                                                                                                                                <w:bottom w:val="single" w:sz="6" w:space="0" w:color="E5E5E5"/>
                                                                                                                                <w:right w:val="none" w:sz="0" w:space="0" w:color="auto"/>
                                                                                                                              </w:divBdr>
                                                                                                                              <w:divsChild>
                                                                                                                                <w:div w:id="1832600789">
                                                                                                                                  <w:marLeft w:val="0"/>
                                                                                                                                  <w:marRight w:val="0"/>
                                                                                                                                  <w:marTop w:val="0"/>
                                                                                                                                  <w:marBottom w:val="0"/>
                                                                                                                                  <w:divBdr>
                                                                                                                                    <w:top w:val="none" w:sz="0" w:space="0" w:color="auto"/>
                                                                                                                                    <w:left w:val="none" w:sz="0" w:space="0" w:color="auto"/>
                                                                                                                                    <w:bottom w:val="none" w:sz="0" w:space="0" w:color="auto"/>
                                                                                                                                    <w:right w:val="none" w:sz="0" w:space="0" w:color="auto"/>
                                                                                                                                  </w:divBdr>
                                                                                                                                  <w:divsChild>
                                                                                                                                    <w:div w:id="266425319">
                                                                                                                                      <w:marLeft w:val="0"/>
                                                                                                                                      <w:marRight w:val="0"/>
                                                                                                                                      <w:marTop w:val="0"/>
                                                                                                                                      <w:marBottom w:val="0"/>
                                                                                                                                      <w:divBdr>
                                                                                                                                        <w:top w:val="none" w:sz="0" w:space="0" w:color="auto"/>
                                                                                                                                        <w:left w:val="none" w:sz="0" w:space="0" w:color="auto"/>
                                                                                                                                        <w:bottom w:val="none" w:sz="0" w:space="0" w:color="auto"/>
                                                                                                                                        <w:right w:val="none" w:sz="0" w:space="0" w:color="auto"/>
                                                                                                                                      </w:divBdr>
                                                                                                                                      <w:divsChild>
                                                                                                                                        <w:div w:id="1664116113">
                                                                                                                                          <w:marLeft w:val="0"/>
                                                                                                                                          <w:marRight w:val="0"/>
                                                                                                                                          <w:marTop w:val="0"/>
                                                                                                                                          <w:marBottom w:val="0"/>
                                                                                                                                          <w:divBdr>
                                                                                                                                            <w:top w:val="none" w:sz="0" w:space="0" w:color="auto"/>
                                                                                                                                            <w:left w:val="none" w:sz="0" w:space="0" w:color="auto"/>
                                                                                                                                            <w:bottom w:val="none" w:sz="0" w:space="0" w:color="auto"/>
                                                                                                                                            <w:right w:val="none" w:sz="0" w:space="0" w:color="auto"/>
                                                                                                                                          </w:divBdr>
                                                                                                                                          <w:divsChild>
                                                                                                                                            <w:div w:id="68620001">
                                                                                                                                              <w:marLeft w:val="0"/>
                                                                                                                                              <w:marRight w:val="0"/>
                                                                                                                                              <w:marTop w:val="0"/>
                                                                                                                                              <w:marBottom w:val="0"/>
                                                                                                                                              <w:divBdr>
                                                                                                                                                <w:top w:val="single" w:sz="6" w:space="0" w:color="666666"/>
                                                                                                                                                <w:left w:val="single" w:sz="6" w:space="0" w:color="CCCCCC"/>
                                                                                                                                                <w:bottom w:val="single" w:sz="6" w:space="0" w:color="CCCCCC"/>
                                                                                                                                                <w:right w:val="single" w:sz="6" w:space="0" w:color="CCCCCC"/>
                                                                                                                                              </w:divBdr>
                                                                                                                                              <w:divsChild>
                                                                                                                                                <w:div w:id="1015567">
                                                                                                                                                  <w:marLeft w:val="30"/>
                                                                                                                                                  <w:marRight w:val="0"/>
                                                                                                                                                  <w:marTop w:val="0"/>
                                                                                                                                                  <w:marBottom w:val="0"/>
                                                                                                                                                  <w:divBdr>
                                                                                                                                                    <w:top w:val="none" w:sz="0" w:space="0" w:color="auto"/>
                                                                                                                                                    <w:left w:val="none" w:sz="0" w:space="0" w:color="auto"/>
                                                                                                                                                    <w:bottom w:val="none" w:sz="0" w:space="0" w:color="auto"/>
                                                                                                                                                    <w:right w:val="none" w:sz="0" w:space="0" w:color="auto"/>
                                                                                                                                                  </w:divBdr>
                                                                                                                                                  <w:divsChild>
                                                                                                                                                    <w:div w:id="1888183652">
                                                                                                                                                      <w:marLeft w:val="0"/>
                                                                                                                                                      <w:marRight w:val="0"/>
                                                                                                                                                      <w:marTop w:val="0"/>
                                                                                                                                                      <w:marBottom w:val="0"/>
                                                                                                                                                      <w:divBdr>
                                                                                                                                                        <w:top w:val="none" w:sz="0" w:space="0" w:color="auto"/>
                                                                                                                                                        <w:left w:val="none" w:sz="0" w:space="0" w:color="auto"/>
                                                                                                                                                        <w:bottom w:val="none" w:sz="0" w:space="0" w:color="auto"/>
                                                                                                                                                        <w:right w:val="none" w:sz="0" w:space="0" w:color="auto"/>
                                                                                                                                                      </w:divBdr>
                                                                                                                                                    </w:div>
                                                                                                                                                    <w:div w:id="11502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502</Words>
  <Characters>2767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jsalv</dc:creator>
  <cp:keywords/>
  <dc:description/>
  <cp:lastModifiedBy>jsalv</cp:lastModifiedBy>
  <cp:revision>9</cp:revision>
  <dcterms:created xsi:type="dcterms:W3CDTF">2016-03-10T14:58:00Z</dcterms:created>
  <dcterms:modified xsi:type="dcterms:W3CDTF">2016-05-11T11:41:00Z</dcterms:modified>
</cp:coreProperties>
</file>