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3D0" w:rsidRDefault="008763D0">
      <w:pPr>
        <w:rPr>
          <w:b/>
        </w:rPr>
      </w:pPr>
      <w:r>
        <w:rPr>
          <w:b/>
          <w:u w:val="single"/>
        </w:rPr>
        <w:t>Partie 1 : Radiothérapie</w:t>
      </w:r>
    </w:p>
    <w:p w:rsidR="00F417E1" w:rsidRDefault="00F417E1">
      <w:r>
        <w:rPr>
          <w:u w:val="single"/>
        </w:rPr>
        <w:t>Question 1 </w:t>
      </w:r>
      <w:r>
        <w:t>: Caractérisation débit de réf de la machine</w:t>
      </w:r>
    </w:p>
    <w:p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rsidR="00F417E1" w:rsidRDefault="00F417E1" w:rsidP="00F417E1">
      <w:r>
        <w:t>La géométrie pour l’étalonnage peut varier voire même les conditions (T°, pression…). A prendre en compte grâce aux facteurs correctifs que l’on connaît tous sur le bout des pieds ! (</w:t>
      </w:r>
      <w:proofErr w:type="spellStart"/>
      <w:r>
        <w:t>kpol</w:t>
      </w:r>
      <w:proofErr w:type="spellEnd"/>
      <w:r>
        <w:t xml:space="preserve">,  </w:t>
      </w:r>
      <w:proofErr w:type="spellStart"/>
      <w:r>
        <w:t>krec</w:t>
      </w:r>
      <w:proofErr w:type="spellEnd"/>
      <w:r>
        <w:t xml:space="preserve">, </w:t>
      </w:r>
      <w:proofErr w:type="spellStart"/>
      <w:r>
        <w:t>kt</w:t>
      </w:r>
      <w:proofErr w:type="gramStart"/>
      <w:r>
        <w:t>,p</w:t>
      </w:r>
      <w:proofErr w:type="spellEnd"/>
      <w:proofErr w:type="gramEnd"/>
      <w:r>
        <w:t>..)</w:t>
      </w:r>
    </w:p>
    <w:p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rsidR="00F417E1" w:rsidRDefault="00F417E1" w:rsidP="00F417E1">
      <w:pPr>
        <w:pStyle w:val="Paragraphedeliste"/>
      </w:pPr>
    </w:p>
    <w:tbl>
      <w:tblPr>
        <w:tblStyle w:val="Grilledutableau"/>
        <w:tblW w:w="0" w:type="auto"/>
        <w:tblInd w:w="720" w:type="dxa"/>
        <w:tblLook w:val="04A0" w:firstRow="1" w:lastRow="0" w:firstColumn="1" w:lastColumn="0" w:noHBand="0" w:noVBand="1"/>
      </w:tblPr>
      <w:tblGrid>
        <w:gridCol w:w="4299"/>
        <w:gridCol w:w="4269"/>
      </w:tblGrid>
      <w:tr w:rsidR="00BD518C" w:rsidTr="00F417E1">
        <w:tc>
          <w:tcPr>
            <w:tcW w:w="4606" w:type="dxa"/>
            <w:vAlign w:val="center"/>
          </w:tcPr>
          <w:p w:rsidR="00F417E1" w:rsidRDefault="00F417E1" w:rsidP="00F417E1">
            <w:pPr>
              <w:pStyle w:val="Paragraphedeliste"/>
              <w:ind w:left="0"/>
              <w:jc w:val="center"/>
            </w:pPr>
            <w:r>
              <w:t>Photons</w:t>
            </w:r>
          </w:p>
        </w:tc>
        <w:tc>
          <w:tcPr>
            <w:tcW w:w="4606" w:type="dxa"/>
            <w:vAlign w:val="center"/>
          </w:tcPr>
          <w:p w:rsidR="00F417E1" w:rsidRDefault="00F417E1" w:rsidP="00F417E1">
            <w:pPr>
              <w:pStyle w:val="Paragraphedeliste"/>
              <w:ind w:left="0"/>
              <w:jc w:val="center"/>
            </w:pPr>
            <w:r>
              <w:t>Electrons</w:t>
            </w:r>
          </w:p>
        </w:tc>
      </w:tr>
      <w:tr w:rsidR="00BD518C" w:rsidTr="00F417E1">
        <w:tc>
          <w:tcPr>
            <w:tcW w:w="4606" w:type="dxa"/>
            <w:vAlign w:val="center"/>
          </w:tcPr>
          <w:p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rsidR="00BD518C" w:rsidRDefault="00BD518C" w:rsidP="00BD518C">
            <w:pPr>
              <w:pStyle w:val="Paragraphedeliste"/>
              <w:ind w:left="0"/>
              <w:jc w:val="center"/>
            </w:pPr>
            <w:r>
              <w:t>champ 10x10 cm²</w:t>
            </w:r>
          </w:p>
          <w:p w:rsidR="00BD518C" w:rsidRDefault="00BD518C" w:rsidP="00BD518C">
            <w:pPr>
              <w:pStyle w:val="Paragraphedeliste"/>
              <w:ind w:left="0"/>
              <w:jc w:val="center"/>
            </w:pPr>
            <w:r>
              <w:t>mesure sur le centre géométrique de la CI</w:t>
            </w:r>
          </w:p>
          <w:p w:rsidR="00BD518C" w:rsidRDefault="00BD518C" w:rsidP="00BD518C">
            <w:pPr>
              <w:pStyle w:val="Paragraphedeliste"/>
              <w:ind w:left="0"/>
              <w:jc w:val="center"/>
            </w:pPr>
            <w:r>
              <w:t>dans un fantôme eau semi-infini de surface plane</w:t>
            </w:r>
          </w:p>
          <w:p w:rsidR="00BD518C" w:rsidRDefault="00BD518C" w:rsidP="00BD518C">
            <w:pPr>
              <w:pStyle w:val="Paragraphedeliste"/>
              <w:ind w:left="0"/>
              <w:jc w:val="center"/>
            </w:pPr>
            <w:r>
              <w:t>DSD 100</w:t>
            </w:r>
          </w:p>
          <w:p w:rsidR="00BD518C" w:rsidRPr="00BD518C" w:rsidRDefault="00BD518C" w:rsidP="00BD518C">
            <w:pPr>
              <w:pStyle w:val="Paragraphedeliste"/>
              <w:ind w:left="0"/>
              <w:jc w:val="center"/>
            </w:pPr>
            <w:r>
              <w:t xml:space="preserve">200UM </w:t>
            </w:r>
          </w:p>
        </w:tc>
        <w:tc>
          <w:tcPr>
            <w:tcW w:w="4606" w:type="dxa"/>
            <w:vAlign w:val="center"/>
          </w:tcPr>
          <w:p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rsidR="00BD518C" w:rsidRDefault="00BD518C" w:rsidP="00BD518C">
            <w:pPr>
              <w:pStyle w:val="Paragraphedeliste"/>
              <w:ind w:left="0"/>
              <w:jc w:val="center"/>
            </w:pPr>
            <w:r>
              <w:t>champ 10x10 cm²</w:t>
            </w:r>
          </w:p>
          <w:p w:rsidR="00BD518C" w:rsidRDefault="00BD518C" w:rsidP="00F417E1">
            <w:pPr>
              <w:pStyle w:val="Paragraphedeliste"/>
              <w:ind w:left="0"/>
              <w:jc w:val="center"/>
            </w:pPr>
            <w:r>
              <w:t>Point de mesure sur la surface interne de la fenêtre d’entrée</w:t>
            </w:r>
          </w:p>
          <w:p w:rsidR="00F417E1" w:rsidRDefault="00BD518C" w:rsidP="00F417E1">
            <w:pPr>
              <w:pStyle w:val="Paragraphedeliste"/>
              <w:ind w:left="0"/>
              <w:jc w:val="center"/>
            </w:pPr>
            <w:r>
              <w:t xml:space="preserve">200 UM </w:t>
            </w:r>
          </w:p>
          <w:p w:rsidR="00BD518C" w:rsidRDefault="00BD518C" w:rsidP="00F417E1">
            <w:pPr>
              <w:pStyle w:val="Paragraphedeliste"/>
              <w:ind w:left="0"/>
              <w:jc w:val="center"/>
            </w:pPr>
            <w:r>
              <w:t>fantôme eau semi-infini de surface</w:t>
            </w:r>
          </w:p>
        </w:tc>
      </w:tr>
    </w:tbl>
    <w:p w:rsidR="00F417E1" w:rsidRDefault="00F417E1" w:rsidP="00F417E1">
      <w:pPr>
        <w:pStyle w:val="Paragraphedeliste"/>
      </w:pPr>
    </w:p>
    <w:p w:rsidR="00C617F1"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p>
    <w:p w:rsidR="00C617F1" w:rsidRDefault="00C617F1" w:rsidP="00C617F1">
      <w:pPr>
        <w:pStyle w:val="Paragraphedeliste"/>
      </w:pPr>
    </w:p>
    <w:p w:rsidR="00C617F1" w:rsidRDefault="00C617F1" w:rsidP="00C617F1">
      <w:pPr>
        <w:pStyle w:val="Paragraphedeliste"/>
        <w:numPr>
          <w:ilvl w:val="0"/>
          <w:numId w:val="1"/>
        </w:numPr>
      </w:pPr>
      <w:r>
        <w:t>Tolérance sur le TOP</w:t>
      </w:r>
      <w:r w:rsidR="00E256BA">
        <w:t xml:space="preserve"> (ANSM)</w:t>
      </w:r>
      <w:r>
        <w:t xml:space="preserve"> : </w:t>
      </w:r>
    </w:p>
    <w:p w:rsidR="00C617F1" w:rsidRDefault="00C617F1" w:rsidP="00C617F1">
      <w:pPr>
        <w:pStyle w:val="Paragraphedeliste"/>
      </w:pPr>
    </w:p>
    <w:p w:rsidR="00C617F1" w:rsidRDefault="00C617F1" w:rsidP="00C617F1">
      <w:pPr>
        <w:pStyle w:val="Paragraphedeliste"/>
        <w:numPr>
          <w:ilvl w:val="1"/>
          <w:numId w:val="1"/>
        </w:numPr>
      </w:pPr>
      <w:r>
        <w:t>entre 2 et 4 % : mesure le lendemain avec le même matériel et actions correctives si dépassement confirmé</w:t>
      </w:r>
    </w:p>
    <w:p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rsidR="00E256BA" w:rsidRDefault="00E256BA" w:rsidP="00E256BA">
      <w:pPr>
        <w:pStyle w:val="Paragraphedeliste"/>
        <w:ind w:left="1440"/>
      </w:pPr>
    </w:p>
    <w:p w:rsidR="00D33BEE" w:rsidRDefault="00D33BEE" w:rsidP="00D33BEE">
      <w:pPr>
        <w:pStyle w:val="Paragraphedeliste"/>
        <w:numPr>
          <w:ilvl w:val="0"/>
          <w:numId w:val="1"/>
        </w:numPr>
      </w:pPr>
      <w:r>
        <w:t>A l’iso : écart de 0,3 %  donc tout va bien. Je pense que ce n’est pas la réponse attendue…</w:t>
      </w:r>
    </w:p>
    <w:p w:rsidR="00D33BEE" w:rsidRDefault="00D33BEE" w:rsidP="00D33BEE">
      <w:pPr>
        <w:pStyle w:val="Paragraphedeliste"/>
      </w:pPr>
    </w:p>
    <w:p w:rsidR="00D33BEE" w:rsidRDefault="00D33BEE" w:rsidP="00D33BEE">
      <w:pPr>
        <w:pStyle w:val="Paragraphedeliste"/>
        <w:numPr>
          <w:ilvl w:val="0"/>
          <w:numId w:val="1"/>
        </w:numPr>
      </w:pPr>
      <w:r>
        <w:t>Causes potentielles d’une dérive de TOP :</w:t>
      </w:r>
    </w:p>
    <w:p w:rsidR="00D33BEE" w:rsidRDefault="00D33BEE" w:rsidP="00D33BEE">
      <w:pPr>
        <w:pStyle w:val="Paragraphedeliste"/>
      </w:pPr>
    </w:p>
    <w:p w:rsidR="00D33BEE" w:rsidRDefault="00D33BEE" w:rsidP="00D33BEE">
      <w:pPr>
        <w:pStyle w:val="Paragraphedeliste"/>
        <w:numPr>
          <w:ilvl w:val="1"/>
          <w:numId w:val="1"/>
        </w:numPr>
      </w:pPr>
      <w:r>
        <w:t>Montage</w:t>
      </w:r>
    </w:p>
    <w:p w:rsidR="00D33BEE" w:rsidRDefault="00D33BEE" w:rsidP="00D33BEE">
      <w:pPr>
        <w:pStyle w:val="Paragraphedeliste"/>
        <w:numPr>
          <w:ilvl w:val="1"/>
          <w:numId w:val="1"/>
        </w:numPr>
      </w:pPr>
      <w:r>
        <w:t>Chaine de mesure</w:t>
      </w:r>
    </w:p>
    <w:p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rsidR="00D33BEE" w:rsidRDefault="00D33BEE" w:rsidP="00D33BEE">
      <w:r>
        <w:t>Identification de la cause : refaire le montage, changer chaine de mesure, mesure dans l’eau</w:t>
      </w:r>
    </w:p>
    <w:p w:rsidR="00D33BEE" w:rsidRDefault="001D0494" w:rsidP="001D0494">
      <w:pPr>
        <w:pStyle w:val="Paragraphedeliste"/>
        <w:numPr>
          <w:ilvl w:val="0"/>
          <w:numId w:val="1"/>
        </w:numPr>
      </w:pPr>
      <w:r>
        <w:t>Chambre à cavité d’air. Vont par paire. Permettent de contrôle le débit de dose, l’homogénéité et la symétrie du faisc</w:t>
      </w:r>
      <w:r w:rsidR="00DA1DD3">
        <w:t>e</w:t>
      </w:r>
      <w:r>
        <w:t>au.</w:t>
      </w:r>
    </w:p>
    <w:p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rsidR="007043DC" w:rsidRDefault="007043DC" w:rsidP="007043DC">
      <w:pPr>
        <w:pStyle w:val="Paragraphedeliste"/>
      </w:pPr>
      <w:r>
        <w:lastRenderedPageBreak/>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rsidR="00B12B6E" w:rsidRDefault="00B12B6E" w:rsidP="00B12B6E">
      <w:pPr>
        <w:rPr>
          <w:u w:val="single"/>
        </w:rPr>
      </w:pPr>
      <w:r>
        <w:rPr>
          <w:u w:val="single"/>
        </w:rPr>
        <w:t>Question 2</w:t>
      </w:r>
    </w:p>
    <w:p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p>
    <w:p w:rsidR="00034D8C" w:rsidRDefault="00034D8C" w:rsidP="00034D8C">
      <w:pPr>
        <w:pStyle w:val="Paragraphedeliste"/>
      </w:pPr>
    </w:p>
    <w:p w:rsidR="00034D8C" w:rsidRDefault="00034D8C" w:rsidP="00B360F3">
      <w:pPr>
        <w:pStyle w:val="Paragraphedeliste"/>
        <w:numPr>
          <w:ilvl w:val="0"/>
          <w:numId w:val="2"/>
        </w:numPr>
      </w:pPr>
      <w:r>
        <w:t>Masque thermoformé 3 points, 5 mm pour le PTV</w:t>
      </w:r>
    </w:p>
    <w:p w:rsidR="00034D8C" w:rsidRDefault="00034D8C" w:rsidP="00034D8C">
      <w:pPr>
        <w:pStyle w:val="Paragraphedeliste"/>
      </w:pPr>
    </w:p>
    <w:p w:rsidR="00034D8C" w:rsidRDefault="000C243C" w:rsidP="00B360F3">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w:t>
      </w:r>
      <w:proofErr w:type="gramStart"/>
      <w:r>
        <w:t>caca</w:t>
      </w:r>
      <w:proofErr w:type="gramEnd"/>
      <w:r>
        <w:t xml:space="preserve"> d’oie :</w:t>
      </w:r>
      <w:r w:rsidR="00B75254">
        <w:t xml:space="preserve"> </w:t>
      </w:r>
      <w:r>
        <w:t>oreille interne.</w:t>
      </w:r>
    </w:p>
    <w:p w:rsidR="00B75254" w:rsidRDefault="00B75254" w:rsidP="00B75254">
      <w:pPr>
        <w:pStyle w:val="Paragraphedeliste"/>
      </w:pPr>
    </w:p>
    <w:p w:rsidR="00B75254" w:rsidRDefault="00B75254" w:rsidP="00B75254">
      <w:pPr>
        <w:pStyle w:val="Paragraphedeliste"/>
        <w:numPr>
          <w:ilvl w:val="0"/>
          <w:numId w:val="2"/>
        </w:numPr>
      </w:pPr>
      <w:r>
        <w:t>IRM</w:t>
      </w:r>
    </w:p>
    <w:p w:rsidR="00B75254" w:rsidRDefault="00B75254" w:rsidP="00B75254">
      <w:pPr>
        <w:pStyle w:val="Paragraphedeliste"/>
      </w:pPr>
    </w:p>
    <w:p w:rsidR="00B75254" w:rsidRDefault="00B75254" w:rsidP="00B75254">
      <w:pPr>
        <w:pStyle w:val="Paragraphedeliste"/>
        <w:numPr>
          <w:ilvl w:val="0"/>
          <w:numId w:val="2"/>
        </w:numPr>
      </w:pPr>
      <w:r>
        <w:t>.</w:t>
      </w:r>
    </w:p>
    <w:p w:rsidR="00B75254" w:rsidRDefault="00B75254" w:rsidP="00B75254">
      <w:pPr>
        <w:pStyle w:val="Paragraphedeliste"/>
      </w:pPr>
    </w:p>
    <w:p w:rsidR="00B75254" w:rsidRDefault="00B75254" w:rsidP="00B75254">
      <w:pPr>
        <w:pStyle w:val="Paragraphedeliste"/>
        <w:numPr>
          <w:ilvl w:val="0"/>
          <w:numId w:val="2"/>
        </w:numPr>
      </w:pPr>
      <w:r>
        <w:t xml:space="preserve">En RC3D </w:t>
      </w:r>
      <w:proofErr w:type="spellStart"/>
      <w:r>
        <w:t>on</w:t>
      </w:r>
      <w:proofErr w:type="spellEnd"/>
      <w:r>
        <w:t xml:space="preserve"> prescrit une dose sur un point. En RCMI prescription sur un volume</w:t>
      </w:r>
    </w:p>
    <w:p w:rsidR="00B75254" w:rsidRDefault="00B75254" w:rsidP="00B75254">
      <w:pPr>
        <w:pStyle w:val="Paragraphedeliste"/>
      </w:pPr>
    </w:p>
    <w:p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rsidR="007A49A4" w:rsidRDefault="007A49A4" w:rsidP="007A49A4">
      <w:pPr>
        <w:pStyle w:val="Paragraphedeliste"/>
      </w:pPr>
    </w:p>
    <w:p w:rsidR="007A49A4" w:rsidRDefault="007A49A4" w:rsidP="007A49A4">
      <w:r>
        <w:rPr>
          <w:b/>
          <w:u w:val="single"/>
        </w:rPr>
        <w:t>Partie 2 : Radiologie</w:t>
      </w:r>
    </w:p>
    <w:p w:rsidR="007A49A4" w:rsidRDefault="007A49A4" w:rsidP="007A49A4">
      <w:r>
        <w:rPr>
          <w:u w:val="single"/>
        </w:rPr>
        <w:t>Question 1</w:t>
      </w:r>
    </w:p>
    <w:p w:rsidR="007A49A4" w:rsidRDefault="007A49A4" w:rsidP="007A49A4">
      <w:r>
        <w:tab/>
      </w:r>
      <w:proofErr w:type="spellStart"/>
      <w:r>
        <w:t>Recommendations</w:t>
      </w:r>
      <w:proofErr w:type="spellEnd"/>
      <w:r>
        <w:t xml:space="preserve"> SFPM et NEMA</w:t>
      </w:r>
    </w:p>
    <w:tbl>
      <w:tblPr>
        <w:tblStyle w:val="Grilledutableau"/>
        <w:tblW w:w="0" w:type="auto"/>
        <w:jc w:val="center"/>
        <w:tblLook w:val="04A0" w:firstRow="1" w:lastRow="0" w:firstColumn="1" w:lastColumn="0" w:noHBand="0" w:noVBand="1"/>
      </w:tblPr>
      <w:tblGrid>
        <w:gridCol w:w="1944"/>
        <w:gridCol w:w="3931"/>
        <w:gridCol w:w="3413"/>
      </w:tblGrid>
      <w:tr w:rsidR="00C63FF5" w:rsidTr="007A49A4">
        <w:trPr>
          <w:jc w:val="center"/>
        </w:trPr>
        <w:tc>
          <w:tcPr>
            <w:tcW w:w="0" w:type="auto"/>
            <w:vAlign w:val="center"/>
          </w:tcPr>
          <w:p w:rsidR="007A49A4" w:rsidRDefault="007A49A4" w:rsidP="007A49A4">
            <w:pPr>
              <w:jc w:val="center"/>
            </w:pPr>
            <w:r>
              <w:t>Fréquence</w:t>
            </w:r>
          </w:p>
        </w:tc>
        <w:tc>
          <w:tcPr>
            <w:tcW w:w="0" w:type="auto"/>
            <w:vAlign w:val="center"/>
          </w:tcPr>
          <w:p w:rsidR="007A49A4" w:rsidRDefault="007A49A4" w:rsidP="007A49A4">
            <w:pPr>
              <w:jc w:val="center"/>
            </w:pPr>
            <w:r>
              <w:t>Test</w:t>
            </w:r>
          </w:p>
        </w:tc>
        <w:tc>
          <w:tcPr>
            <w:tcW w:w="0" w:type="auto"/>
            <w:vAlign w:val="center"/>
          </w:tcPr>
          <w:p w:rsidR="007A49A4" w:rsidRDefault="007A49A4" w:rsidP="007A49A4">
            <w:pPr>
              <w:jc w:val="center"/>
            </w:pPr>
            <w:r>
              <w:t>Description du test</w:t>
            </w:r>
          </w:p>
        </w:tc>
      </w:tr>
      <w:tr w:rsidR="00C63FF5" w:rsidTr="007A49A4">
        <w:trPr>
          <w:jc w:val="center"/>
        </w:trPr>
        <w:tc>
          <w:tcPr>
            <w:tcW w:w="0" w:type="auto"/>
            <w:vMerge w:val="restart"/>
            <w:vAlign w:val="center"/>
          </w:tcPr>
          <w:p w:rsidR="007A49A4" w:rsidRDefault="007A49A4" w:rsidP="007A49A4">
            <w:pPr>
              <w:jc w:val="center"/>
            </w:pPr>
            <w:r>
              <w:t>Quotidien</w:t>
            </w:r>
          </w:p>
        </w:tc>
        <w:tc>
          <w:tcPr>
            <w:tcW w:w="0" w:type="auto"/>
            <w:vAlign w:val="center"/>
          </w:tcPr>
          <w:p w:rsidR="007A49A4" w:rsidRDefault="007A49A4" w:rsidP="007A49A4">
            <w:pPr>
              <w:jc w:val="center"/>
            </w:pPr>
            <w:r>
              <w:t>Transmission à blanc</w:t>
            </w:r>
          </w:p>
        </w:tc>
        <w:tc>
          <w:tcPr>
            <w:tcW w:w="0" w:type="auto"/>
            <w:vAlign w:val="center"/>
          </w:tcPr>
          <w:p w:rsidR="007A49A4" w:rsidRDefault="007A49A4" w:rsidP="007A49A4">
            <w:pPr>
              <w:jc w:val="center"/>
            </w:pPr>
            <w:r>
              <w:t>Inspection visuelle ou analyse pixel par pixel</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Initialisation du TEP</w:t>
            </w:r>
            <w:r w:rsidR="00C63FF5">
              <w:t xml:space="preserve"> (contrôle des détecteurs et leur électronique)</w:t>
            </w:r>
          </w:p>
        </w:tc>
        <w:tc>
          <w:tcPr>
            <w:tcW w:w="0" w:type="auto"/>
            <w:vAlign w:val="center"/>
          </w:tcPr>
          <w:p w:rsidR="007A49A4" w:rsidRDefault="007A49A4" w:rsidP="007A49A4">
            <w:pPr>
              <w:jc w:val="center"/>
            </w:pPr>
            <w:r>
              <w:t>Analyse par programme constructeur</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Initialisation du TDM</w:t>
            </w:r>
          </w:p>
        </w:tc>
        <w:tc>
          <w:tcPr>
            <w:tcW w:w="0" w:type="auto"/>
            <w:vAlign w:val="center"/>
          </w:tcPr>
          <w:p w:rsidR="007A49A4" w:rsidRDefault="007A49A4" w:rsidP="007A49A4">
            <w:pPr>
              <w:jc w:val="center"/>
            </w:pPr>
            <w:r>
              <w:t>Etalonnage dans l’air</w:t>
            </w:r>
          </w:p>
        </w:tc>
      </w:tr>
      <w:tr w:rsidR="00C63FF5" w:rsidTr="007A49A4">
        <w:trPr>
          <w:jc w:val="center"/>
        </w:trPr>
        <w:tc>
          <w:tcPr>
            <w:tcW w:w="0" w:type="auto"/>
            <w:vMerge w:val="restart"/>
            <w:vAlign w:val="center"/>
          </w:tcPr>
          <w:p w:rsidR="007A49A4" w:rsidRDefault="007A49A4" w:rsidP="007A49A4">
            <w:pPr>
              <w:jc w:val="center"/>
            </w:pPr>
            <w:r>
              <w:t>Mensuel, après étalonnage</w:t>
            </w:r>
          </w:p>
        </w:tc>
        <w:tc>
          <w:tcPr>
            <w:tcW w:w="0" w:type="auto"/>
            <w:vAlign w:val="center"/>
          </w:tcPr>
          <w:p w:rsidR="007A49A4" w:rsidRDefault="007A49A4" w:rsidP="007A49A4">
            <w:pPr>
              <w:jc w:val="center"/>
            </w:pPr>
            <w:r>
              <w:t>Correction d’atténuation</w:t>
            </w:r>
          </w:p>
        </w:tc>
        <w:tc>
          <w:tcPr>
            <w:tcW w:w="0" w:type="auto"/>
            <w:vAlign w:val="center"/>
          </w:tcPr>
          <w:p w:rsidR="007A49A4" w:rsidRDefault="00C63FF5" w:rsidP="007A49A4">
            <w:pPr>
              <w:jc w:val="center"/>
            </w:pPr>
            <w:r>
              <w:t>Analyse de ROI pour différentes conditions d’atténuation</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Uniformité de la coupe reconstruite</w:t>
            </w:r>
          </w:p>
        </w:tc>
        <w:tc>
          <w:tcPr>
            <w:tcW w:w="0" w:type="auto"/>
            <w:vAlign w:val="center"/>
          </w:tcPr>
          <w:p w:rsidR="007A49A4" w:rsidRDefault="00C63FF5" w:rsidP="007A49A4">
            <w:pPr>
              <w:jc w:val="center"/>
            </w:pPr>
            <w:r>
              <w:t>Analyse de ROI</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SUV</w:t>
            </w:r>
          </w:p>
        </w:tc>
        <w:tc>
          <w:tcPr>
            <w:tcW w:w="0" w:type="auto"/>
            <w:vAlign w:val="center"/>
          </w:tcPr>
          <w:p w:rsidR="007A49A4" w:rsidRDefault="00C63FF5" w:rsidP="007A49A4">
            <w:pPr>
              <w:jc w:val="center"/>
            </w:pPr>
            <w:r>
              <w:t>Analyse de ROI</w:t>
            </w:r>
          </w:p>
        </w:tc>
      </w:tr>
      <w:tr w:rsidR="00C63FF5" w:rsidTr="007A49A4">
        <w:trPr>
          <w:jc w:val="center"/>
        </w:trPr>
        <w:tc>
          <w:tcPr>
            <w:tcW w:w="0" w:type="auto"/>
            <w:vMerge/>
            <w:vAlign w:val="center"/>
          </w:tcPr>
          <w:p w:rsidR="007A49A4" w:rsidRDefault="007A49A4" w:rsidP="007A49A4">
            <w:pPr>
              <w:jc w:val="center"/>
            </w:pPr>
          </w:p>
        </w:tc>
        <w:tc>
          <w:tcPr>
            <w:tcW w:w="0" w:type="auto"/>
            <w:vAlign w:val="center"/>
          </w:tcPr>
          <w:p w:rsidR="007A49A4" w:rsidRDefault="007A49A4" w:rsidP="007A49A4">
            <w:pPr>
              <w:jc w:val="center"/>
            </w:pPr>
            <w:r>
              <w:t>Correspondance des axes géométriques</w:t>
            </w:r>
          </w:p>
        </w:tc>
        <w:tc>
          <w:tcPr>
            <w:tcW w:w="0" w:type="auto"/>
            <w:vAlign w:val="center"/>
          </w:tcPr>
          <w:p w:rsidR="007A49A4" w:rsidRDefault="00C63FF5" w:rsidP="007A49A4">
            <w:pPr>
              <w:jc w:val="center"/>
            </w:pPr>
            <w:r>
              <w:t>Analyse par programme constructeur</w:t>
            </w:r>
          </w:p>
        </w:tc>
      </w:tr>
    </w:tbl>
    <w:p w:rsidR="007A49A4" w:rsidRPr="007A49A4" w:rsidRDefault="007A49A4" w:rsidP="007A49A4"/>
    <w:p w:rsidR="00D33BEE" w:rsidRDefault="00C63FF5" w:rsidP="00D33BEE">
      <w:r>
        <w:t xml:space="preserve">Les autres en annuel c’est pour du suivi. </w:t>
      </w:r>
    </w:p>
    <w:p w:rsidR="00C63FF5" w:rsidRDefault="00C63FF5" w:rsidP="00D33BEE">
      <w:pPr>
        <w:rPr>
          <w:u w:val="single"/>
        </w:rPr>
      </w:pPr>
      <w:r>
        <w:rPr>
          <w:u w:val="single"/>
        </w:rPr>
        <w:t xml:space="preserve">Question 2 </w:t>
      </w:r>
    </w:p>
    <w:p w:rsidR="00C63FF5" w:rsidRDefault="009240A6" w:rsidP="00D33BEE">
      <w:r>
        <w:rPr>
          <w:u w:val="single"/>
        </w:rPr>
        <w:lastRenderedPageBreak/>
        <w:t>Question 3</w:t>
      </w:r>
    </w:p>
    <w:p w:rsidR="009240A6" w:rsidRDefault="009240A6" w:rsidP="00D33BEE">
      <w:r>
        <w:t xml:space="preserve">350 </w:t>
      </w:r>
      <w:proofErr w:type="spellStart"/>
      <w:r>
        <w:t>MBq</w:t>
      </w:r>
      <w:proofErr w:type="spellEnd"/>
      <w:r>
        <w:t> ?</w:t>
      </w:r>
    </w:p>
    <w:p w:rsidR="009240A6" w:rsidRDefault="009240A6" w:rsidP="00D33BEE">
      <w:r>
        <w:rPr>
          <w:u w:val="single"/>
        </w:rPr>
        <w:t>Question 4</w:t>
      </w:r>
    </w:p>
    <w:p w:rsidR="009240A6" w:rsidRDefault="009240A6" w:rsidP="00D33BEE"/>
    <w:p w:rsidR="009240A6" w:rsidRDefault="009240A6" w:rsidP="00D33BEE">
      <w:r>
        <w:rPr>
          <w:b/>
          <w:u w:val="single"/>
        </w:rPr>
        <w:t>Partie 3</w:t>
      </w:r>
    </w:p>
    <w:p w:rsidR="009240A6" w:rsidRDefault="009240A6" w:rsidP="00D33BEE">
      <w:r>
        <w:rPr>
          <w:u w:val="single"/>
        </w:rPr>
        <w:t>Question 1</w:t>
      </w:r>
    </w:p>
    <w:p w:rsidR="009240A6" w:rsidRDefault="009240A6" w:rsidP="00D33BEE"/>
    <w:p w:rsidR="009240A6" w:rsidRDefault="009240A6" w:rsidP="00D33BEE">
      <w:r>
        <w:rPr>
          <w:u w:val="single"/>
        </w:rPr>
        <w:t>Question 2</w:t>
      </w:r>
    </w:p>
    <w:p w:rsidR="009240A6" w:rsidRPr="009240A6" w:rsidRDefault="009240A6" w:rsidP="00D33BEE">
      <w:bookmarkStart w:id="0" w:name="_GoBack"/>
      <w:bookmarkEnd w:id="0"/>
    </w:p>
    <w:sectPr w:rsidR="009240A6" w:rsidRPr="00924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34D8C"/>
    <w:rsid w:val="00070119"/>
    <w:rsid w:val="000C243C"/>
    <w:rsid w:val="000C3099"/>
    <w:rsid w:val="00123151"/>
    <w:rsid w:val="00157B96"/>
    <w:rsid w:val="001816EC"/>
    <w:rsid w:val="0018774F"/>
    <w:rsid w:val="001D0494"/>
    <w:rsid w:val="001D2343"/>
    <w:rsid w:val="00212FA7"/>
    <w:rsid w:val="002D3D2E"/>
    <w:rsid w:val="003B1664"/>
    <w:rsid w:val="00402A1B"/>
    <w:rsid w:val="004D1E28"/>
    <w:rsid w:val="00525CE7"/>
    <w:rsid w:val="00550538"/>
    <w:rsid w:val="00563B16"/>
    <w:rsid w:val="005E1E85"/>
    <w:rsid w:val="005E40B6"/>
    <w:rsid w:val="00605095"/>
    <w:rsid w:val="006D4D8E"/>
    <w:rsid w:val="006F07EA"/>
    <w:rsid w:val="007043DC"/>
    <w:rsid w:val="007324FF"/>
    <w:rsid w:val="007855DD"/>
    <w:rsid w:val="007A49A4"/>
    <w:rsid w:val="00800F9E"/>
    <w:rsid w:val="00816CCC"/>
    <w:rsid w:val="00827E17"/>
    <w:rsid w:val="00846E45"/>
    <w:rsid w:val="008763D0"/>
    <w:rsid w:val="008800CE"/>
    <w:rsid w:val="009240A6"/>
    <w:rsid w:val="00996C0B"/>
    <w:rsid w:val="00A24480"/>
    <w:rsid w:val="00A72677"/>
    <w:rsid w:val="00A8311B"/>
    <w:rsid w:val="00AE55B3"/>
    <w:rsid w:val="00B12B6E"/>
    <w:rsid w:val="00B360F3"/>
    <w:rsid w:val="00B75254"/>
    <w:rsid w:val="00BA1795"/>
    <w:rsid w:val="00BD43C7"/>
    <w:rsid w:val="00BD518C"/>
    <w:rsid w:val="00C5204B"/>
    <w:rsid w:val="00C617F1"/>
    <w:rsid w:val="00C63FF5"/>
    <w:rsid w:val="00C72E7D"/>
    <w:rsid w:val="00CA5644"/>
    <w:rsid w:val="00D24F79"/>
    <w:rsid w:val="00D33BEE"/>
    <w:rsid w:val="00D345E4"/>
    <w:rsid w:val="00DA1DD3"/>
    <w:rsid w:val="00DA6252"/>
    <w:rsid w:val="00E256BA"/>
    <w:rsid w:val="00E5698A"/>
    <w:rsid w:val="00E655D6"/>
    <w:rsid w:val="00EB4249"/>
    <w:rsid w:val="00F417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dutableau">
    <w:name w:val="Table Grid"/>
    <w:basedOn w:val="TableauNormal"/>
    <w:uiPriority w:val="59"/>
    <w:rsid w:val="00F4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dutableau">
    <w:name w:val="Table Grid"/>
    <w:basedOn w:val="TableauNormal"/>
    <w:uiPriority w:val="59"/>
    <w:rsid w:val="00F41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1</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11</cp:revision>
  <dcterms:created xsi:type="dcterms:W3CDTF">2017-10-11T20:29:00Z</dcterms:created>
  <dcterms:modified xsi:type="dcterms:W3CDTF">2017-10-13T05:24:00Z</dcterms:modified>
</cp:coreProperties>
</file>