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3D0" w:rsidRDefault="008763D0">
      <w:pPr>
        <w:rPr>
          <w:b/>
        </w:rPr>
      </w:pPr>
      <w:r>
        <w:rPr>
          <w:b/>
          <w:u w:val="single"/>
        </w:rPr>
        <w:t>Partie 1 : Radiothérapie</w:t>
      </w:r>
    </w:p>
    <w:p w:rsidR="00F417E1" w:rsidRDefault="00F417E1">
      <w:r>
        <w:rPr>
          <w:u w:val="single"/>
        </w:rPr>
        <w:t>Question 1 </w:t>
      </w:r>
      <w:r>
        <w:t>: Caractérisation débit de réf de la machine</w:t>
      </w:r>
    </w:p>
    <w:p w:rsidR="00F417E1" w:rsidRDefault="00F417E1" w:rsidP="00F417E1">
      <w:pPr>
        <w:pStyle w:val="Paragraphedeliste"/>
        <w:numPr>
          <w:ilvl w:val="0"/>
          <w:numId w:val="1"/>
        </w:numPr>
      </w:pPr>
      <w:proofErr w:type="spellStart"/>
      <w:r>
        <w:t>Fsc</w:t>
      </w:r>
      <w:proofErr w:type="spellEnd"/>
      <w:r>
        <w:t xml:space="preserve"> dans lequel a été étalonnée la chambre, T°, pression, humidité, polarisation, </w:t>
      </w:r>
      <w:proofErr w:type="spellStart"/>
      <w:r>
        <w:t>krec</w:t>
      </w:r>
      <w:proofErr w:type="spellEnd"/>
      <w:r>
        <w:t>, paramètres géométriques pour l’étalonnage (DSP, taille de champ, IQ)</w:t>
      </w:r>
    </w:p>
    <w:p w:rsidR="00F417E1" w:rsidRDefault="00F417E1" w:rsidP="00F417E1">
      <w:r>
        <w:t>La géométrie pour l’étalonnage peut varier voire même les conditions (T°, pression…). A prendre en compte grâce aux facteurs correctifs que l’on connaît tous sur le bout des pieds ! (</w:t>
      </w:r>
      <w:proofErr w:type="spellStart"/>
      <w:r>
        <w:t>kpol</w:t>
      </w:r>
      <w:proofErr w:type="spellEnd"/>
      <w:r>
        <w:t xml:space="preserve">,  </w:t>
      </w:r>
      <w:proofErr w:type="spellStart"/>
      <w:r>
        <w:t>krec</w:t>
      </w:r>
      <w:proofErr w:type="spellEnd"/>
      <w:r>
        <w:t xml:space="preserve">, </w:t>
      </w:r>
      <w:proofErr w:type="spellStart"/>
      <w:r>
        <w:t>kt</w:t>
      </w:r>
      <w:proofErr w:type="gramStart"/>
      <w:r>
        <w:t>,p</w:t>
      </w:r>
      <w:proofErr w:type="spellEnd"/>
      <w:proofErr w:type="gramEnd"/>
      <w:r>
        <w:t>..)</w:t>
      </w:r>
    </w:p>
    <w:p w:rsidR="00F417E1" w:rsidRDefault="00F417E1" w:rsidP="00F417E1">
      <w:pPr>
        <w:pStyle w:val="Paragraphedeliste"/>
        <w:numPr>
          <w:ilvl w:val="0"/>
          <w:numId w:val="1"/>
        </w:numPr>
      </w:pPr>
      <w:r>
        <w:t xml:space="preserve"> Selon l’AIEA TRS398</w:t>
      </w:r>
      <w:r w:rsidR="00BD518C">
        <w:t xml:space="preserve"> (</w:t>
      </w:r>
      <w:proofErr w:type="spellStart"/>
      <w:r w:rsidR="00BD518C">
        <w:t>cGy</w:t>
      </w:r>
      <w:proofErr w:type="spellEnd"/>
      <w:r w:rsidR="00BD518C">
        <w:t>/UM = 1)</w:t>
      </w:r>
      <w:r>
        <w:t> :</w:t>
      </w:r>
    </w:p>
    <w:p w:rsidR="00F417E1" w:rsidRDefault="00F417E1" w:rsidP="00F417E1">
      <w:pPr>
        <w:pStyle w:val="Paragraphedeliste"/>
      </w:pPr>
    </w:p>
    <w:tbl>
      <w:tblPr>
        <w:tblStyle w:val="Grilledutableau"/>
        <w:tblW w:w="0" w:type="auto"/>
        <w:tblInd w:w="720" w:type="dxa"/>
        <w:tblLook w:val="04A0" w:firstRow="1" w:lastRow="0" w:firstColumn="1" w:lastColumn="0" w:noHBand="0" w:noVBand="1"/>
      </w:tblPr>
      <w:tblGrid>
        <w:gridCol w:w="4299"/>
        <w:gridCol w:w="4269"/>
      </w:tblGrid>
      <w:tr w:rsidR="00BD518C" w:rsidTr="00F417E1">
        <w:tc>
          <w:tcPr>
            <w:tcW w:w="4606" w:type="dxa"/>
            <w:vAlign w:val="center"/>
          </w:tcPr>
          <w:p w:rsidR="00F417E1" w:rsidRDefault="00F417E1" w:rsidP="00F417E1">
            <w:pPr>
              <w:pStyle w:val="Paragraphedeliste"/>
              <w:ind w:left="0"/>
              <w:jc w:val="center"/>
            </w:pPr>
            <w:r>
              <w:t>Photons</w:t>
            </w:r>
          </w:p>
        </w:tc>
        <w:tc>
          <w:tcPr>
            <w:tcW w:w="4606" w:type="dxa"/>
            <w:vAlign w:val="center"/>
          </w:tcPr>
          <w:p w:rsidR="00F417E1" w:rsidRDefault="00F417E1" w:rsidP="00F417E1">
            <w:pPr>
              <w:pStyle w:val="Paragraphedeliste"/>
              <w:ind w:left="0"/>
              <w:jc w:val="center"/>
            </w:pPr>
            <w:r>
              <w:t>Electrons</w:t>
            </w:r>
          </w:p>
        </w:tc>
      </w:tr>
      <w:tr w:rsidR="00BD518C" w:rsidTr="00F417E1">
        <w:tc>
          <w:tcPr>
            <w:tcW w:w="4606" w:type="dxa"/>
            <w:vAlign w:val="center"/>
          </w:tcPr>
          <w:p w:rsidR="00BD518C" w:rsidRDefault="00BD518C" w:rsidP="00BD518C">
            <w:pPr>
              <w:pStyle w:val="Paragraphedeliste"/>
              <w:ind w:left="0"/>
              <w:jc w:val="center"/>
            </w:pPr>
            <w:proofErr w:type="spellStart"/>
            <w:r>
              <w:t>z</w:t>
            </w:r>
            <w:r w:rsidRPr="00BD518C">
              <w:rPr>
                <w:vertAlign w:val="subscript"/>
              </w:rPr>
              <w:t>réf</w:t>
            </w:r>
            <w:proofErr w:type="spellEnd"/>
            <w:r>
              <w:t xml:space="preserve"> = 10 g.cm</w:t>
            </w:r>
            <w:r w:rsidRPr="00BD518C">
              <w:rPr>
                <w:vertAlign w:val="superscript"/>
              </w:rPr>
              <w:t>-2</w:t>
            </w:r>
          </w:p>
          <w:p w:rsidR="00BD518C" w:rsidRDefault="00BD518C" w:rsidP="00BD518C">
            <w:pPr>
              <w:pStyle w:val="Paragraphedeliste"/>
              <w:ind w:left="0"/>
              <w:jc w:val="center"/>
            </w:pPr>
            <w:r>
              <w:t>champ 10x10 cm²</w:t>
            </w:r>
          </w:p>
          <w:p w:rsidR="00BD518C" w:rsidRDefault="00BD518C" w:rsidP="00BD518C">
            <w:pPr>
              <w:pStyle w:val="Paragraphedeliste"/>
              <w:ind w:left="0"/>
              <w:jc w:val="center"/>
            </w:pPr>
            <w:r>
              <w:t>mesure sur le centre géométrique de la CI</w:t>
            </w:r>
          </w:p>
          <w:p w:rsidR="00BD518C" w:rsidRDefault="00BD518C" w:rsidP="00BD518C">
            <w:pPr>
              <w:pStyle w:val="Paragraphedeliste"/>
              <w:ind w:left="0"/>
              <w:jc w:val="center"/>
            </w:pPr>
            <w:r>
              <w:t>dans un fantôme eau semi-infini de surface plane</w:t>
            </w:r>
          </w:p>
          <w:p w:rsidR="00BD518C" w:rsidRDefault="00BD518C" w:rsidP="00BD518C">
            <w:pPr>
              <w:pStyle w:val="Paragraphedeliste"/>
              <w:ind w:left="0"/>
              <w:jc w:val="center"/>
            </w:pPr>
            <w:r>
              <w:t>DSD 100</w:t>
            </w:r>
          </w:p>
          <w:p w:rsidR="00BD518C" w:rsidRPr="00BD518C" w:rsidRDefault="00BD518C" w:rsidP="00BD518C">
            <w:pPr>
              <w:pStyle w:val="Paragraphedeliste"/>
              <w:ind w:left="0"/>
              <w:jc w:val="center"/>
            </w:pPr>
            <w:r>
              <w:t xml:space="preserve">200UM </w:t>
            </w:r>
          </w:p>
        </w:tc>
        <w:tc>
          <w:tcPr>
            <w:tcW w:w="4606" w:type="dxa"/>
            <w:vAlign w:val="center"/>
          </w:tcPr>
          <w:p w:rsidR="00BD518C" w:rsidRDefault="00BD518C" w:rsidP="00F417E1">
            <w:pPr>
              <w:pStyle w:val="Paragraphedeliste"/>
              <w:ind w:left="0"/>
              <w:jc w:val="center"/>
            </w:pPr>
            <w:proofErr w:type="spellStart"/>
            <w:r>
              <w:t>Z</w:t>
            </w:r>
            <w:r w:rsidRPr="00BD518C">
              <w:rPr>
                <w:vertAlign w:val="subscript"/>
              </w:rPr>
              <w:t>réf</w:t>
            </w:r>
            <w:proofErr w:type="spellEnd"/>
            <w:r>
              <w:t xml:space="preserve"> = 0,6R</w:t>
            </w:r>
            <w:r w:rsidRPr="00BD518C">
              <w:rPr>
                <w:vertAlign w:val="subscript"/>
              </w:rPr>
              <w:t>50</w:t>
            </w:r>
            <w:r>
              <w:t xml:space="preserve"> – 0,1 g.cm</w:t>
            </w:r>
            <w:r w:rsidRPr="00BD518C">
              <w:rPr>
                <w:vertAlign w:val="superscript"/>
              </w:rPr>
              <w:t>-2</w:t>
            </w:r>
          </w:p>
          <w:p w:rsidR="00BD518C" w:rsidRDefault="00BD518C" w:rsidP="00BD518C">
            <w:pPr>
              <w:pStyle w:val="Paragraphedeliste"/>
              <w:ind w:left="0"/>
              <w:jc w:val="center"/>
            </w:pPr>
            <w:r>
              <w:t>champ 10x10 cm²</w:t>
            </w:r>
          </w:p>
          <w:p w:rsidR="00BD518C" w:rsidRDefault="00BD518C" w:rsidP="00F417E1">
            <w:pPr>
              <w:pStyle w:val="Paragraphedeliste"/>
              <w:ind w:left="0"/>
              <w:jc w:val="center"/>
            </w:pPr>
            <w:r>
              <w:t>Point de mesure sur la surface interne de la fenêtre d’entrée</w:t>
            </w:r>
          </w:p>
          <w:p w:rsidR="00F417E1" w:rsidRDefault="00BD518C" w:rsidP="00F417E1">
            <w:pPr>
              <w:pStyle w:val="Paragraphedeliste"/>
              <w:ind w:left="0"/>
              <w:jc w:val="center"/>
            </w:pPr>
            <w:r>
              <w:t xml:space="preserve">200 UM </w:t>
            </w:r>
          </w:p>
          <w:p w:rsidR="00BD518C" w:rsidRDefault="00BD518C" w:rsidP="00F417E1">
            <w:pPr>
              <w:pStyle w:val="Paragraphedeliste"/>
              <w:ind w:left="0"/>
              <w:jc w:val="center"/>
            </w:pPr>
            <w:r>
              <w:t>fantôme eau semi-infini de surface</w:t>
            </w:r>
          </w:p>
        </w:tc>
      </w:tr>
    </w:tbl>
    <w:p w:rsidR="00F417E1" w:rsidRDefault="00F417E1" w:rsidP="00F417E1">
      <w:pPr>
        <w:pStyle w:val="Paragraphedeliste"/>
      </w:pPr>
    </w:p>
    <w:p w:rsidR="00C617F1" w:rsidRDefault="00123151" w:rsidP="00C617F1">
      <w:pPr>
        <w:pStyle w:val="Paragraphedeliste"/>
        <w:numPr>
          <w:ilvl w:val="0"/>
          <w:numId w:val="1"/>
        </w:numPr>
      </w:pPr>
      <w:r>
        <w:t xml:space="preserve">1 </w:t>
      </w:r>
      <w:proofErr w:type="spellStart"/>
      <w:r>
        <w:t>cGy</w:t>
      </w:r>
      <w:proofErr w:type="spellEnd"/>
      <w:r>
        <w:t>/UM à l’is</w:t>
      </w:r>
      <w:r w:rsidR="00C617F1">
        <w:t xml:space="preserve">o et environ 0,68 </w:t>
      </w:r>
      <w:proofErr w:type="spellStart"/>
      <w:r w:rsidR="00C617F1">
        <w:t>cGy</w:t>
      </w:r>
      <w:proofErr w:type="spellEnd"/>
      <w:r w:rsidR="00C617F1">
        <w:t xml:space="preserve">/UM à </w:t>
      </w:r>
      <w:proofErr w:type="spellStart"/>
      <w:r w:rsidR="00C617F1">
        <w:t>dmax</w:t>
      </w:r>
      <w:proofErr w:type="spellEnd"/>
      <w:r w:rsidR="00C617F1">
        <w:t>.</w:t>
      </w:r>
    </w:p>
    <w:p w:rsidR="00C617F1" w:rsidRDefault="00C617F1" w:rsidP="00C617F1">
      <w:pPr>
        <w:pStyle w:val="Paragraphedeliste"/>
      </w:pPr>
    </w:p>
    <w:p w:rsidR="00C617F1" w:rsidRDefault="00C617F1" w:rsidP="00C617F1">
      <w:pPr>
        <w:pStyle w:val="Paragraphedeliste"/>
        <w:numPr>
          <w:ilvl w:val="0"/>
          <w:numId w:val="1"/>
        </w:numPr>
      </w:pPr>
      <w:r>
        <w:t>Tolérance sur le TOP</w:t>
      </w:r>
      <w:r w:rsidR="00E256BA">
        <w:t xml:space="preserve"> (ANSM)</w:t>
      </w:r>
      <w:r>
        <w:t xml:space="preserve"> : </w:t>
      </w:r>
    </w:p>
    <w:p w:rsidR="00C617F1" w:rsidRDefault="00C617F1" w:rsidP="00C617F1">
      <w:pPr>
        <w:pStyle w:val="Paragraphedeliste"/>
      </w:pPr>
    </w:p>
    <w:p w:rsidR="00C617F1" w:rsidRDefault="00C617F1" w:rsidP="00C617F1">
      <w:pPr>
        <w:pStyle w:val="Paragraphedeliste"/>
        <w:numPr>
          <w:ilvl w:val="1"/>
          <w:numId w:val="1"/>
        </w:numPr>
      </w:pPr>
      <w:r>
        <w:t>entre 2 et 4 % : mesure le lendemain avec le même matériel et actions correctives si dépassement confirmé</w:t>
      </w:r>
    </w:p>
    <w:p w:rsidR="00E256BA" w:rsidRDefault="00C617F1" w:rsidP="00E256BA">
      <w:pPr>
        <w:pStyle w:val="Paragraphedeliste"/>
        <w:numPr>
          <w:ilvl w:val="1"/>
          <w:numId w:val="1"/>
        </w:numPr>
      </w:pPr>
      <w:r>
        <w:t>si  sup à 4% : 2</w:t>
      </w:r>
      <w:r w:rsidRPr="00C617F1">
        <w:rPr>
          <w:vertAlign w:val="superscript"/>
        </w:rPr>
        <w:t>e</w:t>
      </w:r>
      <w:r>
        <w:t xml:space="preserve"> contrôle immédiat avec système différent. Si confirmation de l’écart : arrêt et signalement (matériovigilance auprès de l’ASN).</w:t>
      </w:r>
    </w:p>
    <w:p w:rsidR="00E256BA" w:rsidRDefault="00E256BA" w:rsidP="00E256BA">
      <w:pPr>
        <w:pStyle w:val="Paragraphedeliste"/>
        <w:ind w:left="1440"/>
      </w:pPr>
    </w:p>
    <w:p w:rsidR="00D33BEE" w:rsidRDefault="00D33BEE" w:rsidP="00D33BEE">
      <w:pPr>
        <w:pStyle w:val="Paragraphedeliste"/>
        <w:numPr>
          <w:ilvl w:val="0"/>
          <w:numId w:val="1"/>
        </w:numPr>
      </w:pPr>
      <w:r>
        <w:t>A l’iso : écart de 0,3 %  donc tout va bien. Je pense que ce n’est pas la réponse attendue…</w:t>
      </w:r>
    </w:p>
    <w:p w:rsidR="00D33BEE" w:rsidRDefault="00D33BEE" w:rsidP="00D33BEE">
      <w:pPr>
        <w:pStyle w:val="Paragraphedeliste"/>
      </w:pPr>
    </w:p>
    <w:p w:rsidR="00D33BEE" w:rsidRDefault="00D33BEE" w:rsidP="00D33BEE">
      <w:pPr>
        <w:pStyle w:val="Paragraphedeliste"/>
        <w:numPr>
          <w:ilvl w:val="0"/>
          <w:numId w:val="1"/>
        </w:numPr>
      </w:pPr>
      <w:r>
        <w:t>Causes potentielles d’une dérive de TOP :</w:t>
      </w:r>
    </w:p>
    <w:p w:rsidR="00D33BEE" w:rsidRDefault="00D33BEE" w:rsidP="00D33BEE">
      <w:pPr>
        <w:pStyle w:val="Paragraphedeliste"/>
      </w:pPr>
    </w:p>
    <w:p w:rsidR="00D33BEE" w:rsidRDefault="00D33BEE" w:rsidP="00D33BEE">
      <w:pPr>
        <w:pStyle w:val="Paragraphedeliste"/>
        <w:numPr>
          <w:ilvl w:val="1"/>
          <w:numId w:val="1"/>
        </w:numPr>
      </w:pPr>
      <w:r>
        <w:t>Montage</w:t>
      </w:r>
    </w:p>
    <w:p w:rsidR="00D33BEE" w:rsidRDefault="00D33BEE" w:rsidP="00D33BEE">
      <w:pPr>
        <w:pStyle w:val="Paragraphedeliste"/>
        <w:numPr>
          <w:ilvl w:val="1"/>
          <w:numId w:val="1"/>
        </w:numPr>
      </w:pPr>
      <w:r>
        <w:t>Chaine de mesure</w:t>
      </w:r>
    </w:p>
    <w:p w:rsidR="00D33BEE" w:rsidRDefault="00D33BEE" w:rsidP="00D33BEE">
      <w:pPr>
        <w:pStyle w:val="Paragraphedeliste"/>
        <w:numPr>
          <w:ilvl w:val="1"/>
          <w:numId w:val="1"/>
        </w:numPr>
      </w:pPr>
      <w:r>
        <w:t>Dérive propre à l’accélérateur : onde HF, courant canon, bobine de déviation, cible</w:t>
      </w:r>
      <w:r w:rsidR="00DA1DD3">
        <w:t>, chambre moniteur</w:t>
      </w:r>
      <w:r>
        <w:t>…</w:t>
      </w:r>
    </w:p>
    <w:p w:rsidR="00D33BEE" w:rsidRDefault="00D33BEE" w:rsidP="00D33BEE">
      <w:r>
        <w:t>Identification de la cause : refaire le montage, changer chaine de mesure, mesure dans l’eau</w:t>
      </w:r>
    </w:p>
    <w:p w:rsidR="00D33BEE" w:rsidRDefault="001D0494" w:rsidP="001D0494">
      <w:pPr>
        <w:pStyle w:val="Paragraphedeliste"/>
        <w:numPr>
          <w:ilvl w:val="0"/>
          <w:numId w:val="1"/>
        </w:numPr>
      </w:pPr>
      <w:r>
        <w:t>Chambre à cavité d’air. Vont par paire. Permettent de contrôle le débit de dose, l’homogénéité et la symétrie du faisc</w:t>
      </w:r>
      <w:r w:rsidR="00DA1DD3">
        <w:t>e</w:t>
      </w:r>
      <w:r>
        <w:t>au.</w:t>
      </w:r>
    </w:p>
    <w:p w:rsidR="00DA1DD3" w:rsidRDefault="00DA1DD3" w:rsidP="007043DC">
      <w:pPr>
        <w:pStyle w:val="Paragraphedeliste"/>
        <w:numPr>
          <w:ilvl w:val="0"/>
          <w:numId w:val="1"/>
        </w:numPr>
      </w:pPr>
      <w:r>
        <w:t>Après changement des chambres, sortie de la cuve, vérification de la dose de réf (dose absolue), homogénéité symétrie avec des  profils (dose relative), cohérence chaîne primaire chaine secondaire, rendement en profondeur…</w:t>
      </w:r>
    </w:p>
    <w:p w:rsidR="007043DC" w:rsidRDefault="007043DC" w:rsidP="007043DC">
      <w:pPr>
        <w:pStyle w:val="Paragraphedeliste"/>
      </w:pPr>
      <w:r>
        <w:lastRenderedPageBreak/>
        <w:t xml:space="preserve">On chercher à obtenir des valeurs et profiles proche du </w:t>
      </w:r>
      <w:proofErr w:type="spellStart"/>
      <w:r>
        <w:t>commisionning</w:t>
      </w:r>
      <w:proofErr w:type="spellEnd"/>
      <w:r>
        <w:t xml:space="preserve"> pour ne pas trop avoir de différences avec les données de modélisation du TPS.</w:t>
      </w:r>
      <w:r w:rsidR="00B12B6E">
        <w:t xml:space="preserve"> Sinon cohérence calcul mesure pourrie</w:t>
      </w:r>
    </w:p>
    <w:p w:rsidR="00B12B6E" w:rsidRDefault="00B12B6E" w:rsidP="00B12B6E">
      <w:pPr>
        <w:rPr>
          <w:u w:val="single"/>
        </w:rPr>
      </w:pPr>
      <w:r>
        <w:rPr>
          <w:u w:val="single"/>
        </w:rPr>
        <w:t>Question 2</w:t>
      </w:r>
    </w:p>
    <w:p w:rsidR="00B12B6E" w:rsidRDefault="00B360F3" w:rsidP="00B360F3">
      <w:pPr>
        <w:pStyle w:val="Paragraphedeliste"/>
        <w:numPr>
          <w:ilvl w:val="0"/>
          <w:numId w:val="2"/>
        </w:numPr>
      </w:pPr>
      <w:r>
        <w:t xml:space="preserve"> 120 kV 300 mAs, épaisseur de coupe 2 mm car présence de petits organes. (chiasma, oreille interne). Acquisition hélicoïdale. </w:t>
      </w:r>
    </w:p>
    <w:p w:rsidR="00034D8C" w:rsidRDefault="00034D8C" w:rsidP="00034D8C">
      <w:pPr>
        <w:pStyle w:val="Paragraphedeliste"/>
      </w:pPr>
    </w:p>
    <w:p w:rsidR="00034D8C" w:rsidRDefault="00034D8C" w:rsidP="00B360F3">
      <w:pPr>
        <w:pStyle w:val="Paragraphedeliste"/>
        <w:numPr>
          <w:ilvl w:val="0"/>
          <w:numId w:val="2"/>
        </w:numPr>
      </w:pPr>
      <w:r>
        <w:t>Masque thermoformé 3 points, 5 mm pour le PTV</w:t>
      </w:r>
    </w:p>
    <w:p w:rsidR="00034D8C" w:rsidRDefault="00034D8C" w:rsidP="00034D8C">
      <w:pPr>
        <w:pStyle w:val="Paragraphedeliste"/>
      </w:pPr>
    </w:p>
    <w:p w:rsidR="00034D8C" w:rsidRDefault="000C243C" w:rsidP="00B360F3">
      <w:pPr>
        <w:pStyle w:val="Paragraphedeliste"/>
        <w:numPr>
          <w:ilvl w:val="0"/>
          <w:numId w:val="2"/>
        </w:numPr>
      </w:pPr>
      <w:r>
        <w:t xml:space="preserve">Bleu : cristallin, violet : œil, jaune : nerf optique, </w:t>
      </w:r>
      <w:proofErr w:type="spellStart"/>
      <w:r>
        <w:t>ptit</w:t>
      </w:r>
      <w:proofErr w:type="spellEnd"/>
      <w:r>
        <w:t xml:space="preserve"> rond au milieu : hypophyse, vert : tronc cérébral, rouge : </w:t>
      </w:r>
      <w:proofErr w:type="spellStart"/>
      <w:r>
        <w:t>gtv</w:t>
      </w:r>
      <w:proofErr w:type="spellEnd"/>
      <w:r>
        <w:t xml:space="preserve">, violet : </w:t>
      </w:r>
      <w:proofErr w:type="spellStart"/>
      <w:r>
        <w:t>ctv</w:t>
      </w:r>
      <w:proofErr w:type="spellEnd"/>
      <w:r>
        <w:t xml:space="preserve"> (</w:t>
      </w:r>
      <w:proofErr w:type="spellStart"/>
      <w:r>
        <w:t>gtv</w:t>
      </w:r>
      <w:proofErr w:type="spellEnd"/>
      <w:r>
        <w:t xml:space="preserve"> + extensions micro), bleu : </w:t>
      </w:r>
      <w:proofErr w:type="spellStart"/>
      <w:r>
        <w:t>ptv</w:t>
      </w:r>
      <w:proofErr w:type="spellEnd"/>
      <w:r>
        <w:t xml:space="preserve"> (</w:t>
      </w:r>
      <w:proofErr w:type="spellStart"/>
      <w:r>
        <w:t>gtv</w:t>
      </w:r>
      <w:proofErr w:type="spellEnd"/>
      <w:r>
        <w:t xml:space="preserve"> + marges pour incertitudes géométriques), les 2 verts </w:t>
      </w:r>
      <w:proofErr w:type="gramStart"/>
      <w:r>
        <w:t>caca</w:t>
      </w:r>
      <w:proofErr w:type="gramEnd"/>
      <w:r>
        <w:t xml:space="preserve"> d’oie :</w:t>
      </w:r>
      <w:r w:rsidR="00B75254">
        <w:t xml:space="preserve"> </w:t>
      </w:r>
      <w:r>
        <w:t>oreille interne.</w:t>
      </w:r>
    </w:p>
    <w:p w:rsidR="00B75254" w:rsidRDefault="00B75254" w:rsidP="00B75254">
      <w:pPr>
        <w:pStyle w:val="Paragraphedeliste"/>
      </w:pPr>
    </w:p>
    <w:p w:rsidR="00B75254" w:rsidRDefault="00B75254" w:rsidP="00B75254">
      <w:pPr>
        <w:pStyle w:val="Paragraphedeliste"/>
        <w:numPr>
          <w:ilvl w:val="0"/>
          <w:numId w:val="2"/>
        </w:numPr>
      </w:pPr>
      <w:r>
        <w:t>IRM</w:t>
      </w:r>
    </w:p>
    <w:p w:rsidR="00B75254" w:rsidRDefault="00B75254" w:rsidP="00B75254">
      <w:pPr>
        <w:pStyle w:val="Paragraphedeliste"/>
      </w:pPr>
    </w:p>
    <w:p w:rsidR="00B75254" w:rsidRDefault="00B75254" w:rsidP="00B75254">
      <w:pPr>
        <w:pStyle w:val="Paragraphedeliste"/>
        <w:numPr>
          <w:ilvl w:val="0"/>
          <w:numId w:val="2"/>
        </w:numPr>
      </w:pPr>
      <w:r>
        <w:t>.</w:t>
      </w:r>
    </w:p>
    <w:p w:rsidR="00B75254" w:rsidRDefault="00B75254" w:rsidP="00B75254">
      <w:pPr>
        <w:pStyle w:val="Paragraphedeliste"/>
      </w:pPr>
    </w:p>
    <w:p w:rsidR="00B75254" w:rsidRDefault="00B75254" w:rsidP="00B75254">
      <w:pPr>
        <w:pStyle w:val="Paragraphedeliste"/>
        <w:numPr>
          <w:ilvl w:val="0"/>
          <w:numId w:val="2"/>
        </w:numPr>
      </w:pPr>
      <w:r>
        <w:t xml:space="preserve">En RC3D </w:t>
      </w:r>
      <w:proofErr w:type="spellStart"/>
      <w:r>
        <w:t>on</w:t>
      </w:r>
      <w:proofErr w:type="spellEnd"/>
      <w:r>
        <w:t xml:space="preserve"> prescrit une dose sur un point. En RCMI prescription sur un volume</w:t>
      </w:r>
    </w:p>
    <w:p w:rsidR="00B75254" w:rsidRDefault="00B75254" w:rsidP="00B75254">
      <w:pPr>
        <w:pStyle w:val="Paragraphedeliste"/>
      </w:pPr>
    </w:p>
    <w:p w:rsidR="00B75254" w:rsidRDefault="00B75254" w:rsidP="00B75254">
      <w:pPr>
        <w:pStyle w:val="Paragraphedeliste"/>
        <w:numPr>
          <w:ilvl w:val="0"/>
          <w:numId w:val="2"/>
        </w:numPr>
      </w:pPr>
      <w:r>
        <w:t xml:space="preserve">Non pour cerveau un recalage osseux suffit  par 2 clichés orthogonaux. Les volumes ne bougent pas dans le crâne. CBCT +++ irradiant. </w:t>
      </w:r>
      <w:r w:rsidR="007A49A4">
        <w:t>Pas besoin d’avoir un super contraste.</w:t>
      </w:r>
    </w:p>
    <w:p w:rsidR="007A49A4" w:rsidRDefault="007A49A4" w:rsidP="007A49A4">
      <w:pPr>
        <w:pStyle w:val="Paragraphedeliste"/>
      </w:pPr>
    </w:p>
    <w:p w:rsidR="007A49A4" w:rsidRDefault="007A49A4" w:rsidP="007A49A4">
      <w:r>
        <w:rPr>
          <w:b/>
          <w:u w:val="single"/>
        </w:rPr>
        <w:t>Partie 2 : Radiologie</w:t>
      </w:r>
    </w:p>
    <w:p w:rsidR="007A49A4" w:rsidRDefault="007A49A4" w:rsidP="007A49A4">
      <w:r>
        <w:rPr>
          <w:u w:val="single"/>
        </w:rPr>
        <w:t>Question 1</w:t>
      </w:r>
    </w:p>
    <w:p w:rsidR="007A49A4" w:rsidRDefault="007A49A4" w:rsidP="007A49A4">
      <w:r>
        <w:tab/>
      </w:r>
      <w:proofErr w:type="spellStart"/>
      <w:r>
        <w:t>Recommendations</w:t>
      </w:r>
      <w:proofErr w:type="spellEnd"/>
      <w:r>
        <w:t xml:space="preserve"> SFPM et NEMA</w:t>
      </w:r>
    </w:p>
    <w:tbl>
      <w:tblPr>
        <w:tblStyle w:val="Grilledutableau"/>
        <w:tblW w:w="0" w:type="auto"/>
        <w:jc w:val="center"/>
        <w:tblLook w:val="04A0" w:firstRow="1" w:lastRow="0" w:firstColumn="1" w:lastColumn="0" w:noHBand="0" w:noVBand="1"/>
      </w:tblPr>
      <w:tblGrid>
        <w:gridCol w:w="1944"/>
        <w:gridCol w:w="3931"/>
        <w:gridCol w:w="3413"/>
      </w:tblGrid>
      <w:tr w:rsidR="00C63FF5" w:rsidTr="007A49A4">
        <w:trPr>
          <w:jc w:val="center"/>
        </w:trPr>
        <w:tc>
          <w:tcPr>
            <w:tcW w:w="0" w:type="auto"/>
            <w:vAlign w:val="center"/>
          </w:tcPr>
          <w:p w:rsidR="007A49A4" w:rsidRDefault="007A49A4" w:rsidP="007A49A4">
            <w:pPr>
              <w:jc w:val="center"/>
            </w:pPr>
            <w:r>
              <w:t>Fréquence</w:t>
            </w:r>
          </w:p>
        </w:tc>
        <w:tc>
          <w:tcPr>
            <w:tcW w:w="0" w:type="auto"/>
            <w:vAlign w:val="center"/>
          </w:tcPr>
          <w:p w:rsidR="007A49A4" w:rsidRDefault="007A49A4" w:rsidP="007A49A4">
            <w:pPr>
              <w:jc w:val="center"/>
            </w:pPr>
            <w:r>
              <w:t>Test</w:t>
            </w:r>
          </w:p>
        </w:tc>
        <w:tc>
          <w:tcPr>
            <w:tcW w:w="0" w:type="auto"/>
            <w:vAlign w:val="center"/>
          </w:tcPr>
          <w:p w:rsidR="007A49A4" w:rsidRDefault="007A49A4" w:rsidP="007A49A4">
            <w:pPr>
              <w:jc w:val="center"/>
            </w:pPr>
            <w:r>
              <w:t>Description du test</w:t>
            </w:r>
          </w:p>
        </w:tc>
      </w:tr>
      <w:tr w:rsidR="00C63FF5" w:rsidTr="007A49A4">
        <w:trPr>
          <w:jc w:val="center"/>
        </w:trPr>
        <w:tc>
          <w:tcPr>
            <w:tcW w:w="0" w:type="auto"/>
            <w:vMerge w:val="restart"/>
            <w:vAlign w:val="center"/>
          </w:tcPr>
          <w:p w:rsidR="007A49A4" w:rsidRDefault="007A49A4" w:rsidP="007A49A4">
            <w:pPr>
              <w:jc w:val="center"/>
            </w:pPr>
            <w:r>
              <w:t>Quotidien</w:t>
            </w:r>
          </w:p>
        </w:tc>
        <w:tc>
          <w:tcPr>
            <w:tcW w:w="0" w:type="auto"/>
            <w:vAlign w:val="center"/>
          </w:tcPr>
          <w:p w:rsidR="007A49A4" w:rsidRDefault="007A49A4" w:rsidP="007A49A4">
            <w:pPr>
              <w:jc w:val="center"/>
            </w:pPr>
            <w:r>
              <w:t>Transmission à blanc</w:t>
            </w:r>
          </w:p>
        </w:tc>
        <w:tc>
          <w:tcPr>
            <w:tcW w:w="0" w:type="auto"/>
            <w:vAlign w:val="center"/>
          </w:tcPr>
          <w:p w:rsidR="007A49A4" w:rsidRDefault="007A49A4" w:rsidP="007A49A4">
            <w:pPr>
              <w:jc w:val="center"/>
            </w:pPr>
            <w:r>
              <w:t>Inspection visuelle ou analyse pixel par pixel</w:t>
            </w:r>
          </w:p>
        </w:tc>
      </w:tr>
      <w:tr w:rsidR="00C63FF5" w:rsidTr="007A49A4">
        <w:trPr>
          <w:jc w:val="center"/>
        </w:trPr>
        <w:tc>
          <w:tcPr>
            <w:tcW w:w="0" w:type="auto"/>
            <w:vMerge/>
            <w:vAlign w:val="center"/>
          </w:tcPr>
          <w:p w:rsidR="007A49A4" w:rsidRDefault="007A49A4" w:rsidP="007A49A4">
            <w:pPr>
              <w:jc w:val="center"/>
            </w:pPr>
          </w:p>
        </w:tc>
        <w:tc>
          <w:tcPr>
            <w:tcW w:w="0" w:type="auto"/>
            <w:vAlign w:val="center"/>
          </w:tcPr>
          <w:p w:rsidR="007A49A4" w:rsidRDefault="007A49A4" w:rsidP="007A49A4">
            <w:pPr>
              <w:jc w:val="center"/>
            </w:pPr>
            <w:r>
              <w:t>Initialisation du TEP</w:t>
            </w:r>
            <w:r w:rsidR="00C63FF5">
              <w:t xml:space="preserve"> (contrôle des détecteurs et leur électronique)</w:t>
            </w:r>
          </w:p>
        </w:tc>
        <w:tc>
          <w:tcPr>
            <w:tcW w:w="0" w:type="auto"/>
            <w:vAlign w:val="center"/>
          </w:tcPr>
          <w:p w:rsidR="007A49A4" w:rsidRDefault="007A49A4" w:rsidP="007A49A4">
            <w:pPr>
              <w:jc w:val="center"/>
            </w:pPr>
            <w:r>
              <w:t>Analyse par programme constructeur</w:t>
            </w:r>
          </w:p>
        </w:tc>
      </w:tr>
      <w:tr w:rsidR="00C63FF5" w:rsidTr="007A49A4">
        <w:trPr>
          <w:jc w:val="center"/>
        </w:trPr>
        <w:tc>
          <w:tcPr>
            <w:tcW w:w="0" w:type="auto"/>
            <w:vMerge/>
            <w:vAlign w:val="center"/>
          </w:tcPr>
          <w:p w:rsidR="007A49A4" w:rsidRDefault="007A49A4" w:rsidP="007A49A4">
            <w:pPr>
              <w:jc w:val="center"/>
            </w:pPr>
          </w:p>
        </w:tc>
        <w:tc>
          <w:tcPr>
            <w:tcW w:w="0" w:type="auto"/>
            <w:vAlign w:val="center"/>
          </w:tcPr>
          <w:p w:rsidR="007A49A4" w:rsidRDefault="007A49A4" w:rsidP="007A49A4">
            <w:pPr>
              <w:jc w:val="center"/>
            </w:pPr>
            <w:r>
              <w:t>Initialisation du TDM</w:t>
            </w:r>
          </w:p>
        </w:tc>
        <w:tc>
          <w:tcPr>
            <w:tcW w:w="0" w:type="auto"/>
            <w:vAlign w:val="center"/>
          </w:tcPr>
          <w:p w:rsidR="007A49A4" w:rsidRDefault="007A49A4" w:rsidP="007A49A4">
            <w:pPr>
              <w:jc w:val="center"/>
            </w:pPr>
            <w:r>
              <w:t>Etalonnage dans l’air</w:t>
            </w:r>
          </w:p>
        </w:tc>
      </w:tr>
      <w:tr w:rsidR="00C63FF5" w:rsidTr="007A49A4">
        <w:trPr>
          <w:jc w:val="center"/>
        </w:trPr>
        <w:tc>
          <w:tcPr>
            <w:tcW w:w="0" w:type="auto"/>
            <w:vMerge w:val="restart"/>
            <w:vAlign w:val="center"/>
          </w:tcPr>
          <w:p w:rsidR="007A49A4" w:rsidRDefault="007A49A4" w:rsidP="007A49A4">
            <w:pPr>
              <w:jc w:val="center"/>
            </w:pPr>
            <w:r>
              <w:t>Mensuel, après étalonnage</w:t>
            </w:r>
          </w:p>
        </w:tc>
        <w:tc>
          <w:tcPr>
            <w:tcW w:w="0" w:type="auto"/>
            <w:vAlign w:val="center"/>
          </w:tcPr>
          <w:p w:rsidR="007A49A4" w:rsidRDefault="007A49A4" w:rsidP="007A49A4">
            <w:pPr>
              <w:jc w:val="center"/>
            </w:pPr>
            <w:r>
              <w:t>Correction d’atténuation</w:t>
            </w:r>
          </w:p>
        </w:tc>
        <w:tc>
          <w:tcPr>
            <w:tcW w:w="0" w:type="auto"/>
            <w:vAlign w:val="center"/>
          </w:tcPr>
          <w:p w:rsidR="007A49A4" w:rsidRDefault="00C63FF5" w:rsidP="007A49A4">
            <w:pPr>
              <w:jc w:val="center"/>
            </w:pPr>
            <w:r>
              <w:t>Analyse de ROI pour différentes conditions d’atténuation</w:t>
            </w:r>
          </w:p>
        </w:tc>
      </w:tr>
      <w:tr w:rsidR="00C63FF5" w:rsidTr="007A49A4">
        <w:trPr>
          <w:jc w:val="center"/>
        </w:trPr>
        <w:tc>
          <w:tcPr>
            <w:tcW w:w="0" w:type="auto"/>
            <w:vMerge/>
            <w:vAlign w:val="center"/>
          </w:tcPr>
          <w:p w:rsidR="007A49A4" w:rsidRDefault="007A49A4" w:rsidP="007A49A4">
            <w:pPr>
              <w:jc w:val="center"/>
            </w:pPr>
          </w:p>
        </w:tc>
        <w:tc>
          <w:tcPr>
            <w:tcW w:w="0" w:type="auto"/>
            <w:vAlign w:val="center"/>
          </w:tcPr>
          <w:p w:rsidR="007A49A4" w:rsidRDefault="007A49A4" w:rsidP="007A49A4">
            <w:pPr>
              <w:jc w:val="center"/>
            </w:pPr>
            <w:r>
              <w:t>Uniformité de la coupe reconstruite</w:t>
            </w:r>
          </w:p>
        </w:tc>
        <w:tc>
          <w:tcPr>
            <w:tcW w:w="0" w:type="auto"/>
            <w:vAlign w:val="center"/>
          </w:tcPr>
          <w:p w:rsidR="007A49A4" w:rsidRDefault="00C63FF5" w:rsidP="007A49A4">
            <w:pPr>
              <w:jc w:val="center"/>
            </w:pPr>
            <w:r>
              <w:t>Analyse de ROI</w:t>
            </w:r>
          </w:p>
        </w:tc>
      </w:tr>
      <w:tr w:rsidR="00C63FF5" w:rsidTr="007A49A4">
        <w:trPr>
          <w:jc w:val="center"/>
        </w:trPr>
        <w:tc>
          <w:tcPr>
            <w:tcW w:w="0" w:type="auto"/>
            <w:vMerge/>
            <w:vAlign w:val="center"/>
          </w:tcPr>
          <w:p w:rsidR="007A49A4" w:rsidRDefault="007A49A4" w:rsidP="007A49A4">
            <w:pPr>
              <w:jc w:val="center"/>
            </w:pPr>
          </w:p>
        </w:tc>
        <w:tc>
          <w:tcPr>
            <w:tcW w:w="0" w:type="auto"/>
            <w:vAlign w:val="center"/>
          </w:tcPr>
          <w:p w:rsidR="007A49A4" w:rsidRDefault="007A49A4" w:rsidP="007A49A4">
            <w:pPr>
              <w:jc w:val="center"/>
            </w:pPr>
            <w:r>
              <w:t>SUV</w:t>
            </w:r>
          </w:p>
        </w:tc>
        <w:tc>
          <w:tcPr>
            <w:tcW w:w="0" w:type="auto"/>
            <w:vAlign w:val="center"/>
          </w:tcPr>
          <w:p w:rsidR="007A49A4" w:rsidRDefault="00C63FF5" w:rsidP="007A49A4">
            <w:pPr>
              <w:jc w:val="center"/>
            </w:pPr>
            <w:r>
              <w:t>Analyse de ROI</w:t>
            </w:r>
          </w:p>
        </w:tc>
      </w:tr>
      <w:tr w:rsidR="00C63FF5" w:rsidTr="007A49A4">
        <w:trPr>
          <w:jc w:val="center"/>
        </w:trPr>
        <w:tc>
          <w:tcPr>
            <w:tcW w:w="0" w:type="auto"/>
            <w:vMerge/>
            <w:vAlign w:val="center"/>
          </w:tcPr>
          <w:p w:rsidR="007A49A4" w:rsidRDefault="007A49A4" w:rsidP="007A49A4">
            <w:pPr>
              <w:jc w:val="center"/>
            </w:pPr>
          </w:p>
        </w:tc>
        <w:tc>
          <w:tcPr>
            <w:tcW w:w="0" w:type="auto"/>
            <w:vAlign w:val="center"/>
          </w:tcPr>
          <w:p w:rsidR="007A49A4" w:rsidRDefault="007A49A4" w:rsidP="007A49A4">
            <w:pPr>
              <w:jc w:val="center"/>
            </w:pPr>
            <w:r>
              <w:t>Correspondance des axes géométriques</w:t>
            </w:r>
          </w:p>
        </w:tc>
        <w:tc>
          <w:tcPr>
            <w:tcW w:w="0" w:type="auto"/>
            <w:vAlign w:val="center"/>
          </w:tcPr>
          <w:p w:rsidR="007A49A4" w:rsidRDefault="00C63FF5" w:rsidP="007A49A4">
            <w:pPr>
              <w:jc w:val="center"/>
            </w:pPr>
            <w:r>
              <w:t>Analyse par programme constructeur</w:t>
            </w:r>
          </w:p>
        </w:tc>
      </w:tr>
    </w:tbl>
    <w:p w:rsidR="007A49A4" w:rsidRPr="007A49A4" w:rsidRDefault="007A49A4" w:rsidP="007A49A4"/>
    <w:p w:rsidR="00D33BEE" w:rsidRDefault="00C63FF5" w:rsidP="00D33BEE">
      <w:r>
        <w:t xml:space="preserve">Les autres en annuel c’est pour du suivi. </w:t>
      </w:r>
    </w:p>
    <w:p w:rsidR="00C63FF5" w:rsidRDefault="00C63FF5" w:rsidP="00D33BEE">
      <w:pPr>
        <w:rPr>
          <w:u w:val="single"/>
        </w:rPr>
      </w:pPr>
      <w:r>
        <w:rPr>
          <w:u w:val="single"/>
        </w:rPr>
        <w:t xml:space="preserve">Question 2 </w:t>
      </w:r>
    </w:p>
    <w:p w:rsidR="00C63FF5" w:rsidRDefault="009240A6" w:rsidP="00D33BEE">
      <w:r>
        <w:rPr>
          <w:u w:val="single"/>
        </w:rPr>
        <w:lastRenderedPageBreak/>
        <w:t>Question 3</w:t>
      </w:r>
    </w:p>
    <w:p w:rsidR="009240A6" w:rsidRDefault="00074B50" w:rsidP="00D33BEE">
      <w:r>
        <w:t xml:space="preserve">350 </w:t>
      </w:r>
      <w:proofErr w:type="spellStart"/>
      <w:r>
        <w:t>MBq</w:t>
      </w:r>
      <w:proofErr w:type="spellEnd"/>
    </w:p>
    <w:p w:rsidR="009240A6" w:rsidRDefault="009240A6" w:rsidP="00D33BEE">
      <w:r>
        <w:rPr>
          <w:u w:val="single"/>
        </w:rPr>
        <w:t>Question 4</w:t>
      </w:r>
    </w:p>
    <w:p w:rsidR="009240A6" w:rsidRDefault="009240A6" w:rsidP="00D33BEE"/>
    <w:p w:rsidR="009240A6" w:rsidRDefault="009240A6" w:rsidP="00D33BEE">
      <w:r>
        <w:rPr>
          <w:b/>
          <w:u w:val="single"/>
        </w:rPr>
        <w:t>Partie 3</w:t>
      </w:r>
    </w:p>
    <w:p w:rsidR="009240A6" w:rsidRDefault="009240A6" w:rsidP="00D33BEE">
      <w:r>
        <w:rPr>
          <w:u w:val="single"/>
        </w:rPr>
        <w:t>Question 1</w:t>
      </w:r>
    </w:p>
    <w:p w:rsidR="009240A6" w:rsidRDefault="009240A6" w:rsidP="00D33BEE"/>
    <w:p w:rsidR="009240A6" w:rsidRDefault="009240A6" w:rsidP="00D33BEE">
      <w:r>
        <w:rPr>
          <w:u w:val="single"/>
        </w:rPr>
        <w:t>Question 2</w:t>
      </w:r>
    </w:p>
    <w:p w:rsidR="00074B50" w:rsidRDefault="003E7105" w:rsidP="003E7105">
      <w:pPr>
        <w:pStyle w:val="Paragraphedeliste"/>
        <w:numPr>
          <w:ilvl w:val="0"/>
          <w:numId w:val="5"/>
        </w:numPr>
      </w:pPr>
      <w:r w:rsidRPr="003E7105">
        <w:rPr>
          <w:lang w:val="en-US"/>
        </w:rPr>
        <w:t xml:space="preserve">B) </w:t>
      </w:r>
      <w:proofErr w:type="gramStart"/>
      <w:r w:rsidR="00074B50" w:rsidRPr="003E7105">
        <w:rPr>
          <w:lang w:val="en-US"/>
        </w:rPr>
        <w:t>SUV :</w:t>
      </w:r>
      <w:proofErr w:type="gramEnd"/>
      <w:r w:rsidR="00074B50" w:rsidRPr="003E7105">
        <w:rPr>
          <w:lang w:val="en-US"/>
        </w:rPr>
        <w:t xml:space="preserve"> Standard Uptake Value. </w:t>
      </w:r>
      <w:r w:rsidR="00074B50">
        <w:t>Indice semi-quantitatif de l’accumulation du FDG permettant d’effectuer des comparaisons entre examens</w:t>
      </w:r>
      <w:r w:rsidR="00386631">
        <w:t xml:space="preserve"> (estimée du taux de métabolisme du glucose)</w:t>
      </w:r>
    </w:p>
    <w:p w:rsidR="009240A6" w:rsidRPr="009E4FC5" w:rsidRDefault="00074B50" w:rsidP="00074B50">
      <w:pPr>
        <w:jc w:val="center"/>
        <w:rPr>
          <w:rFonts w:eastAsiaTheme="minorEastAsia"/>
        </w:rPr>
      </w:pPr>
      <m:oMathPara>
        <m:oMath>
          <m:r>
            <w:rPr>
              <w:rFonts w:ascii="Cambria Math" w:hAnsi="Cambria Math"/>
            </w:rPr>
            <m:t>SUV=</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TEP</m:t>
                  </m:r>
                </m:sub>
              </m:sSub>
              <m:d>
                <m:dPr>
                  <m:begChr m:val="["/>
                  <m:endChr m:val="]"/>
                  <m:ctrlPr>
                    <w:rPr>
                      <w:rFonts w:ascii="Cambria Math" w:hAnsi="Cambria Math"/>
                      <w:i/>
                    </w:rPr>
                  </m:ctrlPr>
                </m:dPr>
                <m:e>
                  <m:r>
                    <w:rPr>
                      <w:rFonts w:ascii="Cambria Math" w:hAnsi="Cambria Math"/>
                    </w:rPr>
                    <m:t>Bq\c</m:t>
                  </m:r>
                  <m:sSup>
                    <m:sSupPr>
                      <m:ctrlPr>
                        <w:rPr>
                          <w:rFonts w:ascii="Cambria Math" w:hAnsi="Cambria Math"/>
                          <w:i/>
                        </w:rPr>
                      </m:ctrlPr>
                    </m:sSupPr>
                    <m:e>
                      <m:r>
                        <w:rPr>
                          <w:rFonts w:ascii="Cambria Math" w:hAnsi="Cambria Math"/>
                        </w:rPr>
                        <m:t>m</m:t>
                      </m:r>
                    </m:e>
                    <m:sup>
                      <m:r>
                        <w:rPr>
                          <w:rFonts w:ascii="Cambria Math" w:hAnsi="Cambria Math"/>
                        </w:rPr>
                        <m:t>3</m:t>
                      </m:r>
                    </m:sup>
                  </m:sSup>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num>
            <m:den>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[Bq]</m:t>
              </m:r>
            </m:den>
          </m:f>
          <m:r>
            <w:rPr>
              <w:rFonts w:ascii="Cambria Math" w:eastAsiaTheme="minorEastAsia" w:hAnsi="Cambria Math"/>
            </w:rPr>
            <m:t>.m[kg]</m:t>
          </m:r>
        </m:oMath>
      </m:oMathPara>
    </w:p>
    <w:p w:rsidR="009E4FC5" w:rsidRDefault="009E4FC5" w:rsidP="009E4FC5">
      <w:pPr>
        <w:rPr>
          <w:rFonts w:eastAsiaTheme="minorEastAsia"/>
        </w:rPr>
      </w:pPr>
      <w:r>
        <w:rPr>
          <w:rFonts w:eastAsiaTheme="minorEastAsia"/>
        </w:rPr>
        <w:t>Avec :</w:t>
      </w:r>
    </w:p>
    <w:p w:rsidR="009E4FC5" w:rsidRDefault="009E4FC5" w:rsidP="009E4FC5">
      <w:pPr>
        <w:pStyle w:val="Paragraphedeliste"/>
        <w:numPr>
          <w:ilvl w:val="0"/>
          <w:numId w:val="3"/>
        </w:numPr>
      </w:pPr>
      <w:r>
        <w:t>C</w:t>
      </w:r>
      <w:r w:rsidRPr="009E4FC5">
        <w:rPr>
          <w:vertAlign w:val="subscript"/>
        </w:rPr>
        <w:t>TEP</w:t>
      </w:r>
      <w:r>
        <w:t> : Concentration d’activité mesurée dans l’image TEP</w:t>
      </w:r>
    </w:p>
    <w:p w:rsidR="009E4FC5" w:rsidRDefault="009E4FC5" w:rsidP="009E4FC5">
      <w:pPr>
        <w:pStyle w:val="Paragraphedeliste"/>
        <w:numPr>
          <w:ilvl w:val="0"/>
          <w:numId w:val="3"/>
        </w:numPr>
      </w:pPr>
      <w:r>
        <w:t>M : masse du patient</w:t>
      </w:r>
    </w:p>
    <w:p w:rsidR="009E4FC5" w:rsidRDefault="009E4FC5" w:rsidP="009E4FC5">
      <w:pPr>
        <w:pStyle w:val="Paragraphedeliste"/>
        <w:numPr>
          <w:ilvl w:val="0"/>
          <w:numId w:val="3"/>
        </w:numPr>
      </w:pPr>
      <w:r>
        <w:t>A</w:t>
      </w:r>
      <w:r w:rsidRPr="009E4FC5">
        <w:rPr>
          <w:vertAlign w:val="subscript"/>
        </w:rPr>
        <w:t>i</w:t>
      </w:r>
      <w:r>
        <w:t> : activité injectée, rapporté au début de l’examen</w:t>
      </w:r>
    </w:p>
    <w:p w:rsidR="009E4FC5" w:rsidRDefault="009E4FC5" w:rsidP="009E4FC5">
      <w:r>
        <w:t>La valeur du SUV dépend du :</w:t>
      </w:r>
    </w:p>
    <w:p w:rsidR="009E4FC5" w:rsidRDefault="009E4FC5" w:rsidP="009E4FC5">
      <w:pPr>
        <w:pStyle w:val="Paragraphedeliste"/>
        <w:numPr>
          <w:ilvl w:val="0"/>
          <w:numId w:val="4"/>
        </w:numPr>
      </w:pPr>
      <w:r>
        <w:t>Délai entre injection et l’examen</w:t>
      </w:r>
    </w:p>
    <w:p w:rsidR="009E4FC5" w:rsidRDefault="009E4FC5" w:rsidP="009E4FC5">
      <w:pPr>
        <w:pStyle w:val="Paragraphedeliste"/>
        <w:numPr>
          <w:ilvl w:val="0"/>
          <w:numId w:val="4"/>
        </w:numPr>
      </w:pPr>
      <w:r>
        <w:t>Glycémie du patient</w:t>
      </w:r>
    </w:p>
    <w:p w:rsidR="009E4FC5" w:rsidRDefault="009E4FC5" w:rsidP="009E4FC5">
      <w:pPr>
        <w:pStyle w:val="Paragraphedeliste"/>
        <w:numPr>
          <w:ilvl w:val="0"/>
          <w:numId w:val="4"/>
        </w:numPr>
      </w:pPr>
      <w:r>
        <w:t>Poids du patient  (rapport tissus adipeux et musculaires)</w:t>
      </w:r>
    </w:p>
    <w:p w:rsidR="009E4FC5" w:rsidRDefault="009E4FC5" w:rsidP="009E4FC5">
      <w:pPr>
        <w:pStyle w:val="Paragraphedeliste"/>
        <w:numPr>
          <w:ilvl w:val="0"/>
          <w:numId w:val="4"/>
        </w:numPr>
      </w:pPr>
      <w:r>
        <w:t>Qualité de la quantification (correction d’atténuation, des diffusés)</w:t>
      </w:r>
    </w:p>
    <w:p w:rsidR="009E4FC5" w:rsidRDefault="009E4FC5" w:rsidP="009E4FC5">
      <w:pPr>
        <w:pStyle w:val="Paragraphedeliste"/>
        <w:numPr>
          <w:ilvl w:val="0"/>
          <w:numId w:val="4"/>
        </w:numPr>
      </w:pPr>
      <w:r>
        <w:t>Effet de volume partiel</w:t>
      </w:r>
    </w:p>
    <w:p w:rsidR="00386631" w:rsidRDefault="00386631" w:rsidP="00386631">
      <w:r>
        <w:t>SUV = 1 : distribution uniforme dans l’organisme. SUV&gt; 1 hyperfixation</w:t>
      </w:r>
    </w:p>
    <w:p w:rsidR="00386631" w:rsidRDefault="00386631" w:rsidP="00386631">
      <w:r>
        <w:t xml:space="preserve">Le </w:t>
      </w:r>
      <w:proofErr w:type="spellStart"/>
      <w:r>
        <w:t>SUV</w:t>
      </w:r>
      <w:r w:rsidRPr="00386631">
        <w:rPr>
          <w:vertAlign w:val="subscript"/>
        </w:rPr>
        <w:t>max</w:t>
      </w:r>
      <w:proofErr w:type="spellEnd"/>
      <w:r>
        <w:t xml:space="preserve"> représente le </w:t>
      </w:r>
      <w:proofErr w:type="spellStart"/>
      <w:r>
        <w:t>le</w:t>
      </w:r>
      <w:proofErr w:type="spellEnd"/>
      <w:r>
        <w:t xml:space="preserve"> SUV sur 1 </w:t>
      </w:r>
      <w:proofErr w:type="spellStart"/>
      <w:r>
        <w:t>voxel</w:t>
      </w:r>
      <w:proofErr w:type="spellEnd"/>
      <w:r>
        <w:t xml:space="preserve">. Non dépendant de l’utilisateur, paramètre le moins sensible à l’effet de volume partiel, très dépendant du protocole d’acquisition (filtrage des images), décrit le métabolisme d’une tumeur à partir d’un </w:t>
      </w:r>
      <w:proofErr w:type="spellStart"/>
      <w:r>
        <w:t>voxel</w:t>
      </w:r>
      <w:proofErr w:type="spellEnd"/>
      <w:r>
        <w:t>.</w:t>
      </w:r>
    </w:p>
    <w:p w:rsidR="003E7105" w:rsidRDefault="003E7105" w:rsidP="008B1ED9">
      <w:pPr>
        <w:pStyle w:val="Paragraphedeliste"/>
        <w:numPr>
          <w:ilvl w:val="0"/>
          <w:numId w:val="6"/>
        </w:numPr>
      </w:pPr>
      <w:r w:rsidRPr="008B1ED9">
        <w:rPr>
          <w:u w:val="single"/>
        </w:rPr>
        <w:t>Avantages SUV </w:t>
      </w:r>
      <w:r>
        <w:t xml:space="preserve">: très souvent corrélée à la réponse </w:t>
      </w:r>
      <w:proofErr w:type="spellStart"/>
      <w:r>
        <w:t>histopathologique</w:t>
      </w:r>
      <w:proofErr w:type="spellEnd"/>
      <w:r>
        <w:t xml:space="preserve"> des tumeurs. Facilite la distinction bénin/malin et est corrélée au pronostic.</w:t>
      </w:r>
    </w:p>
    <w:p w:rsidR="003E7105" w:rsidRDefault="003E7105" w:rsidP="00386631">
      <w:r>
        <w:t xml:space="preserve">La conversion des images en SUV permet de « normaliser » les images et de les rendre comparables d’un sujet à l’autre et d’un examen à l’autre, puisque la valeur attendue est toujours 1, </w:t>
      </w:r>
      <w:proofErr w:type="spellStart"/>
      <w:r>
        <w:t>qq</w:t>
      </w:r>
      <w:proofErr w:type="spellEnd"/>
      <w:r>
        <w:t xml:space="preserve"> soit l’injectée et la corpulence du sujet. </w:t>
      </w:r>
      <w:r>
        <w:tab/>
      </w:r>
    </w:p>
    <w:p w:rsidR="008B1ED9" w:rsidRDefault="003E7105" w:rsidP="008B1ED9">
      <w:r>
        <w:rPr>
          <w:u w:val="single"/>
        </w:rPr>
        <w:lastRenderedPageBreak/>
        <w:t>Inconvénients SUV </w:t>
      </w:r>
      <w:r>
        <w:t>: limite principale : sensibilité à la taille de la tumeur</w:t>
      </w:r>
      <w:r w:rsidR="008B1ED9">
        <w:t xml:space="preserve">. Grande variabilité dans la préparation des patients, et dans les protocoles d’acquisition et de traitement des données (activité injectée, temps d’acquisition post injection, durée d’acquisition, </w:t>
      </w:r>
      <w:proofErr w:type="spellStart"/>
      <w:r w:rsidR="008B1ED9">
        <w:t>algo</w:t>
      </w:r>
      <w:proofErr w:type="spellEnd"/>
      <w:r w:rsidR="008B1ED9">
        <w:t xml:space="preserve"> de reconstruction, index de quantification…)</w:t>
      </w:r>
    </w:p>
    <w:p w:rsidR="007E6064" w:rsidRDefault="007E6064" w:rsidP="008B1ED9">
      <w:r>
        <w:t>Du fait de l’EVP, le SUV combine de l’information relative à l’activité métabolique et au volume métaboliquement actif et n’est donc pas une mesure pure de l’activité métabolique.</w:t>
      </w:r>
    </w:p>
    <w:p w:rsidR="008B1ED9" w:rsidRPr="008B1ED9" w:rsidRDefault="008B1ED9" w:rsidP="008B1ED9">
      <w:pPr>
        <w:pStyle w:val="Paragraphedeliste"/>
        <w:numPr>
          <w:ilvl w:val="0"/>
          <w:numId w:val="6"/>
        </w:numPr>
        <w:rPr>
          <w:u w:val="single"/>
        </w:rPr>
      </w:pPr>
      <w:r w:rsidRPr="008B1ED9">
        <w:rPr>
          <w:color w:val="9BBB59" w:themeColor="accent3"/>
        </w:rPr>
        <w:t>Non dépendant de l’utilisateur, paramètre le moins sensible à l’effet de volume partiel</w:t>
      </w:r>
      <w:r>
        <w:t xml:space="preserve">, </w:t>
      </w:r>
      <w:r w:rsidRPr="008B1ED9">
        <w:rPr>
          <w:color w:val="FF0000"/>
        </w:rPr>
        <w:t>très dépendant du protocole d’acquisition (filtrage des images</w:t>
      </w:r>
      <w:r>
        <w:t xml:space="preserve">), </w:t>
      </w:r>
      <w:r w:rsidRPr="008B1ED9">
        <w:rPr>
          <w:color w:val="FF0000"/>
        </w:rPr>
        <w:t xml:space="preserve">décrit le métabolisme d’une tumeur à partir d’un </w:t>
      </w:r>
      <w:proofErr w:type="spellStart"/>
      <w:r w:rsidRPr="008B1ED9">
        <w:rPr>
          <w:color w:val="FF0000"/>
        </w:rPr>
        <w:t>voxel</w:t>
      </w:r>
      <w:proofErr w:type="spellEnd"/>
      <w:r w:rsidRPr="008B1ED9">
        <w:rPr>
          <w:color w:val="FF0000"/>
        </w:rPr>
        <w:t>.</w:t>
      </w:r>
    </w:p>
    <w:p w:rsidR="008B1ED9" w:rsidRPr="00462759" w:rsidRDefault="008B1ED9" w:rsidP="008B1ED9">
      <w:pPr>
        <w:pStyle w:val="Paragraphedeliste"/>
        <w:numPr>
          <w:ilvl w:val="0"/>
          <w:numId w:val="6"/>
        </w:numPr>
        <w:rPr>
          <w:u w:val="single"/>
        </w:rPr>
      </w:pPr>
      <w:r>
        <w:rPr>
          <w:color w:val="000000" w:themeColor="text1"/>
        </w:rPr>
        <w:t>Stan</w:t>
      </w:r>
      <w:r w:rsidR="00462759">
        <w:rPr>
          <w:color w:val="000000" w:themeColor="text1"/>
        </w:rPr>
        <w:t>dardiser les pratiques.</w:t>
      </w:r>
    </w:p>
    <w:p w:rsidR="00462759" w:rsidRDefault="00462759" w:rsidP="00462759">
      <w:r>
        <w:rPr>
          <w:u w:val="single"/>
        </w:rPr>
        <w:t>Question 3</w:t>
      </w:r>
    </w:p>
    <w:p w:rsidR="00462759" w:rsidRDefault="00462759" w:rsidP="00462759">
      <w:pPr>
        <w:pStyle w:val="Paragraphedeliste"/>
        <w:numPr>
          <w:ilvl w:val="0"/>
          <w:numId w:val="7"/>
        </w:numPr>
      </w:pPr>
      <w:r>
        <w:t xml:space="preserve">Passage d’un nombre de coups par pixel à </w:t>
      </w:r>
      <w:proofErr w:type="spellStart"/>
      <w:r>
        <w:t>kBq</w:t>
      </w:r>
      <w:proofErr w:type="spellEnd"/>
      <w:r>
        <w:t>/ml.</w:t>
      </w:r>
      <w:r w:rsidR="00D13728">
        <w:t xml:space="preserve"> Fantôme cylindrique uniformément rempli de </w:t>
      </w:r>
      <w:r w:rsidR="00D13728" w:rsidRPr="00D13728">
        <w:rPr>
          <w:vertAlign w:val="superscript"/>
        </w:rPr>
        <w:t>18</w:t>
      </w:r>
      <w:r w:rsidR="00D13728">
        <w:t xml:space="preserve">F d’activité connue. </w:t>
      </w:r>
      <w:proofErr w:type="spellStart"/>
      <w:r w:rsidR="00D13728">
        <w:t>Cpm</w:t>
      </w:r>
      <w:proofErr w:type="spellEnd"/>
      <w:r w:rsidR="00D13728">
        <w:t>/</w:t>
      </w:r>
      <w:proofErr w:type="spellStart"/>
      <w:r w:rsidR="00D13728">
        <w:t>voxel</w:t>
      </w:r>
      <w:proofErr w:type="spellEnd"/>
      <w:r w:rsidR="00D13728">
        <w:t>=&gt;</w:t>
      </w:r>
      <w:proofErr w:type="spellStart"/>
      <w:r w:rsidR="00D13728">
        <w:t>kBq</w:t>
      </w:r>
      <w:proofErr w:type="spellEnd"/>
      <w:r w:rsidR="00D13728">
        <w:t>/</w:t>
      </w:r>
      <w:proofErr w:type="spellStart"/>
      <w:r w:rsidR="00D13728">
        <w:t>mL</w:t>
      </w:r>
      <w:proofErr w:type="spellEnd"/>
    </w:p>
    <w:p w:rsidR="00462759" w:rsidRDefault="00462759" w:rsidP="007E6064">
      <w:pPr>
        <w:pStyle w:val="Paragraphedeliste"/>
        <w:numPr>
          <w:ilvl w:val="0"/>
          <w:numId w:val="7"/>
        </w:numPr>
      </w:pPr>
      <w:r>
        <w:t xml:space="preserve">Mensuel, après étalonnage. Fantôme cylindrique uniforme </w:t>
      </w:r>
      <w:r w:rsidR="007E6064">
        <w:t>eau et solution de FDG répartie de manière homogène</w:t>
      </w:r>
      <w:r>
        <w:t>. Evaluation du SUV sur les coupes successives du fantôme. +/- 5 %</w:t>
      </w:r>
    </w:p>
    <w:p w:rsidR="00D85369" w:rsidRDefault="00D85369" w:rsidP="00D85369">
      <w:pPr>
        <w:rPr>
          <w:u w:val="single"/>
        </w:rPr>
      </w:pPr>
      <w:r>
        <w:rPr>
          <w:u w:val="single"/>
        </w:rPr>
        <w:t>Question 4</w:t>
      </w:r>
    </w:p>
    <w:p w:rsidR="00D85369" w:rsidRPr="00E6552B" w:rsidRDefault="00D85369" w:rsidP="00D85369">
      <w:pPr>
        <w:pStyle w:val="Paragraphedeliste"/>
        <w:numPr>
          <w:ilvl w:val="0"/>
          <w:numId w:val="8"/>
        </w:numPr>
        <w:rPr>
          <w:u w:val="single"/>
        </w:rPr>
      </w:pPr>
      <w:r w:rsidRPr="00D85369">
        <w:rPr>
          <w:vertAlign w:val="superscript"/>
        </w:rPr>
        <w:t>123</w:t>
      </w:r>
      <w:r>
        <w:t>I</w:t>
      </w:r>
      <w:r w:rsidR="00E6552B">
        <w:t xml:space="preserve">. période 13,6h. E X : 156 </w:t>
      </w:r>
      <w:proofErr w:type="spellStart"/>
      <w:r w:rsidR="00E6552B">
        <w:t>keV</w:t>
      </w:r>
      <w:proofErr w:type="spellEnd"/>
    </w:p>
    <w:p w:rsidR="00E6552B" w:rsidRPr="00E6552B" w:rsidRDefault="00E6552B" w:rsidP="00D85369">
      <w:pPr>
        <w:pStyle w:val="Paragraphedeliste"/>
        <w:numPr>
          <w:ilvl w:val="0"/>
          <w:numId w:val="8"/>
        </w:numPr>
        <w:rPr>
          <w:u w:val="single"/>
        </w:rPr>
      </w:pPr>
      <w:r>
        <w:t xml:space="preserve">156 </w:t>
      </w:r>
      <w:proofErr w:type="spellStart"/>
      <w:r>
        <w:t>keV</w:t>
      </w:r>
      <w:proofErr w:type="spellEnd"/>
      <w:r>
        <w:t xml:space="preserve"> + 20 %</w:t>
      </w:r>
    </w:p>
    <w:p w:rsidR="00E6552B" w:rsidRPr="00E6552B" w:rsidRDefault="00E6552B" w:rsidP="00D85369">
      <w:pPr>
        <w:pStyle w:val="Paragraphedeliste"/>
        <w:numPr>
          <w:ilvl w:val="0"/>
          <w:numId w:val="8"/>
        </w:numPr>
        <w:rPr>
          <w:u w:val="single"/>
        </w:rPr>
      </w:pPr>
      <w:r>
        <w:t>MEHR</w:t>
      </w:r>
    </w:p>
    <w:p w:rsidR="00E6552B" w:rsidRPr="00E6552B" w:rsidRDefault="00E6552B" w:rsidP="00D85369">
      <w:pPr>
        <w:pStyle w:val="Paragraphedeliste"/>
        <w:numPr>
          <w:ilvl w:val="0"/>
          <w:numId w:val="8"/>
        </w:numPr>
        <w:rPr>
          <w:u w:val="single"/>
        </w:rPr>
      </w:pPr>
      <w:r>
        <w:t>Matrice 128x128 zoom 1,23</w:t>
      </w:r>
    </w:p>
    <w:p w:rsidR="00E6552B" w:rsidRPr="00D85369" w:rsidRDefault="00E6552B" w:rsidP="00D85369">
      <w:pPr>
        <w:pStyle w:val="Paragraphedeliste"/>
        <w:numPr>
          <w:ilvl w:val="0"/>
          <w:numId w:val="8"/>
        </w:numPr>
        <w:rPr>
          <w:u w:val="single"/>
        </w:rPr>
      </w:pPr>
      <w:r>
        <w:t>Visuelle. Différente classification possible</w:t>
      </w:r>
      <w:bookmarkStart w:id="0" w:name="_GoBack"/>
      <w:bookmarkEnd w:id="0"/>
    </w:p>
    <w:p w:rsidR="00462759" w:rsidRDefault="00462759" w:rsidP="00462759">
      <w:pPr>
        <w:pStyle w:val="Paragraphedeliste"/>
      </w:pPr>
    </w:p>
    <w:p w:rsidR="00D13728" w:rsidRPr="00462759" w:rsidRDefault="00D13728" w:rsidP="00462759">
      <w:pPr>
        <w:pStyle w:val="Paragraphedeliste"/>
      </w:pPr>
    </w:p>
    <w:sectPr w:rsidR="00D13728" w:rsidRPr="004627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61984"/>
    <w:multiLevelType w:val="hybridMultilevel"/>
    <w:tmpl w:val="EB70C9D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254FD4"/>
    <w:multiLevelType w:val="hybridMultilevel"/>
    <w:tmpl w:val="6E6E107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280DC1"/>
    <w:multiLevelType w:val="hybridMultilevel"/>
    <w:tmpl w:val="455C2F4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F3D39B5"/>
    <w:multiLevelType w:val="hybridMultilevel"/>
    <w:tmpl w:val="23A0225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C191A07"/>
    <w:multiLevelType w:val="hybridMultilevel"/>
    <w:tmpl w:val="4D5E86AE"/>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5" w15:restartNumberingAfterBreak="0">
    <w:nsid w:val="75F17EB1"/>
    <w:multiLevelType w:val="hybridMultilevel"/>
    <w:tmpl w:val="BE74189A"/>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5F803A9"/>
    <w:multiLevelType w:val="hybridMultilevel"/>
    <w:tmpl w:val="E60E2A10"/>
    <w:lvl w:ilvl="0" w:tplc="111EF00C">
      <w:start w:val="3"/>
      <w:numFmt w:val="lowerLetter"/>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D57434B"/>
    <w:multiLevelType w:val="hybridMultilevel"/>
    <w:tmpl w:val="CF42A822"/>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num w:numId="1">
    <w:abstractNumId w:val="5"/>
  </w:num>
  <w:num w:numId="2">
    <w:abstractNumId w:val="2"/>
  </w:num>
  <w:num w:numId="3">
    <w:abstractNumId w:val="7"/>
  </w:num>
  <w:num w:numId="4">
    <w:abstractNumId w:val="4"/>
  </w:num>
  <w:num w:numId="5">
    <w:abstractNumId w:val="0"/>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5DD"/>
    <w:rsid w:val="00034D8C"/>
    <w:rsid w:val="00070119"/>
    <w:rsid w:val="00074B50"/>
    <w:rsid w:val="000C243C"/>
    <w:rsid w:val="000C3099"/>
    <w:rsid w:val="00123151"/>
    <w:rsid w:val="00157B96"/>
    <w:rsid w:val="001816EC"/>
    <w:rsid w:val="0018774F"/>
    <w:rsid w:val="001D0494"/>
    <w:rsid w:val="001D2343"/>
    <w:rsid w:val="00212FA7"/>
    <w:rsid w:val="002D3D2E"/>
    <w:rsid w:val="00386631"/>
    <w:rsid w:val="003B1664"/>
    <w:rsid w:val="003E7105"/>
    <w:rsid w:val="00402A1B"/>
    <w:rsid w:val="00462759"/>
    <w:rsid w:val="004D1E28"/>
    <w:rsid w:val="00525CE7"/>
    <w:rsid w:val="00550538"/>
    <w:rsid w:val="00563B16"/>
    <w:rsid w:val="005E1E85"/>
    <w:rsid w:val="005E40B6"/>
    <w:rsid w:val="00605095"/>
    <w:rsid w:val="006D4D8E"/>
    <w:rsid w:val="006F07EA"/>
    <w:rsid w:val="007043DC"/>
    <w:rsid w:val="007324FF"/>
    <w:rsid w:val="007855DD"/>
    <w:rsid w:val="007A49A4"/>
    <w:rsid w:val="007E6064"/>
    <w:rsid w:val="00800F9E"/>
    <w:rsid w:val="00816CCC"/>
    <w:rsid w:val="00827E17"/>
    <w:rsid w:val="00844A9A"/>
    <w:rsid w:val="00846E45"/>
    <w:rsid w:val="008763D0"/>
    <w:rsid w:val="008800CE"/>
    <w:rsid w:val="008B1ED9"/>
    <w:rsid w:val="009240A6"/>
    <w:rsid w:val="00996C0B"/>
    <w:rsid w:val="009E4FC5"/>
    <w:rsid w:val="00A24480"/>
    <w:rsid w:val="00A72677"/>
    <w:rsid w:val="00A8311B"/>
    <w:rsid w:val="00AE55B3"/>
    <w:rsid w:val="00B12B6E"/>
    <w:rsid w:val="00B360F3"/>
    <w:rsid w:val="00B75254"/>
    <w:rsid w:val="00BA1795"/>
    <w:rsid w:val="00BD43C7"/>
    <w:rsid w:val="00BD518C"/>
    <w:rsid w:val="00C5204B"/>
    <w:rsid w:val="00C617F1"/>
    <w:rsid w:val="00C63FF5"/>
    <w:rsid w:val="00C72E7D"/>
    <w:rsid w:val="00CA5644"/>
    <w:rsid w:val="00D13728"/>
    <w:rsid w:val="00D24F79"/>
    <w:rsid w:val="00D33BEE"/>
    <w:rsid w:val="00D345E4"/>
    <w:rsid w:val="00D85369"/>
    <w:rsid w:val="00DA1DD3"/>
    <w:rsid w:val="00DA6252"/>
    <w:rsid w:val="00E256BA"/>
    <w:rsid w:val="00E5698A"/>
    <w:rsid w:val="00E6552B"/>
    <w:rsid w:val="00E655D6"/>
    <w:rsid w:val="00EB4249"/>
    <w:rsid w:val="00F417E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EC6FC6-8A2C-46CE-B01A-864EDA82D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17E1"/>
    <w:pPr>
      <w:ind w:left="720"/>
      <w:contextualSpacing/>
    </w:pPr>
  </w:style>
  <w:style w:type="table" w:styleId="Grilledutableau">
    <w:name w:val="Table Grid"/>
    <w:basedOn w:val="TableauNormal"/>
    <w:uiPriority w:val="59"/>
    <w:rsid w:val="00F41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074B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940</TotalTime>
  <Pages>4</Pages>
  <Words>916</Words>
  <Characters>5038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5943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Florian</cp:lastModifiedBy>
  <cp:revision>16</cp:revision>
  <dcterms:created xsi:type="dcterms:W3CDTF">2017-10-11T20:29:00Z</dcterms:created>
  <dcterms:modified xsi:type="dcterms:W3CDTF">2017-10-14T10:11:00Z</dcterms:modified>
</cp:coreProperties>
</file>