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1.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Prices</w:t>
      </w:r>
    </w:p>
    <w:p>
      <w:pPr>
        <w:pStyle w:val="Author"/>
      </w:pPr>
      <w:r>
        <w:t xml:space="preserve">Mine</w:t>
      </w:r>
      <w:r>
        <w:t xml:space="preserve"> </w:t>
      </w:r>
      <w:r>
        <w:t xml:space="preserve">Çetinkaya-Rundel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analysis, we build a model predicting sale prices of houses based on data on houses that were sold in the Duke Forest neighborhood of Durham, NC around November 2020. Let’s start by loading the packages we’ll use for the analysis.</w:t>
      </w:r>
    </w:p>
    <w:p>
      <w:pPr>
        <w:pStyle w:val="SourceCode"/>
      </w:pPr>
      <w:r>
        <w:rPr>
          <w:rStyle w:val="FunctionTok"/>
        </w:rPr>
        <w:t xml:space="preserve">library</w:t>
      </w:r>
      <w:r>
        <w:rPr>
          <w:rStyle w:val="NormalTok"/>
        </w:rPr>
        <w:t xml:space="preserve">(openintro)  </w:t>
      </w:r>
      <w:r>
        <w:rPr>
          <w:rStyle w:val="CommentTok"/>
        </w:rPr>
        <w:t xml:space="preserve"># for data</w:t>
      </w:r>
      <w:r>
        <w:br/>
      </w:r>
      <w:r>
        <w:rPr>
          <w:rStyle w:val="FunctionTok"/>
        </w:rPr>
        <w:t xml:space="preserve">library</w:t>
      </w:r>
      <w:r>
        <w:rPr>
          <w:rStyle w:val="NormalTok"/>
        </w:rPr>
        <w:t xml:space="preserve">(tidyverse)  </w:t>
      </w:r>
      <w:r>
        <w:rPr>
          <w:rStyle w:val="CommentTok"/>
        </w:rPr>
        <w:t xml:space="preserve"># for data wrangling and visualization</w:t>
      </w:r>
      <w:r>
        <w:br/>
      </w:r>
      <w:r>
        <w:rPr>
          <w:rStyle w:val="FunctionTok"/>
        </w:rPr>
        <w:t xml:space="preserve">library</w:t>
      </w:r>
      <w:r>
        <w:rPr>
          <w:rStyle w:val="NormalTok"/>
        </w:rPr>
        <w:t xml:space="preserve">(knitr)      </w:t>
      </w:r>
      <w:r>
        <w:rPr>
          <w:rStyle w:val="CommentTok"/>
        </w:rPr>
        <w:t xml:space="preserve"># for tables</w:t>
      </w:r>
      <w:r>
        <w:br/>
      </w:r>
      <w:r>
        <w:rPr>
          <w:rStyle w:val="FunctionTok"/>
        </w:rPr>
        <w:t xml:space="preserve">library</w:t>
      </w:r>
      <w:r>
        <w:rPr>
          <w:rStyle w:val="NormalTok"/>
        </w:rPr>
        <w:t xml:space="preserve">(broom)      </w:t>
      </w:r>
      <w:r>
        <w:rPr>
          <w:rStyle w:val="CommentTok"/>
        </w:rPr>
        <w:t xml:space="preserve"># for model summary</w:t>
      </w:r>
    </w:p>
    <w:p>
      <w:pPr>
        <w:pStyle w:val="FirstParagraph"/>
      </w:pPr>
      <w:r>
        <w:t xml:space="preserve">We present the results of exploratory data analysis in</w:t>
      </w:r>
      <w:r>
        <w:t xml:space="preserve"> </w:t>
      </w:r>
      <w:hyperlink w:anchor="sec-eda">
        <w:r>
          <w:rPr>
            <w:rStyle w:val="Hyperlink"/>
          </w:rPr>
          <w:t xml:space="preserve">Section 2</w:t>
        </w:r>
      </w:hyperlink>
      <w:r>
        <w:t xml:space="preserve"> </w:t>
      </w:r>
      <w:r>
        <w:t xml:space="preserve">and the regression model in</w:t>
      </w:r>
      <w:r>
        <w:t xml:space="preserve"> </w:t>
      </w:r>
      <w:hyperlink w:anchor="sec-model">
        <w:r>
          <w:rPr>
            <w:rStyle w:val="Hyperlink"/>
          </w:rPr>
          <w:t xml:space="preserve">Section 3</w:t>
        </w:r>
      </w:hyperlink>
      <w:r>
        <w:t xml:space="preserve">.</w:t>
      </w:r>
    </w:p>
    <w:p>
      <w:pPr>
        <w:pStyle w:val="BodyText"/>
      </w:pPr>
      <w:r>
        <w:t xml:space="preserve">We’re going to do this analysis using literate programming</w:t>
      </w:r>
      <w:r>
        <w:t xml:space="preserve"> </w:t>
      </w:r>
      <w:r>
        <w:t xml:space="preserve">(Knuth 1984)</w:t>
      </w:r>
      <w:r>
        <w:t xml:space="preserve">.</w:t>
      </w:r>
    </w:p>
    <w:bookmarkEnd w:id="20"/>
    <w:bookmarkStart w:id="36" w:name="sec-eda"/>
    <w:p>
      <w:pPr>
        <w:pStyle w:val="Heading2"/>
      </w:pPr>
      <w:r>
        <w:t xml:space="preserve">2 Exploratory data analysis</w:t>
      </w:r>
    </w:p>
    <w:p>
      <w:pPr>
        <w:pStyle w:val="FirstParagraph"/>
      </w:pPr>
      <w:r>
        <w:t xml:space="preserve">The data contains 98 houses. As part of the exploratory analysis let’s visualize and summarize the relationship between areas and prices of these houses.</w:t>
      </w:r>
    </w:p>
    <w:bookmarkStart w:id="33" w:name="data-visualization"/>
    <w:p>
      <w:pPr>
        <w:pStyle w:val="Heading3"/>
      </w:pPr>
      <w:r>
        <w:t xml:space="preserve">2.1 Data visualization</w:t>
      </w:r>
    </w:p>
    <w:p>
      <w:pPr>
        <w:pStyle w:val="FirstParagraph"/>
      </w:pPr>
      <w:hyperlink w:anchor="fig-histogram">
        <w:r>
          <w:rPr>
            <w:rStyle w:val="Hyperlink"/>
          </w:rPr>
          <w:t xml:space="preserve">Figure 1</w:t>
        </w:r>
      </w:hyperlink>
      <w:r>
        <w:t xml:space="preserve"> </w:t>
      </w:r>
      <w:r>
        <w:t xml:space="preserve">shows two histograms displaying the distributions of</w:t>
      </w:r>
      <w:r>
        <w:t xml:space="preserve"> </w:t>
      </w:r>
      <w:r>
        <w:rPr>
          <w:rStyle w:val="VerbatimChar"/>
        </w:rPr>
        <w:t xml:space="preserve">price</w:t>
      </w:r>
      <w:r>
        <w:t xml:space="preserve"> </w:t>
      </w:r>
      <w:r>
        <w:t xml:space="preserve">and</w:t>
      </w:r>
      <w:r>
        <w:t xml:space="preserve"> </w:t>
      </w:r>
      <w:r>
        <w:rPr>
          <w:rStyle w:val="VerbatimChar"/>
        </w:rPr>
        <w:t xml:space="preserve">area</w:t>
      </w:r>
      <w:r>
        <w:t xml:space="preserve"> </w:t>
      </w:r>
      <w:r>
        <w:t xml:space="preserve">individually.</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prices"</w:t>
      </w:r>
      <w:r>
        <w:rPr>
          <w:rStyle w:val="NormalTok"/>
        </w:rPr>
        <w:t xml:space="preserve">)</w:t>
      </w:r>
      <w:r>
        <w:br/>
      </w:r>
      <w:r>
        <w:br/>
      </w: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areas"</w:t>
      </w:r>
      <w:r>
        <w:rPr>
          <w:rStyle w:val="NormalTok"/>
        </w:rP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4" w:name="fig-histogram-1"/>
                <w:p>
                  <w:pPr>
                    <w:pStyle w:val="Figure"/>
                    <w:jc w:val="center"/>
                    <w:jc w:val="center"/>
                  </w:pPr>
                  <w:r>
                    <w:drawing>
                      <wp:inline>
                        <wp:extent cx="2971800" cy="2377440"/>
                        <wp:effectExtent b="0" l="0" r="0" t="0"/>
                        <wp:docPr descr="" title="" id="22" name="Picture"/>
                        <a:graphic>
                          <a:graphicData uri="http://schemas.openxmlformats.org/drawingml/2006/picture">
                            <pic:pic>
                              <pic:nvPicPr>
                                <pic:cNvPr descr="_authoring-complete_files/figure-docx/fig-histogram-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Histogram of</w:t>
                  </w:r>
                  <w:r>
                    <w:t xml:space="preserve"> </w:t>
                  </w:r>
                  <w:r>
                    <w:rPr>
                      <w:rStyle w:val="VerbatimChar"/>
                    </w:rPr>
                    <w:t xml:space="preserve">price</w:t>
                  </w:r>
                  <w:r>
                    <w:t xml:space="preserve">s</w:t>
                  </w:r>
                </w:p>
                <w:bookmarkEnd w:id="24"/>
              </w:tc>
            </w:tr>
          </w:tbl>
          <w:p/>
        </w:tc>
        <w:tc>
          <w:tcPr/>
          <w:tbl>
            <w:tblPr>
              <w:tblStyle w:val="Table"/>
              <w:tblW w:type="pct" w:w="5000"/>
              <w:tblLook w:firstRow="0" w:lastRow="0" w:firstColumn="0" w:lastColumn="0" w:noHBand="0" w:noVBand="0" w:val="0000"/>
            </w:tblPr>
            <w:tblGrid>
              <w:gridCol w:w="7920"/>
            </w:tblGrid>
            <w:tr>
              <w:tc>
                <w:tcPr/>
                <w:bookmarkStart w:id="28" w:name="fig-histogram-2"/>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_authoring-complete_files/figure-docx/fig-histogram-2.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Histogram of</w:t>
                  </w:r>
                  <w:r>
                    <w:t xml:space="preserve"> </w:t>
                  </w:r>
                  <w:r>
                    <w:rPr>
                      <w:rStyle w:val="VerbatimChar"/>
                    </w:rPr>
                    <w:t xml:space="preserve">area</w:t>
                  </w:r>
                  <w:r>
                    <w:t xml:space="preserve">s</w:t>
                  </w:r>
                </w:p>
                <w:bookmarkEnd w:id="28"/>
              </w:tc>
            </w:tr>
          </w:tbl>
          <w:p/>
        </w:tc>
      </w:tr>
    </w:tbl>
    <w:p>
      <w:pPr>
        <w:pStyle w:val="BodyText"/>
      </w:pPr>
      <w:pPr>
        <w:spacing w:before="200"/>
        <w:pStyle w:val="ImageCaption"/>
      </w:pPr>
      <w:r>
        <w:t xml:space="preserve">Figure 1: Histograms of individual variables</w:t>
      </w:r>
    </w:p>
    <w:p>
      <w:pPr>
        <w:pStyle w:val="BodyText"/>
      </w:pPr>
      <w:hyperlink w:anchor="fig-scatterplot">
        <w:r>
          <w:rPr>
            <w:rStyle w:val="Hyperlink"/>
          </w:rPr>
          <w:t xml:space="preserve">Figure 2</w:t>
        </w:r>
      </w:hyperlink>
      <w:r>
        <w:t xml:space="preserve"> </w:t>
      </w:r>
      <w:r>
        <w:t xml:space="preserve">displays the relationship between these two variables in a scatterplot.</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and area of houses in Duke Forest"</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2" w:name="fig-scatterplot"/>
          <w:p>
            <w:pPr>
              <w:pStyle w:val="Figure"/>
              <w:jc w:val="center"/>
            </w:pPr>
            <w:r>
              <w:drawing>
                <wp:inline>
                  <wp:extent cx="5334000" cy="4267200"/>
                  <wp:effectExtent b="0" l="0" r="0" t="0"/>
                  <wp:docPr descr="" title="" id="30" name="Picture"/>
                  <a:graphic>
                    <a:graphicData uri="http://schemas.openxmlformats.org/drawingml/2006/picture">
                      <pic:pic>
                        <pic:nvPicPr>
                          <pic:cNvPr descr="_authoring-complete_files/figure-docx/fig-scatterplot-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Scatterplot of price vs. area of houses in Duke Forest</w:t>
            </w:r>
          </w:p>
          <w:bookmarkEnd w:id="32"/>
        </w:tc>
      </w:tr>
    </w:tbl>
    <w:bookmarkEnd w:id="33"/>
    <w:bookmarkStart w:id="35" w:name="summary-statistics"/>
    <w:p>
      <w:pPr>
        <w:pStyle w:val="Heading3"/>
      </w:pPr>
      <w:r>
        <w:t xml:space="preserve">2.2 Summary statistics</w:t>
      </w:r>
    </w:p>
    <w:p>
      <w:pPr>
        <w:pStyle w:val="FirstParagraph"/>
      </w:pPr>
      <w:hyperlink w:anchor="tbl-stats">
        <w:r>
          <w:rPr>
            <w:rStyle w:val="Hyperlink"/>
          </w:rPr>
          <w:t xml:space="preserve">Table 1</w:t>
        </w:r>
      </w:hyperlink>
      <w:r>
        <w:t xml:space="preserve"> </w:t>
      </w:r>
      <w:r>
        <w:t xml:space="preserve">displays basic summary statistics for these two variables.</w:t>
      </w:r>
    </w:p>
    <w:p>
      <w:pPr>
        <w:pStyle w:val="SourceCode"/>
      </w:pPr>
      <w:r>
        <w:rPr>
          <w:rStyle w:val="NormalTok"/>
        </w:rPr>
        <w:t xml:space="preserve">duke_forest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Median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(price),</w:t>
      </w:r>
      <w:r>
        <w:br/>
      </w:r>
      <w:r>
        <w:rPr>
          <w:rStyle w:val="NormalTok"/>
        </w:rPr>
        <w:t xml:space="preserve">    </w:t>
      </w:r>
      <w:r>
        <w:rPr>
          <w:rStyle w:val="StringTok"/>
        </w:rPr>
        <w:t xml:space="preserve">`</w:t>
      </w:r>
      <w:r>
        <w:rPr>
          <w:rStyle w:val="AttributeTok"/>
        </w:rPr>
        <w:t xml:space="preserve">IQR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(price),</w:t>
      </w:r>
      <w:r>
        <w:br/>
      </w:r>
      <w:r>
        <w:rPr>
          <w:rStyle w:val="NormalTok"/>
        </w:rPr>
        <w:t xml:space="preserve">    </w:t>
      </w:r>
      <w:r>
        <w:rPr>
          <w:rStyle w:val="StringTok"/>
        </w:rPr>
        <w:t xml:space="preserve">`</w:t>
      </w:r>
      <w:r>
        <w:rPr>
          <w:rStyle w:val="AttributeTok"/>
        </w:rPr>
        <w:t xml:space="preserve">Median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(area),</w:t>
      </w:r>
      <w:r>
        <w:br/>
      </w:r>
      <w:r>
        <w:rPr>
          <w:rStyle w:val="NormalTok"/>
        </w:rPr>
        <w:t xml:space="preserve">    </w:t>
      </w:r>
      <w:r>
        <w:rPr>
          <w:rStyle w:val="StringTok"/>
        </w:rPr>
        <w:t xml:space="preserve">`</w:t>
      </w:r>
      <w:r>
        <w:rPr>
          <w:rStyle w:val="AttributeTok"/>
        </w:rPr>
        <w:t xml:space="preserve">IQR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(area),</w:t>
      </w:r>
      <w:r>
        <w:br/>
      </w:r>
      <w:r>
        <w:rPr>
          <w:rStyle w:val="NormalTok"/>
        </w:rPr>
        <w:t xml:space="preserve">    </w:t>
      </w:r>
      <w:r>
        <w:rPr>
          <w:rStyle w:val="StringTok"/>
        </w:rPr>
        <w:t xml:space="preserve">`</w:t>
      </w:r>
      <w:r>
        <w:rPr>
          <w:rStyle w:val="AttributeTok"/>
        </w:rPr>
        <w:t xml:space="preserve">Correlation, 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cor</w:t>
      </w:r>
      <w:r>
        <w:rPr>
          <w:rStyle w:val="NormalTok"/>
        </w:rPr>
        <w:t xml:space="preserve">(price, area)</w:t>
      </w:r>
      <w:r>
        <w:br/>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p>
    <w:bookmarkStart w:id="34" w:name="tbl-stats"/>
    <w:p>
      <w:pPr>
        <w:pStyle w:val="TableCaption"/>
      </w:pPr>
      <w:r>
        <w:t xml:space="preserve">Table 1: Summary statistics for price and area of houses in Duke Forest</w:t>
      </w:r>
    </w:p>
    <w:tbl>
      <w:tblPr>
        <w:tblStyle w:val="Table"/>
        <w:tblW w:type="auto" w:w="0"/>
        <w:tblLook w:firstRow="1" w:lastRow="0" w:firstColumn="0" w:lastColumn="0" w:noHBand="0" w:noVBand="0" w:val="0020"/>
        <w:tblCaption w:val="Table 1: Summary statistics for price and area of houses in Duke Forest"/>
      </w:tblPr>
      <w:tblGrid>
        <w:gridCol w:w="1584"/>
        <w:gridCol w:w="1584"/>
        <w:gridCol w:w="1584"/>
        <w:gridCol w:w="1584"/>
        <w:gridCol w:w="1584"/>
      </w:tblGrid>
      <w:tr>
        <w:trPr>
          <w:tblHeader w:val="true"/>
        </w:trPr>
        <w:tc>
          <w:tcPr/>
          <w:p>
            <w:pPr>
              <w:pStyle w:val="Compact"/>
              <w:jc w:val="right"/>
            </w:pPr>
            <w:r>
              <w:t xml:space="preserve">Median price</w:t>
            </w:r>
          </w:p>
        </w:tc>
        <w:tc>
          <w:tcPr/>
          <w:p>
            <w:pPr>
              <w:pStyle w:val="Compact"/>
              <w:jc w:val="right"/>
            </w:pPr>
            <w:r>
              <w:t xml:space="preserve">IQR price</w:t>
            </w:r>
          </w:p>
        </w:tc>
        <w:tc>
          <w:tcPr/>
          <w:p>
            <w:pPr>
              <w:pStyle w:val="Compact"/>
              <w:jc w:val="right"/>
            </w:pPr>
            <w:r>
              <w:t xml:space="preserve">Median area</w:t>
            </w:r>
          </w:p>
        </w:tc>
        <w:tc>
          <w:tcPr/>
          <w:p>
            <w:pPr>
              <w:pStyle w:val="Compact"/>
              <w:jc w:val="right"/>
            </w:pPr>
            <w:r>
              <w:t xml:space="preserve">IQR area</w:t>
            </w:r>
          </w:p>
        </w:tc>
        <w:tc>
          <w:tcPr/>
          <w:p>
            <w:pPr>
              <w:pStyle w:val="Compact"/>
              <w:jc w:val="right"/>
            </w:pPr>
            <w:r>
              <w:t xml:space="preserve">Correlation, r</w:t>
            </w:r>
          </w:p>
        </w:tc>
      </w:tr>
      <w:tr>
        <w:tc>
          <w:tcPr/>
          <w:p>
            <w:pPr>
              <w:pStyle w:val="Compact"/>
              <w:jc w:val="right"/>
            </w:pPr>
            <w:r>
              <w:t xml:space="preserve">540000</w:t>
            </w:r>
          </w:p>
        </w:tc>
        <w:tc>
          <w:tcPr/>
          <w:p>
            <w:pPr>
              <w:pStyle w:val="Compact"/>
              <w:jc w:val="right"/>
            </w:pPr>
            <w:r>
              <w:t xml:space="preserve">193125</w:t>
            </w:r>
          </w:p>
        </w:tc>
        <w:tc>
          <w:tcPr/>
          <w:p>
            <w:pPr>
              <w:pStyle w:val="Compact"/>
              <w:jc w:val="right"/>
            </w:pPr>
            <w:r>
              <w:t xml:space="preserve">2623</w:t>
            </w:r>
          </w:p>
        </w:tc>
        <w:tc>
          <w:tcPr/>
          <w:p>
            <w:pPr>
              <w:pStyle w:val="Compact"/>
              <w:jc w:val="right"/>
            </w:pPr>
            <w:r>
              <w:t xml:space="preserve">1121</w:t>
            </w:r>
          </w:p>
        </w:tc>
        <w:tc>
          <w:tcPr/>
          <w:p>
            <w:pPr>
              <w:pStyle w:val="Compact"/>
              <w:jc w:val="right"/>
            </w:pPr>
            <w:r>
              <w:t xml:space="preserve">0.67</w:t>
            </w:r>
          </w:p>
        </w:tc>
      </w:tr>
    </w:tbl>
    <w:bookmarkEnd w:id="34"/>
    <w:bookmarkEnd w:id="35"/>
    <w:bookmarkEnd w:id="36"/>
    <w:bookmarkStart w:id="42" w:name="sec-model"/>
    <w:p>
      <w:pPr>
        <w:pStyle w:val="Heading2"/>
      </w:pPr>
      <w:r>
        <w:t xml:space="preserve">3 Modeling</w:t>
      </w:r>
    </w:p>
    <w:p>
      <w:pPr>
        <w:pStyle w:val="FirstParagraph"/>
      </w:pPr>
      <w:r>
        <w:t xml:space="preserve">We can fit a simple linear regression model of the form shown in</w:t>
      </w:r>
      <w:r>
        <w:t xml:space="preserve"> </w:t>
      </w:r>
      <w:hyperlink w:anchor="eq-slr">
        <w:r>
          <w:rPr>
            <w:rStyle w:val="Hyperlink"/>
          </w:rPr>
          <w:t xml:space="preserve">Equation 1</w:t>
        </w:r>
      </w:hyperlink>
      <w:r>
        <w:t xml:space="preserve">.</w:t>
      </w:r>
    </w:p>
    <w:p>
      <w:pPr>
        <w:pStyle w:val="BodyText"/>
      </w:pPr>
      <w:bookmarkStart w:id="37" w:name="eq-slr"/>
      <m:oMathPara>
        <m:oMathParaPr>
          <m:jc m:val="center"/>
        </m:oMathParaPr>
        <m:oMath>
          <m:r>
            <m:t>p</m:t>
          </m:r>
          <m:r>
            <m:t>r</m:t>
          </m:r>
          <m:r>
            <m:t>i</m:t>
          </m:r>
          <m:r>
            <m:t>c</m:t>
          </m:r>
          <m:r>
            <m:t>e</m:t>
          </m:r>
          <m:r>
            <m:rPr>
              <m:sty m:val="p"/>
            </m:rPr>
            <m:t>=</m:t>
          </m:r>
          <m:sSub>
            <m:e>
              <m:acc>
                <m:accPr>
                  <m:chr m:val="̂"/>
                </m:accPr>
                <m:e>
                  <m:r>
                    <m:t>β</m:t>
                  </m:r>
                </m:e>
              </m:acc>
            </m:e>
            <m:sub>
              <m:r>
                <m:t>0</m:t>
              </m:r>
            </m:sub>
          </m:sSub>
          <m:r>
            <m:rPr>
              <m:sty m:val="p"/>
            </m:rPr>
            <m:t>+</m:t>
          </m:r>
          <m:sSub>
            <m:e>
              <m:acc>
                <m:accPr>
                  <m:chr m:val="̂"/>
                </m:accPr>
                <m:e>
                  <m:r>
                    <m:t>β</m:t>
                  </m:r>
                </m:e>
              </m:acc>
            </m:e>
            <m:sub>
              <m:r>
                <m:t>1</m:t>
              </m:r>
            </m:sub>
          </m:sSub>
          <m:r>
            <m:rPr>
              <m:sty m:val="p"/>
            </m:rPr>
            <m:t>×</m:t>
          </m:r>
          <m:r>
            <m:t>a</m:t>
          </m:r>
          <m:r>
            <m:t>r</m:t>
          </m:r>
          <m:r>
            <m:t>e</m:t>
          </m:r>
          <m:r>
            <m:t>a</m:t>
          </m:r>
          <m:r>
            <m:rPr>
              <m:sty m:val="p"/>
            </m:rPr>
            <m:t>+</m:t>
          </m:r>
          <m:r>
            <m:t>ϵ</m:t>
          </m:r>
          <m:r>
            <m:t>  </m:t>
          </m:r>
          <m:d>
            <m:dPr>
              <m:begChr m:val="("/>
              <m:endChr m:val=")"/>
              <m:sepChr m:val=""/>
              <m:grow/>
            </m:dPr>
            <m:e>
              <m:r>
                <m:t>1</m:t>
              </m:r>
            </m:e>
          </m:d>
        </m:oMath>
      </m:oMathPara>
      <w:bookmarkEnd w:id="37"/>
    </w:p>
    <w:p>
      <w:pPr>
        <w:pStyle w:val="FirstParagraph"/>
      </w:pPr>
      <w:hyperlink w:anchor="tbl-lm">
        <w:r>
          <w:rPr>
            <w:rStyle w:val="Hyperlink"/>
          </w:rPr>
          <w:t xml:space="preserve">Table 2</w:t>
        </w:r>
      </w:hyperlink>
      <w:r>
        <w:t xml:space="preserve"> </w:t>
      </w:r>
      <w:r>
        <w:t xml:space="preserve">shows the regression output for this model.</w:t>
      </w:r>
    </w:p>
    <w:p>
      <w:pPr>
        <w:pStyle w:val="SourceCode"/>
      </w:pPr>
      <w:r>
        <w:rPr>
          <w:rStyle w:val="NormalTok"/>
        </w:rPr>
        <w:t xml:space="preserve">price_fit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area, </w:t>
      </w:r>
      <w:r>
        <w:rPr>
          <w:rStyle w:val="AttributeTok"/>
        </w:rPr>
        <w:t xml:space="preserve">data =</w:t>
      </w:r>
      <w:r>
        <w:rPr>
          <w:rStyle w:val="NormalTok"/>
        </w:rPr>
        <w:t xml:space="preserve"> duke_forest)</w:t>
      </w:r>
      <w:r>
        <w:br/>
      </w:r>
      <w:r>
        <w:rPr>
          <w:rStyle w:val="NormalTok"/>
        </w:rPr>
        <w:t xml:space="preserve">  </w:t>
      </w:r>
      <w:r>
        <w:br/>
      </w:r>
      <w:r>
        <w:rPr>
          <w:rStyle w:val="NormalTok"/>
        </w:rPr>
        <w:t xml:space="preserve">price_fit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bookmarkStart w:id="38" w:name="tbl-lm"/>
    <w:p>
      <w:pPr>
        <w:pStyle w:val="TableCaption"/>
      </w:pPr>
      <w:r>
        <w:t xml:space="preserve">Table 2: Linear regression model for predicting price from area</w:t>
      </w:r>
    </w:p>
    <w:tbl>
      <w:tblPr>
        <w:tblStyle w:val="Table"/>
        <w:tblW w:type="auto" w:w="0"/>
        <w:tblLook w:firstRow="1" w:lastRow="0" w:firstColumn="0" w:lastColumn="0" w:noHBand="0" w:noVBand="0" w:val="0020"/>
        <w:tblCaption w:val="Table 2: Linear regression model for predicting price from area"/>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116652</w:t>
            </w:r>
          </w:p>
        </w:tc>
        <w:tc>
          <w:tcPr/>
          <w:p>
            <w:pPr>
              <w:pStyle w:val="Compact"/>
              <w:jc w:val="right"/>
            </w:pPr>
            <w:r>
              <w:t xml:space="preserve">53302.46</w:t>
            </w:r>
          </w:p>
        </w:tc>
        <w:tc>
          <w:tcPr/>
          <w:p>
            <w:pPr>
              <w:pStyle w:val="Compact"/>
              <w:jc w:val="right"/>
            </w:pPr>
            <w:r>
              <w:t xml:space="preserve">2.19</w:t>
            </w:r>
          </w:p>
        </w:tc>
        <w:tc>
          <w:tcPr/>
          <w:p>
            <w:pPr>
              <w:pStyle w:val="Compact"/>
              <w:jc w:val="right"/>
            </w:pPr>
            <w:r>
              <w:t xml:space="preserve">0.03</w:t>
            </w:r>
          </w:p>
        </w:tc>
      </w:tr>
      <w:tr>
        <w:tc>
          <w:tcPr/>
          <w:p>
            <w:pPr>
              <w:pStyle w:val="Compact"/>
              <w:jc w:val="left"/>
            </w:pPr>
            <w:r>
              <w:t xml:space="preserve">area</w:t>
            </w:r>
          </w:p>
        </w:tc>
        <w:tc>
          <w:tcPr/>
          <w:p>
            <w:pPr>
              <w:pStyle w:val="Compact"/>
              <w:jc w:val="right"/>
            </w:pPr>
            <w:r>
              <w:t xml:space="preserve">159</w:t>
            </w:r>
          </w:p>
        </w:tc>
        <w:tc>
          <w:tcPr/>
          <w:p>
            <w:pPr>
              <w:pStyle w:val="Compact"/>
              <w:jc w:val="right"/>
            </w:pPr>
            <w:r>
              <w:t xml:space="preserve">18.17</w:t>
            </w:r>
          </w:p>
        </w:tc>
        <w:tc>
          <w:tcPr/>
          <w:p>
            <w:pPr>
              <w:pStyle w:val="Compact"/>
              <w:jc w:val="right"/>
            </w:pPr>
            <w:r>
              <w:t xml:space="preserve">8.78</w:t>
            </w:r>
          </w:p>
        </w:tc>
        <w:tc>
          <w:tcPr/>
          <w:p>
            <w:pPr>
              <w:pStyle w:val="Compact"/>
              <w:jc w:val="right"/>
            </w:pPr>
            <w:r>
              <w:t xml:space="preserve">0.00</w:t>
            </w:r>
          </w:p>
        </w:tc>
      </w:tr>
    </w:tbl>
    <w:bookmarkEnd w:id="38"/>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Users/florianpargent/quarto-cli/src/resources/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 pretty incomplete analysis, but hopefully the document provides a good overview of some of the authoring features of Quarto!</w:t>
            </w:r>
          </w:p>
        </w:tc>
      </w:tr>
    </w:tbl>
    <w:bookmarkEnd w:id="42"/>
    <w:bookmarkStart w:id="46" w:name="references"/>
    <w:p>
      <w:pPr>
        <w:pStyle w:val="Heading2"/>
      </w:pPr>
      <w:r>
        <w:t xml:space="preserve">References</w:t>
      </w:r>
    </w:p>
    <w:bookmarkStart w:id="45" w:name="refs"/>
    <w:bookmarkStart w:id="4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43">
        <w:r>
          <w:rPr>
            <w:rStyle w:val="Hyperlink"/>
          </w:rPr>
          <w:t xml:space="preserve">https://doi.org/10.1093/comjnl/27.2.97</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3"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Prices</dc:title>
  <dc:creator>Mine Çetinkaya-Rundel</dc:creator>
  <cp:keywords/>
  <dcterms:created xsi:type="dcterms:W3CDTF">2023-09-12T06:50:00Z</dcterms:created>
  <dcterms:modified xsi:type="dcterms:W3CDTF">2023-09-12T06:50:00Z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