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C5491" w14:textId="206FEB5B" w:rsidR="00844A28" w:rsidRPr="007A44B0" w:rsidRDefault="007A44B0" w:rsidP="00156A97">
      <w:pPr>
        <w:ind w:firstLine="0"/>
        <w:jc w:val="left"/>
        <w:rPr>
          <w:b/>
          <w:bCs/>
        </w:rPr>
      </w:pPr>
      <w:r>
        <w:rPr>
          <w:b/>
          <w:bCs/>
        </w:rPr>
        <w:t>Interpretation of similarity measures</w:t>
      </w:r>
    </w:p>
    <w:p w14:paraId="55BD1889" w14:textId="3B7B39C3" w:rsidR="00A720C8" w:rsidRDefault="00156A97" w:rsidP="00A720C8">
      <w:r>
        <w:t xml:space="preserve">In this supplementary document, we want to provide the reader with a </w:t>
      </w:r>
      <w:r w:rsidR="006E51EF">
        <w:t xml:space="preserve">more </w:t>
      </w:r>
      <w:r>
        <w:t xml:space="preserve">detailed description </w:t>
      </w:r>
      <w:r w:rsidR="006E51EF">
        <w:t>and interpretation of the factor solution</w:t>
      </w:r>
      <w:r w:rsidR="00B83B8F">
        <w:t>, specifically regarding the use of similarity measures.</w:t>
      </w:r>
      <w:r w:rsidR="006E51EF">
        <w:t xml:space="preserve"> </w:t>
      </w:r>
      <w:r w:rsidR="003F319F">
        <w:t>To</w:t>
      </w:r>
      <w:r w:rsidR="00A720C8">
        <w:t xml:space="preserve"> compute the similarity of the time courses for each factor from the adult PCA, the correlation with each factor from the child PCA was computed. To measure topographic similarity, we first computed the average factor scores across participants at each electrode site for both stimulus types separately. Then, we computed the correlation between the average scores at the electrode sites separately for both conditions. This results in correlation matrices in which the rows represent factors from the adult </w:t>
      </w:r>
      <w:r w:rsidR="003F319F">
        <w:t>PCA,</w:t>
      </w:r>
      <w:r w:rsidR="00A720C8">
        <w:t xml:space="preserve"> and the columns represent factors fr</w:t>
      </w:r>
      <w:r w:rsidR="003F319F">
        <w:t>o</w:t>
      </w:r>
      <w:r w:rsidR="00A720C8">
        <w:t>m the child PCA. The closer the correlation coefficients are to 1, the more similar the factors are. For simplicities’ sake, we only report the similarities between the first six factors (i.e., the largest fa</w:t>
      </w:r>
      <w:r w:rsidR="00A720C8" w:rsidRPr="00280C0D">
        <w:t xml:space="preserve">ctors) from both </w:t>
      </w:r>
      <w:r w:rsidR="00A720C8">
        <w:t>PCA</w:t>
      </w:r>
      <w:r w:rsidR="00A720C8" w:rsidRPr="00280C0D">
        <w:t xml:space="preserve">s but our scripts generate a full solution considering all factors. </w:t>
      </w:r>
      <w:r w:rsidR="00C6087C">
        <w:t>T</w:t>
      </w:r>
      <w:r w:rsidR="00A720C8" w:rsidRPr="00280C0D">
        <w:t>he time</w:t>
      </w:r>
      <w:r w:rsidR="00A720C8">
        <w:t xml:space="preserve"> course and topographic similarities are reported in </w:t>
      </w:r>
      <w:r w:rsidR="00A720C8">
        <w:fldChar w:fldCharType="begin"/>
      </w:r>
      <w:r w:rsidR="00A720C8">
        <w:instrText xml:space="preserve"> REF _Ref71443792 \h </w:instrText>
      </w:r>
      <w:r w:rsidR="00A720C8">
        <w:fldChar w:fldCharType="separate"/>
      </w:r>
      <w:r w:rsidR="00A720C8">
        <w:t xml:space="preserve">Table </w:t>
      </w:r>
      <w:r w:rsidR="00A720C8">
        <w:rPr>
          <w:noProof/>
        </w:rPr>
        <w:t>1</w:t>
      </w:r>
      <w:r w:rsidR="00A720C8">
        <w:fldChar w:fldCharType="end"/>
      </w:r>
      <w:r w:rsidR="00A720C8">
        <w:t xml:space="preserve">. </w:t>
      </w:r>
    </w:p>
    <w:p w14:paraId="52633388" w14:textId="77777777" w:rsidR="00A720C8" w:rsidRPr="00AC118B" w:rsidRDefault="00A720C8" w:rsidP="00A720C8">
      <w:pPr>
        <w:pStyle w:val="Inline-Code"/>
        <w:rPr>
          <w:color w:val="4C886B"/>
        </w:rPr>
      </w:pPr>
      <w:r w:rsidRPr="00AC118B">
        <w:rPr>
          <w:color w:val="4C886B"/>
        </w:rPr>
        <w:t>## Correlation of factor loadings</w:t>
      </w:r>
    </w:p>
    <w:p w14:paraId="42BCDA99" w14:textId="77777777" w:rsidR="00A720C8" w:rsidRPr="00AC118B" w:rsidRDefault="00A720C8" w:rsidP="00A720C8">
      <w:pPr>
        <w:pStyle w:val="Inline-Code"/>
        <w:rPr>
          <w:color w:val="4C886B"/>
        </w:rPr>
      </w:pPr>
      <w:r w:rsidRPr="00AC118B">
        <w:rPr>
          <w:color w:val="4C886B"/>
        </w:rPr>
        <w:t xml:space="preserve"># The rows are factors from the </w:t>
      </w:r>
      <w:proofErr w:type="spellStart"/>
      <w:r w:rsidRPr="00AC118B">
        <w:rPr>
          <w:color w:val="4C886B"/>
        </w:rPr>
        <w:t>adult</w:t>
      </w:r>
      <w:r>
        <w:rPr>
          <w:color w:val="4C886B"/>
        </w:rPr>
        <w:t>PCA</w:t>
      </w:r>
      <w:proofErr w:type="spellEnd"/>
      <w:r w:rsidRPr="00AC118B">
        <w:rPr>
          <w:color w:val="4C886B"/>
        </w:rPr>
        <w:t xml:space="preserve">, the columns from the </w:t>
      </w:r>
      <w:proofErr w:type="spellStart"/>
      <w:r w:rsidRPr="00AC118B">
        <w:rPr>
          <w:color w:val="4C886B"/>
        </w:rPr>
        <w:t>child</w:t>
      </w:r>
      <w:r>
        <w:rPr>
          <w:color w:val="4C886B"/>
        </w:rPr>
        <w:t>PCA</w:t>
      </w:r>
      <w:proofErr w:type="spellEnd"/>
      <w:r w:rsidRPr="00AC118B">
        <w:rPr>
          <w:color w:val="4C886B"/>
        </w:rPr>
        <w:t>.</w:t>
      </w:r>
    </w:p>
    <w:p w14:paraId="621AF287" w14:textId="77777777" w:rsidR="00A720C8" w:rsidRPr="00AC118B" w:rsidRDefault="00A720C8" w:rsidP="00A720C8">
      <w:pPr>
        <w:pStyle w:val="Inline-Code"/>
        <w:rPr>
          <w:color w:val="4C886B"/>
        </w:rPr>
      </w:pPr>
      <w:r w:rsidRPr="00AC118B">
        <w:rPr>
          <w:color w:val="4C886B"/>
        </w:rPr>
        <w:t># Higher correlations indicate higher similarity.</w:t>
      </w:r>
    </w:p>
    <w:p w14:paraId="3ED701CE" w14:textId="77777777" w:rsidR="00A720C8" w:rsidRDefault="00A720C8" w:rsidP="00A720C8">
      <w:pPr>
        <w:pStyle w:val="Inline-Code"/>
      </w:pPr>
      <w:proofErr w:type="spellStart"/>
      <w:r>
        <w:t>Rloadings</w:t>
      </w:r>
      <w:proofErr w:type="spellEnd"/>
      <w:r>
        <w:t xml:space="preserve"> &lt;- </w:t>
      </w:r>
      <w:proofErr w:type="spellStart"/>
      <w:proofErr w:type="gramStart"/>
      <w:r>
        <w:t>cor</w:t>
      </w:r>
      <w:proofErr w:type="spellEnd"/>
      <w:r>
        <w:t>(</w:t>
      </w:r>
      <w:proofErr w:type="spellStart"/>
      <w:proofErr w:type="gramEnd"/>
      <w:r>
        <w:t>rotFit_adultPCA$loadings</w:t>
      </w:r>
      <w:proofErr w:type="spellEnd"/>
      <w:r>
        <w:t xml:space="preserve">, </w:t>
      </w:r>
      <w:proofErr w:type="spellStart"/>
      <w:r>
        <w:t>rotFit_childPCA$loadings</w:t>
      </w:r>
      <w:proofErr w:type="spellEnd"/>
      <w:r>
        <w:t>)</w:t>
      </w:r>
    </w:p>
    <w:p w14:paraId="596D10BA" w14:textId="77777777" w:rsidR="00A720C8" w:rsidRDefault="00A720C8" w:rsidP="00A720C8">
      <w:pPr>
        <w:pStyle w:val="Inline-Code"/>
      </w:pPr>
    </w:p>
    <w:p w14:paraId="4827A80E" w14:textId="77777777" w:rsidR="00A720C8" w:rsidRPr="00EF1B6B" w:rsidRDefault="00A720C8" w:rsidP="00A720C8">
      <w:pPr>
        <w:pStyle w:val="Inline-Code"/>
        <w:rPr>
          <w:color w:val="4C886B"/>
        </w:rPr>
      </w:pPr>
      <w:r w:rsidRPr="00EF1B6B">
        <w:rPr>
          <w:color w:val="4C886B"/>
        </w:rPr>
        <w:t xml:space="preserve">## </w:t>
      </w:r>
      <w:r>
        <w:rPr>
          <w:color w:val="4C886B"/>
        </w:rPr>
        <w:t>C</w:t>
      </w:r>
      <w:r w:rsidRPr="00EF1B6B">
        <w:rPr>
          <w:color w:val="4C886B"/>
        </w:rPr>
        <w:t>ompute average factor scores across participants</w:t>
      </w:r>
    </w:p>
    <w:p w14:paraId="3466FDEC" w14:textId="77777777" w:rsidR="00A720C8" w:rsidRDefault="00A720C8" w:rsidP="00A720C8">
      <w:pPr>
        <w:pStyle w:val="Inline-Code"/>
      </w:pPr>
      <w:proofErr w:type="spellStart"/>
      <w:r>
        <w:t>avr_scr_</w:t>
      </w:r>
      <w:proofErr w:type="gramStart"/>
      <w:r>
        <w:t>adPCA</w:t>
      </w:r>
      <w:proofErr w:type="spellEnd"/>
      <w:r>
        <w:t xml:space="preserve">  &lt;</w:t>
      </w:r>
      <w:proofErr w:type="gramEnd"/>
      <w:r>
        <w:t xml:space="preserve">- aggregate(. ~ </w:t>
      </w:r>
      <w:proofErr w:type="spellStart"/>
      <w:r>
        <w:t>cond</w:t>
      </w:r>
      <w:proofErr w:type="spellEnd"/>
      <w:r>
        <w:t xml:space="preserve"> + </w:t>
      </w:r>
      <w:proofErr w:type="spellStart"/>
      <w:r>
        <w:t>chan</w:t>
      </w:r>
      <w:proofErr w:type="spellEnd"/>
      <w:r>
        <w:t xml:space="preserve">, data = </w:t>
      </w:r>
      <w:proofErr w:type="spellStart"/>
      <w:r>
        <w:t>scores_adultPCA</w:t>
      </w:r>
      <w:proofErr w:type="spellEnd"/>
      <w:r>
        <w:t>, mean)</w:t>
      </w:r>
    </w:p>
    <w:p w14:paraId="6E282298" w14:textId="77777777" w:rsidR="00A720C8" w:rsidRDefault="00A720C8" w:rsidP="00A720C8">
      <w:pPr>
        <w:pStyle w:val="Inline-Code"/>
      </w:pPr>
      <w:proofErr w:type="spellStart"/>
      <w:r>
        <w:t>avr_scr_</w:t>
      </w:r>
      <w:proofErr w:type="gramStart"/>
      <w:r>
        <w:t>chPCA</w:t>
      </w:r>
      <w:proofErr w:type="spellEnd"/>
      <w:r>
        <w:t xml:space="preserve">  &lt;</w:t>
      </w:r>
      <w:proofErr w:type="gramEnd"/>
      <w:r>
        <w:t xml:space="preserve">- aggregate(. ~ </w:t>
      </w:r>
      <w:proofErr w:type="spellStart"/>
      <w:r>
        <w:t>cond</w:t>
      </w:r>
      <w:proofErr w:type="spellEnd"/>
      <w:r>
        <w:t xml:space="preserve"> + </w:t>
      </w:r>
      <w:proofErr w:type="spellStart"/>
      <w:r>
        <w:t>chan</w:t>
      </w:r>
      <w:proofErr w:type="spellEnd"/>
      <w:r>
        <w:t xml:space="preserve">, data = </w:t>
      </w:r>
      <w:proofErr w:type="spellStart"/>
      <w:r>
        <w:t>scores_childPCA</w:t>
      </w:r>
      <w:proofErr w:type="spellEnd"/>
      <w:r>
        <w:t>, mean)</w:t>
      </w:r>
    </w:p>
    <w:p w14:paraId="14C41596" w14:textId="77777777" w:rsidR="00A720C8" w:rsidRDefault="00A720C8" w:rsidP="00A720C8">
      <w:pPr>
        <w:pStyle w:val="Inline-Code"/>
      </w:pPr>
    </w:p>
    <w:p w14:paraId="417CD26A" w14:textId="77777777" w:rsidR="00A720C8" w:rsidRPr="00FB3B46" w:rsidRDefault="00A720C8" w:rsidP="00A720C8">
      <w:pPr>
        <w:pStyle w:val="Inline-Code"/>
        <w:rPr>
          <w:color w:val="4C886B"/>
        </w:rPr>
      </w:pPr>
      <w:r w:rsidRPr="00FB3B46">
        <w:rPr>
          <w:color w:val="4C886B"/>
        </w:rPr>
        <w:t xml:space="preserve">## Correlation of factor scores </w:t>
      </w:r>
    </w:p>
    <w:p w14:paraId="6CA10BD0" w14:textId="77777777" w:rsidR="00A720C8" w:rsidRPr="00FB3B46" w:rsidRDefault="00A720C8" w:rsidP="00A720C8">
      <w:pPr>
        <w:pStyle w:val="Inline-Code"/>
        <w:rPr>
          <w:color w:val="4C886B"/>
        </w:rPr>
      </w:pPr>
      <w:r w:rsidRPr="00FB3B46">
        <w:rPr>
          <w:color w:val="4C886B"/>
        </w:rPr>
        <w:t># Note: The excluded columns contain index variables for electrode sites etc.</w:t>
      </w:r>
    </w:p>
    <w:p w14:paraId="794F2C8F" w14:textId="77777777" w:rsidR="00A720C8" w:rsidRPr="00FB3B46" w:rsidRDefault="00A720C8" w:rsidP="00A720C8">
      <w:pPr>
        <w:pStyle w:val="Inline-Code"/>
        <w:rPr>
          <w:color w:val="4C886B"/>
        </w:rPr>
      </w:pPr>
      <w:r w:rsidRPr="00FB3B46">
        <w:rPr>
          <w:color w:val="4C886B"/>
        </w:rPr>
        <w:t xml:space="preserve"># </w:t>
      </w:r>
      <w:proofErr w:type="gramStart"/>
      <w:r w:rsidRPr="00FB3B46">
        <w:rPr>
          <w:color w:val="4C886B"/>
        </w:rPr>
        <w:t>and</w:t>
      </w:r>
      <w:proofErr w:type="gramEnd"/>
      <w:r w:rsidRPr="00FB3B46">
        <w:rPr>
          <w:color w:val="4C886B"/>
        </w:rPr>
        <w:t xml:space="preserve"> need to be removed for the correlations to be meaningful.</w:t>
      </w:r>
    </w:p>
    <w:p w14:paraId="6D6D6FD8" w14:textId="77777777" w:rsidR="00A720C8" w:rsidRDefault="00A720C8" w:rsidP="00A720C8">
      <w:pPr>
        <w:pStyle w:val="Inline-Code"/>
      </w:pPr>
      <w:proofErr w:type="spellStart"/>
      <w:r>
        <w:t>Rtopo_sta</w:t>
      </w:r>
      <w:proofErr w:type="spellEnd"/>
      <w:r>
        <w:t xml:space="preserve"> &lt;- </w:t>
      </w:r>
      <w:proofErr w:type="spellStart"/>
      <w:proofErr w:type="gramStart"/>
      <w:r>
        <w:t>cor</w:t>
      </w:r>
      <w:proofErr w:type="spellEnd"/>
      <w:r>
        <w:t>(</w:t>
      </w:r>
      <w:proofErr w:type="spellStart"/>
      <w:proofErr w:type="gramEnd"/>
      <w:r>
        <w:t>avr_scr_adPCA</w:t>
      </w:r>
      <w:proofErr w:type="spellEnd"/>
      <w:r>
        <w:t>[</w:t>
      </w:r>
      <w:proofErr w:type="spellStart"/>
      <w:r>
        <w:t>avr_scr_adPCA$cond</w:t>
      </w:r>
      <w:proofErr w:type="spellEnd"/>
      <w:r>
        <w:t xml:space="preserve"> == "</w:t>
      </w:r>
      <w:proofErr w:type="spellStart"/>
      <w:r>
        <w:t>sta</w:t>
      </w:r>
      <w:proofErr w:type="spellEnd"/>
      <w:r>
        <w:t>",-c(1:4)],</w:t>
      </w:r>
    </w:p>
    <w:p w14:paraId="1A68A217" w14:textId="77777777" w:rsidR="00A720C8" w:rsidRDefault="00A720C8" w:rsidP="00A720C8">
      <w:pPr>
        <w:pStyle w:val="Inline-Code"/>
      </w:pPr>
      <w:r>
        <w:t xml:space="preserve">                 </w:t>
      </w:r>
      <w:proofErr w:type="spellStart"/>
      <w:r>
        <w:t>avr_scr_</w:t>
      </w:r>
      <w:proofErr w:type="gramStart"/>
      <w:r>
        <w:t>chPCA</w:t>
      </w:r>
      <w:proofErr w:type="spellEnd"/>
      <w:r>
        <w:t>[</w:t>
      </w:r>
      <w:proofErr w:type="spellStart"/>
      <w:proofErr w:type="gramEnd"/>
      <w:r>
        <w:t>avr_scr_chPCA$cond</w:t>
      </w:r>
      <w:proofErr w:type="spellEnd"/>
      <w:r>
        <w:t xml:space="preserve"> == "</w:t>
      </w:r>
      <w:proofErr w:type="spellStart"/>
      <w:r>
        <w:t>sta</w:t>
      </w:r>
      <w:proofErr w:type="spellEnd"/>
      <w:r>
        <w:t>",-c(1:4)])</w:t>
      </w:r>
    </w:p>
    <w:p w14:paraId="3B1F0022" w14:textId="77777777" w:rsidR="00A720C8" w:rsidRDefault="00A720C8" w:rsidP="00A720C8">
      <w:pPr>
        <w:pStyle w:val="Inline-Code"/>
      </w:pPr>
    </w:p>
    <w:p w14:paraId="2F54DF89" w14:textId="77777777" w:rsidR="00A720C8" w:rsidRDefault="00A720C8" w:rsidP="00A720C8">
      <w:pPr>
        <w:pStyle w:val="Inline-Code"/>
      </w:pPr>
      <w:proofErr w:type="spellStart"/>
      <w:r>
        <w:t>Rtopo_nov</w:t>
      </w:r>
      <w:proofErr w:type="spellEnd"/>
      <w:r>
        <w:t xml:space="preserve"> &lt;- </w:t>
      </w:r>
      <w:proofErr w:type="spellStart"/>
      <w:proofErr w:type="gramStart"/>
      <w:r>
        <w:t>cor</w:t>
      </w:r>
      <w:proofErr w:type="spellEnd"/>
      <w:r>
        <w:t>(</w:t>
      </w:r>
      <w:proofErr w:type="spellStart"/>
      <w:proofErr w:type="gramEnd"/>
      <w:r>
        <w:t>avr_scr_adPCA</w:t>
      </w:r>
      <w:proofErr w:type="spellEnd"/>
      <w:r>
        <w:t>[</w:t>
      </w:r>
      <w:proofErr w:type="spellStart"/>
      <w:r>
        <w:t>avr_scr_adPCA$cond</w:t>
      </w:r>
      <w:proofErr w:type="spellEnd"/>
      <w:r>
        <w:t xml:space="preserve"> == "</w:t>
      </w:r>
      <w:proofErr w:type="spellStart"/>
      <w:r>
        <w:t>nov</w:t>
      </w:r>
      <w:proofErr w:type="spellEnd"/>
      <w:r>
        <w:t>",-c(1:4)],</w:t>
      </w:r>
    </w:p>
    <w:p w14:paraId="661053AC" w14:textId="77777777" w:rsidR="00A720C8" w:rsidRDefault="00A720C8" w:rsidP="00A720C8">
      <w:pPr>
        <w:pStyle w:val="Inline-Code"/>
      </w:pPr>
      <w:r>
        <w:t xml:space="preserve">                 </w:t>
      </w:r>
      <w:proofErr w:type="spellStart"/>
      <w:r>
        <w:t>avr_scr_</w:t>
      </w:r>
      <w:proofErr w:type="gramStart"/>
      <w:r>
        <w:t>chPCA</w:t>
      </w:r>
      <w:proofErr w:type="spellEnd"/>
      <w:r>
        <w:t>[</w:t>
      </w:r>
      <w:proofErr w:type="spellStart"/>
      <w:proofErr w:type="gramEnd"/>
      <w:r>
        <w:t>avr_scr_chPCA$cond</w:t>
      </w:r>
      <w:proofErr w:type="spellEnd"/>
      <w:r>
        <w:t xml:space="preserve"> == "</w:t>
      </w:r>
      <w:proofErr w:type="spellStart"/>
      <w:r>
        <w:t>nov</w:t>
      </w:r>
      <w:proofErr w:type="spellEnd"/>
      <w:r>
        <w:t>",-c(1:4)])</w:t>
      </w:r>
    </w:p>
    <w:p w14:paraId="1B66E393" w14:textId="77777777" w:rsidR="00A720C8" w:rsidRDefault="00A720C8" w:rsidP="00A720C8">
      <w:pPr>
        <w:pStyle w:val="Inline-Code"/>
      </w:pPr>
    </w:p>
    <w:p w14:paraId="55353C11" w14:textId="77777777" w:rsidR="00A720C8" w:rsidRPr="004D66EF" w:rsidRDefault="00A720C8" w:rsidP="00A720C8">
      <w:pPr>
        <w:pStyle w:val="Inline-Code"/>
        <w:rPr>
          <w:color w:val="4C886B"/>
        </w:rPr>
      </w:pPr>
      <w:r w:rsidRPr="004D66EF">
        <w:rPr>
          <w:color w:val="4C886B"/>
        </w:rPr>
        <w:t>#</w:t>
      </w:r>
      <w:r>
        <w:rPr>
          <w:color w:val="4C886B"/>
        </w:rPr>
        <w:t xml:space="preserve"> Please see script for some more convenience code which provides an automatic # ranking of the similarities.</w:t>
      </w:r>
    </w:p>
    <w:p w14:paraId="764E44D2" w14:textId="64B66171" w:rsidR="00A720C8" w:rsidRDefault="00A720C8" w:rsidP="00A720C8">
      <w:pPr>
        <w:pStyle w:val="Beschriftung"/>
      </w:pPr>
    </w:p>
    <w:p w14:paraId="43C51E3E" w14:textId="77777777" w:rsidR="00582983" w:rsidRPr="00582983" w:rsidRDefault="00582983" w:rsidP="00582983"/>
    <w:p w14:paraId="1CADD983" w14:textId="77777777" w:rsidR="00582983" w:rsidRDefault="00582983" w:rsidP="00582983">
      <w:pPr>
        <w:pStyle w:val="Beschriftung"/>
      </w:pPr>
      <w:bookmarkStart w:id="0" w:name="_Ref71443792"/>
      <w:r>
        <w:lastRenderedPageBreak/>
        <w:t xml:space="preserve">Table </w:t>
      </w:r>
      <w:r>
        <w:fldChar w:fldCharType="begin"/>
      </w:r>
      <w:r>
        <w:instrText xml:space="preserve"> SEQ Table \* ARABIC </w:instrText>
      </w:r>
      <w:r>
        <w:fldChar w:fldCharType="separate"/>
      </w:r>
      <w:r>
        <w:rPr>
          <w:noProof/>
        </w:rPr>
        <w:t>1</w:t>
      </w:r>
      <w:r>
        <w:fldChar w:fldCharType="end"/>
      </w:r>
      <w:bookmarkEnd w:id="0"/>
    </w:p>
    <w:p w14:paraId="547E38FA" w14:textId="77777777" w:rsidR="00582983" w:rsidRPr="001F1102" w:rsidRDefault="00582983" w:rsidP="00582983">
      <w:pPr>
        <w:ind w:firstLine="0"/>
        <w:rPr>
          <w:i/>
          <w:iCs/>
        </w:rPr>
      </w:pPr>
      <w:r>
        <w:rPr>
          <w:i/>
          <w:iCs/>
        </w:rPr>
        <w:t>Similarities between time courses and topographies from adult and child PCA</w:t>
      </w:r>
    </w:p>
    <w:tbl>
      <w:tblPr>
        <w:tblW w:w="742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060"/>
        <w:gridCol w:w="1060"/>
        <w:gridCol w:w="1060"/>
        <w:gridCol w:w="1060"/>
        <w:gridCol w:w="1060"/>
        <w:gridCol w:w="1060"/>
        <w:gridCol w:w="1060"/>
      </w:tblGrid>
      <w:tr w:rsidR="00582983" w:rsidRPr="00FD6798" w14:paraId="2371C2BC" w14:textId="77777777" w:rsidTr="00EA73E7">
        <w:trPr>
          <w:trHeight w:val="300"/>
        </w:trPr>
        <w:tc>
          <w:tcPr>
            <w:tcW w:w="1060" w:type="dxa"/>
            <w:shd w:val="clear" w:color="auto" w:fill="auto"/>
            <w:noWrap/>
            <w:vAlign w:val="bottom"/>
            <w:hideMark/>
          </w:tcPr>
          <w:p w14:paraId="095CB19E" w14:textId="77777777" w:rsidR="00582983" w:rsidRPr="00FD6798" w:rsidRDefault="00582983" w:rsidP="00EA73E7">
            <w:pPr>
              <w:spacing w:before="0" w:after="0" w:line="240" w:lineRule="auto"/>
              <w:ind w:firstLine="0"/>
              <w:jc w:val="left"/>
              <w:rPr>
                <w:rFonts w:ascii="Arial" w:eastAsia="Times New Roman" w:hAnsi="Arial" w:cs="Arial"/>
                <w:lang w:eastAsia="de-DE"/>
              </w:rPr>
            </w:pPr>
          </w:p>
        </w:tc>
        <w:tc>
          <w:tcPr>
            <w:tcW w:w="1060" w:type="dxa"/>
            <w:shd w:val="clear" w:color="auto" w:fill="auto"/>
            <w:noWrap/>
            <w:vAlign w:val="bottom"/>
            <w:hideMark/>
          </w:tcPr>
          <w:p w14:paraId="4416ADA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chFA1</w:t>
            </w:r>
          </w:p>
        </w:tc>
        <w:tc>
          <w:tcPr>
            <w:tcW w:w="1060" w:type="dxa"/>
            <w:shd w:val="clear" w:color="auto" w:fill="auto"/>
            <w:noWrap/>
            <w:vAlign w:val="bottom"/>
            <w:hideMark/>
          </w:tcPr>
          <w:p w14:paraId="35109C70"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chFA2</w:t>
            </w:r>
          </w:p>
        </w:tc>
        <w:tc>
          <w:tcPr>
            <w:tcW w:w="1060" w:type="dxa"/>
            <w:shd w:val="clear" w:color="auto" w:fill="auto"/>
            <w:noWrap/>
            <w:vAlign w:val="bottom"/>
            <w:hideMark/>
          </w:tcPr>
          <w:p w14:paraId="594E3413"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chFA3</w:t>
            </w:r>
          </w:p>
        </w:tc>
        <w:tc>
          <w:tcPr>
            <w:tcW w:w="1060" w:type="dxa"/>
            <w:shd w:val="clear" w:color="auto" w:fill="auto"/>
            <w:noWrap/>
            <w:vAlign w:val="bottom"/>
            <w:hideMark/>
          </w:tcPr>
          <w:p w14:paraId="2830B05E"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chFA4</w:t>
            </w:r>
          </w:p>
        </w:tc>
        <w:tc>
          <w:tcPr>
            <w:tcW w:w="1060" w:type="dxa"/>
            <w:shd w:val="clear" w:color="auto" w:fill="auto"/>
            <w:noWrap/>
            <w:vAlign w:val="bottom"/>
            <w:hideMark/>
          </w:tcPr>
          <w:p w14:paraId="6EEADC77"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chFA5</w:t>
            </w:r>
          </w:p>
        </w:tc>
        <w:tc>
          <w:tcPr>
            <w:tcW w:w="1060" w:type="dxa"/>
            <w:shd w:val="clear" w:color="auto" w:fill="auto"/>
            <w:noWrap/>
            <w:vAlign w:val="bottom"/>
            <w:hideMark/>
          </w:tcPr>
          <w:p w14:paraId="4318A4A9"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chFA6</w:t>
            </w:r>
          </w:p>
        </w:tc>
      </w:tr>
      <w:tr w:rsidR="00582983" w:rsidRPr="00FD6798" w14:paraId="3CC725D4" w14:textId="77777777" w:rsidTr="00EA73E7">
        <w:trPr>
          <w:trHeight w:val="300"/>
        </w:trPr>
        <w:tc>
          <w:tcPr>
            <w:tcW w:w="1060" w:type="dxa"/>
            <w:shd w:val="clear" w:color="auto" w:fill="auto"/>
            <w:noWrap/>
            <w:vAlign w:val="bottom"/>
            <w:hideMark/>
          </w:tcPr>
          <w:p w14:paraId="5E4869E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p>
        </w:tc>
        <w:tc>
          <w:tcPr>
            <w:tcW w:w="6360" w:type="dxa"/>
            <w:gridSpan w:val="6"/>
            <w:shd w:val="clear" w:color="auto" w:fill="auto"/>
            <w:noWrap/>
            <w:vAlign w:val="bottom"/>
            <w:hideMark/>
          </w:tcPr>
          <w:p w14:paraId="1B12D6CD" w14:textId="77777777" w:rsidR="00582983" w:rsidRPr="00FD6798" w:rsidRDefault="00582983" w:rsidP="00EA73E7">
            <w:pPr>
              <w:spacing w:before="0" w:after="0" w:line="240" w:lineRule="auto"/>
              <w:ind w:firstLine="0"/>
              <w:jc w:val="center"/>
              <w:rPr>
                <w:rFonts w:ascii="Arial" w:eastAsia="Times New Roman" w:hAnsi="Arial" w:cs="Arial"/>
                <w:i/>
                <w:iCs/>
                <w:color w:val="000000"/>
                <w:sz w:val="22"/>
                <w:szCs w:val="22"/>
                <w:lang w:eastAsia="de-DE"/>
              </w:rPr>
            </w:pPr>
            <w:r w:rsidRPr="00FD6798">
              <w:rPr>
                <w:rFonts w:ascii="Arial" w:eastAsia="Times New Roman" w:hAnsi="Arial" w:cs="Arial"/>
                <w:i/>
                <w:iCs/>
                <w:color w:val="000000"/>
                <w:sz w:val="22"/>
                <w:szCs w:val="22"/>
                <w:lang w:eastAsia="de-DE"/>
              </w:rPr>
              <w:t>Time course similarity</w:t>
            </w:r>
          </w:p>
        </w:tc>
      </w:tr>
      <w:tr w:rsidR="00582983" w:rsidRPr="00FD6798" w14:paraId="7FD7A6BC" w14:textId="77777777" w:rsidTr="00EA73E7">
        <w:trPr>
          <w:trHeight w:val="300"/>
        </w:trPr>
        <w:tc>
          <w:tcPr>
            <w:tcW w:w="1060" w:type="dxa"/>
            <w:shd w:val="clear" w:color="auto" w:fill="auto"/>
            <w:noWrap/>
            <w:vAlign w:val="bottom"/>
            <w:hideMark/>
          </w:tcPr>
          <w:p w14:paraId="3F030810"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adFA1</w:t>
            </w:r>
          </w:p>
        </w:tc>
        <w:tc>
          <w:tcPr>
            <w:tcW w:w="1060" w:type="dxa"/>
            <w:shd w:val="clear" w:color="auto" w:fill="auto"/>
            <w:noWrap/>
            <w:vAlign w:val="bottom"/>
            <w:hideMark/>
          </w:tcPr>
          <w:p w14:paraId="725923A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0.95</w:t>
            </w:r>
          </w:p>
        </w:tc>
        <w:tc>
          <w:tcPr>
            <w:tcW w:w="1060" w:type="dxa"/>
            <w:shd w:val="clear" w:color="auto" w:fill="auto"/>
            <w:noWrap/>
            <w:vAlign w:val="bottom"/>
            <w:hideMark/>
          </w:tcPr>
          <w:p w14:paraId="60BAAA3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-0.20</w:t>
            </w:r>
          </w:p>
        </w:tc>
        <w:tc>
          <w:tcPr>
            <w:tcW w:w="1060" w:type="dxa"/>
            <w:shd w:val="clear" w:color="auto" w:fill="auto"/>
            <w:noWrap/>
            <w:vAlign w:val="bottom"/>
            <w:hideMark/>
          </w:tcPr>
          <w:p w14:paraId="74200DD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-0.19</w:t>
            </w:r>
          </w:p>
        </w:tc>
        <w:tc>
          <w:tcPr>
            <w:tcW w:w="1060" w:type="dxa"/>
            <w:shd w:val="clear" w:color="auto" w:fill="auto"/>
            <w:noWrap/>
            <w:vAlign w:val="bottom"/>
            <w:hideMark/>
          </w:tcPr>
          <w:p w14:paraId="0CC0BEF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-0.11</w:t>
            </w:r>
          </w:p>
        </w:tc>
        <w:tc>
          <w:tcPr>
            <w:tcW w:w="1060" w:type="dxa"/>
            <w:shd w:val="clear" w:color="auto" w:fill="auto"/>
            <w:noWrap/>
            <w:vAlign w:val="bottom"/>
            <w:hideMark/>
          </w:tcPr>
          <w:p w14:paraId="596BB25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-0.20</w:t>
            </w:r>
          </w:p>
        </w:tc>
        <w:tc>
          <w:tcPr>
            <w:tcW w:w="1060" w:type="dxa"/>
            <w:shd w:val="clear" w:color="auto" w:fill="auto"/>
            <w:noWrap/>
            <w:vAlign w:val="bottom"/>
            <w:hideMark/>
          </w:tcPr>
          <w:p w14:paraId="13A6C4C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-0.22</w:t>
            </w:r>
          </w:p>
        </w:tc>
      </w:tr>
      <w:tr w:rsidR="00582983" w:rsidRPr="00FD6798" w14:paraId="211220E0" w14:textId="77777777" w:rsidTr="00EA73E7">
        <w:trPr>
          <w:trHeight w:val="300"/>
        </w:trPr>
        <w:tc>
          <w:tcPr>
            <w:tcW w:w="1060" w:type="dxa"/>
            <w:shd w:val="clear" w:color="auto" w:fill="auto"/>
            <w:noWrap/>
            <w:vAlign w:val="bottom"/>
            <w:hideMark/>
          </w:tcPr>
          <w:p w14:paraId="0F246D17"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adFA2</w:t>
            </w:r>
          </w:p>
        </w:tc>
        <w:tc>
          <w:tcPr>
            <w:tcW w:w="1060" w:type="dxa"/>
            <w:shd w:val="clear" w:color="auto" w:fill="auto"/>
            <w:noWrap/>
            <w:vAlign w:val="bottom"/>
            <w:hideMark/>
          </w:tcPr>
          <w:p w14:paraId="0379C953"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-0.17</w:t>
            </w:r>
          </w:p>
        </w:tc>
        <w:tc>
          <w:tcPr>
            <w:tcW w:w="1060" w:type="dxa"/>
            <w:shd w:val="clear" w:color="auto" w:fill="auto"/>
            <w:noWrap/>
            <w:vAlign w:val="bottom"/>
            <w:hideMark/>
          </w:tcPr>
          <w:p w14:paraId="722D30F1"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0.99</w:t>
            </w:r>
          </w:p>
        </w:tc>
        <w:tc>
          <w:tcPr>
            <w:tcW w:w="1060" w:type="dxa"/>
            <w:shd w:val="clear" w:color="auto" w:fill="auto"/>
            <w:noWrap/>
            <w:vAlign w:val="bottom"/>
            <w:hideMark/>
          </w:tcPr>
          <w:p w14:paraId="4ABB8BCE"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0.20</w:t>
            </w:r>
          </w:p>
        </w:tc>
        <w:tc>
          <w:tcPr>
            <w:tcW w:w="1060" w:type="dxa"/>
            <w:shd w:val="clear" w:color="auto" w:fill="auto"/>
            <w:noWrap/>
            <w:vAlign w:val="bottom"/>
            <w:hideMark/>
          </w:tcPr>
          <w:p w14:paraId="17EF3A3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-0.14</w:t>
            </w:r>
          </w:p>
        </w:tc>
        <w:tc>
          <w:tcPr>
            <w:tcW w:w="1060" w:type="dxa"/>
            <w:shd w:val="clear" w:color="auto" w:fill="auto"/>
            <w:noWrap/>
            <w:vAlign w:val="bottom"/>
            <w:hideMark/>
          </w:tcPr>
          <w:p w14:paraId="4F99751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-0.09</w:t>
            </w:r>
          </w:p>
        </w:tc>
        <w:tc>
          <w:tcPr>
            <w:tcW w:w="1060" w:type="dxa"/>
            <w:shd w:val="clear" w:color="auto" w:fill="auto"/>
            <w:noWrap/>
            <w:vAlign w:val="bottom"/>
            <w:hideMark/>
          </w:tcPr>
          <w:p w14:paraId="4D2F0CF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-0.10</w:t>
            </w:r>
          </w:p>
        </w:tc>
      </w:tr>
      <w:tr w:rsidR="00582983" w:rsidRPr="00FD6798" w14:paraId="5BA3416C" w14:textId="77777777" w:rsidTr="00EA73E7">
        <w:trPr>
          <w:trHeight w:val="300"/>
        </w:trPr>
        <w:tc>
          <w:tcPr>
            <w:tcW w:w="1060" w:type="dxa"/>
            <w:shd w:val="clear" w:color="auto" w:fill="auto"/>
            <w:noWrap/>
            <w:vAlign w:val="bottom"/>
            <w:hideMark/>
          </w:tcPr>
          <w:p w14:paraId="4F83F87B"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adFA3</w:t>
            </w:r>
          </w:p>
        </w:tc>
        <w:tc>
          <w:tcPr>
            <w:tcW w:w="1060" w:type="dxa"/>
            <w:shd w:val="clear" w:color="auto" w:fill="auto"/>
            <w:noWrap/>
            <w:vAlign w:val="bottom"/>
            <w:hideMark/>
          </w:tcPr>
          <w:p w14:paraId="14E06EF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-0.18</w:t>
            </w:r>
          </w:p>
        </w:tc>
        <w:tc>
          <w:tcPr>
            <w:tcW w:w="1060" w:type="dxa"/>
            <w:shd w:val="clear" w:color="auto" w:fill="auto"/>
            <w:noWrap/>
            <w:vAlign w:val="bottom"/>
            <w:hideMark/>
          </w:tcPr>
          <w:p w14:paraId="010E8D6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-0.09</w:t>
            </w:r>
          </w:p>
        </w:tc>
        <w:tc>
          <w:tcPr>
            <w:tcW w:w="1060" w:type="dxa"/>
            <w:shd w:val="clear" w:color="auto" w:fill="auto"/>
            <w:noWrap/>
            <w:vAlign w:val="bottom"/>
            <w:hideMark/>
          </w:tcPr>
          <w:p w14:paraId="265318FC"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0.44</w:t>
            </w:r>
          </w:p>
        </w:tc>
        <w:tc>
          <w:tcPr>
            <w:tcW w:w="1060" w:type="dxa"/>
            <w:shd w:val="clear" w:color="auto" w:fill="auto"/>
            <w:noWrap/>
            <w:vAlign w:val="bottom"/>
            <w:hideMark/>
          </w:tcPr>
          <w:p w14:paraId="5CF2455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-0.11</w:t>
            </w:r>
          </w:p>
        </w:tc>
        <w:tc>
          <w:tcPr>
            <w:tcW w:w="1060" w:type="dxa"/>
            <w:shd w:val="clear" w:color="auto" w:fill="auto"/>
            <w:noWrap/>
            <w:vAlign w:val="bottom"/>
            <w:hideMark/>
          </w:tcPr>
          <w:p w14:paraId="555B6FD0"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0.41</w:t>
            </w:r>
          </w:p>
        </w:tc>
        <w:tc>
          <w:tcPr>
            <w:tcW w:w="1060" w:type="dxa"/>
            <w:shd w:val="clear" w:color="auto" w:fill="auto"/>
            <w:noWrap/>
            <w:vAlign w:val="bottom"/>
            <w:hideMark/>
          </w:tcPr>
          <w:p w14:paraId="2FDD661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0.96</w:t>
            </w:r>
          </w:p>
        </w:tc>
      </w:tr>
      <w:tr w:rsidR="00582983" w:rsidRPr="00FD6798" w14:paraId="247BD21F" w14:textId="77777777" w:rsidTr="00EA73E7">
        <w:trPr>
          <w:trHeight w:val="300"/>
        </w:trPr>
        <w:tc>
          <w:tcPr>
            <w:tcW w:w="1060" w:type="dxa"/>
            <w:shd w:val="clear" w:color="auto" w:fill="auto"/>
            <w:noWrap/>
            <w:vAlign w:val="bottom"/>
            <w:hideMark/>
          </w:tcPr>
          <w:p w14:paraId="2111B2BD"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adFA4</w:t>
            </w:r>
          </w:p>
        </w:tc>
        <w:tc>
          <w:tcPr>
            <w:tcW w:w="1060" w:type="dxa"/>
            <w:shd w:val="clear" w:color="auto" w:fill="auto"/>
            <w:noWrap/>
            <w:vAlign w:val="bottom"/>
            <w:hideMark/>
          </w:tcPr>
          <w:p w14:paraId="3F02C2B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-0.17</w:t>
            </w:r>
          </w:p>
        </w:tc>
        <w:tc>
          <w:tcPr>
            <w:tcW w:w="1060" w:type="dxa"/>
            <w:shd w:val="clear" w:color="auto" w:fill="auto"/>
            <w:noWrap/>
            <w:vAlign w:val="bottom"/>
            <w:hideMark/>
          </w:tcPr>
          <w:p w14:paraId="67F4E050"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-0.18</w:t>
            </w:r>
          </w:p>
        </w:tc>
        <w:tc>
          <w:tcPr>
            <w:tcW w:w="1060" w:type="dxa"/>
            <w:shd w:val="clear" w:color="auto" w:fill="auto"/>
            <w:noWrap/>
            <w:vAlign w:val="bottom"/>
            <w:hideMark/>
          </w:tcPr>
          <w:p w14:paraId="384E443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-0.14</w:t>
            </w:r>
          </w:p>
        </w:tc>
        <w:tc>
          <w:tcPr>
            <w:tcW w:w="1060" w:type="dxa"/>
            <w:shd w:val="clear" w:color="auto" w:fill="auto"/>
            <w:noWrap/>
            <w:vAlign w:val="bottom"/>
            <w:hideMark/>
          </w:tcPr>
          <w:p w14:paraId="2D9CB692"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0.85</w:t>
            </w:r>
          </w:p>
        </w:tc>
        <w:tc>
          <w:tcPr>
            <w:tcW w:w="1060" w:type="dxa"/>
            <w:shd w:val="clear" w:color="auto" w:fill="auto"/>
            <w:noWrap/>
            <w:vAlign w:val="bottom"/>
            <w:hideMark/>
          </w:tcPr>
          <w:p w14:paraId="7014D3C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0.10</w:t>
            </w:r>
          </w:p>
        </w:tc>
        <w:tc>
          <w:tcPr>
            <w:tcW w:w="1060" w:type="dxa"/>
            <w:shd w:val="clear" w:color="auto" w:fill="auto"/>
            <w:noWrap/>
            <w:vAlign w:val="bottom"/>
            <w:hideMark/>
          </w:tcPr>
          <w:p w14:paraId="6A0D8A3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-0.13</w:t>
            </w:r>
          </w:p>
        </w:tc>
      </w:tr>
      <w:tr w:rsidR="00582983" w:rsidRPr="00FD6798" w14:paraId="02BBF94E" w14:textId="77777777" w:rsidTr="00EA73E7">
        <w:trPr>
          <w:trHeight w:val="300"/>
        </w:trPr>
        <w:tc>
          <w:tcPr>
            <w:tcW w:w="1060" w:type="dxa"/>
            <w:shd w:val="clear" w:color="auto" w:fill="auto"/>
            <w:noWrap/>
            <w:vAlign w:val="bottom"/>
            <w:hideMark/>
          </w:tcPr>
          <w:p w14:paraId="3D38B1F3"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adFA5</w:t>
            </w:r>
          </w:p>
        </w:tc>
        <w:tc>
          <w:tcPr>
            <w:tcW w:w="1060" w:type="dxa"/>
            <w:shd w:val="clear" w:color="auto" w:fill="auto"/>
            <w:noWrap/>
            <w:vAlign w:val="bottom"/>
            <w:hideMark/>
          </w:tcPr>
          <w:p w14:paraId="430F841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-0.14</w:t>
            </w:r>
          </w:p>
        </w:tc>
        <w:tc>
          <w:tcPr>
            <w:tcW w:w="1060" w:type="dxa"/>
            <w:shd w:val="clear" w:color="auto" w:fill="auto"/>
            <w:noWrap/>
            <w:vAlign w:val="bottom"/>
            <w:hideMark/>
          </w:tcPr>
          <w:p w14:paraId="454AD413"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0.36</w:t>
            </w:r>
          </w:p>
        </w:tc>
        <w:tc>
          <w:tcPr>
            <w:tcW w:w="1060" w:type="dxa"/>
            <w:shd w:val="clear" w:color="auto" w:fill="auto"/>
            <w:noWrap/>
            <w:vAlign w:val="bottom"/>
            <w:hideMark/>
          </w:tcPr>
          <w:p w14:paraId="62B6AA74"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0.91</w:t>
            </w:r>
          </w:p>
        </w:tc>
        <w:tc>
          <w:tcPr>
            <w:tcW w:w="1060" w:type="dxa"/>
            <w:shd w:val="clear" w:color="auto" w:fill="auto"/>
            <w:noWrap/>
            <w:vAlign w:val="bottom"/>
            <w:hideMark/>
          </w:tcPr>
          <w:p w14:paraId="14B5FDE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-0.14</w:t>
            </w:r>
          </w:p>
        </w:tc>
        <w:tc>
          <w:tcPr>
            <w:tcW w:w="1060" w:type="dxa"/>
            <w:shd w:val="clear" w:color="auto" w:fill="auto"/>
            <w:noWrap/>
            <w:vAlign w:val="bottom"/>
            <w:hideMark/>
          </w:tcPr>
          <w:p w14:paraId="24DA77F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-0.08</w:t>
            </w:r>
          </w:p>
        </w:tc>
        <w:tc>
          <w:tcPr>
            <w:tcW w:w="1060" w:type="dxa"/>
            <w:shd w:val="clear" w:color="auto" w:fill="auto"/>
            <w:noWrap/>
            <w:vAlign w:val="bottom"/>
            <w:hideMark/>
          </w:tcPr>
          <w:p w14:paraId="6C39DC0E"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0.13</w:t>
            </w:r>
          </w:p>
        </w:tc>
      </w:tr>
      <w:tr w:rsidR="00582983" w:rsidRPr="00FD6798" w14:paraId="21B025EC" w14:textId="77777777" w:rsidTr="00EA73E7">
        <w:trPr>
          <w:trHeight w:val="300"/>
        </w:trPr>
        <w:tc>
          <w:tcPr>
            <w:tcW w:w="1060" w:type="dxa"/>
            <w:shd w:val="clear" w:color="auto" w:fill="auto"/>
            <w:noWrap/>
            <w:vAlign w:val="bottom"/>
            <w:hideMark/>
          </w:tcPr>
          <w:p w14:paraId="0057CE53"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adFA6</w:t>
            </w:r>
          </w:p>
        </w:tc>
        <w:tc>
          <w:tcPr>
            <w:tcW w:w="1060" w:type="dxa"/>
            <w:shd w:val="clear" w:color="auto" w:fill="auto"/>
            <w:noWrap/>
            <w:vAlign w:val="bottom"/>
            <w:hideMark/>
          </w:tcPr>
          <w:p w14:paraId="4393075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-0.17</w:t>
            </w:r>
          </w:p>
        </w:tc>
        <w:tc>
          <w:tcPr>
            <w:tcW w:w="1060" w:type="dxa"/>
            <w:shd w:val="clear" w:color="auto" w:fill="auto"/>
            <w:noWrap/>
            <w:vAlign w:val="bottom"/>
            <w:hideMark/>
          </w:tcPr>
          <w:p w14:paraId="7A8D867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-0.12</w:t>
            </w:r>
          </w:p>
        </w:tc>
        <w:tc>
          <w:tcPr>
            <w:tcW w:w="1060" w:type="dxa"/>
            <w:shd w:val="clear" w:color="auto" w:fill="auto"/>
            <w:noWrap/>
            <w:vAlign w:val="bottom"/>
            <w:hideMark/>
          </w:tcPr>
          <w:p w14:paraId="226D5CF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-0.07</w:t>
            </w:r>
          </w:p>
        </w:tc>
        <w:tc>
          <w:tcPr>
            <w:tcW w:w="1060" w:type="dxa"/>
            <w:shd w:val="clear" w:color="auto" w:fill="auto"/>
            <w:noWrap/>
            <w:vAlign w:val="bottom"/>
            <w:hideMark/>
          </w:tcPr>
          <w:p w14:paraId="5893B3B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-0.07</w:t>
            </w:r>
          </w:p>
        </w:tc>
        <w:tc>
          <w:tcPr>
            <w:tcW w:w="1060" w:type="dxa"/>
            <w:shd w:val="clear" w:color="auto" w:fill="auto"/>
            <w:noWrap/>
            <w:vAlign w:val="bottom"/>
            <w:hideMark/>
          </w:tcPr>
          <w:p w14:paraId="35623A5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0.90</w:t>
            </w:r>
          </w:p>
        </w:tc>
        <w:tc>
          <w:tcPr>
            <w:tcW w:w="1060" w:type="dxa"/>
            <w:shd w:val="clear" w:color="auto" w:fill="auto"/>
            <w:noWrap/>
            <w:vAlign w:val="bottom"/>
            <w:hideMark/>
          </w:tcPr>
          <w:p w14:paraId="1465D52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0.16</w:t>
            </w:r>
          </w:p>
        </w:tc>
      </w:tr>
      <w:tr w:rsidR="00582983" w:rsidRPr="00FD6798" w14:paraId="4CD1A2BD" w14:textId="77777777" w:rsidTr="00EA73E7">
        <w:trPr>
          <w:trHeight w:val="300"/>
        </w:trPr>
        <w:tc>
          <w:tcPr>
            <w:tcW w:w="1060" w:type="dxa"/>
            <w:shd w:val="clear" w:color="auto" w:fill="auto"/>
            <w:noWrap/>
            <w:vAlign w:val="bottom"/>
            <w:hideMark/>
          </w:tcPr>
          <w:p w14:paraId="7DAB8AE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p>
        </w:tc>
        <w:tc>
          <w:tcPr>
            <w:tcW w:w="6360" w:type="dxa"/>
            <w:gridSpan w:val="6"/>
            <w:shd w:val="clear" w:color="auto" w:fill="auto"/>
            <w:noWrap/>
            <w:vAlign w:val="bottom"/>
            <w:hideMark/>
          </w:tcPr>
          <w:p w14:paraId="38FC944A" w14:textId="77777777" w:rsidR="00582983" w:rsidRPr="00FD6798" w:rsidRDefault="00582983" w:rsidP="00EA73E7">
            <w:pPr>
              <w:spacing w:before="0" w:after="0" w:line="240" w:lineRule="auto"/>
              <w:ind w:firstLine="0"/>
              <w:jc w:val="center"/>
              <w:rPr>
                <w:rFonts w:ascii="Arial" w:eastAsia="Times New Roman" w:hAnsi="Arial" w:cs="Arial"/>
                <w:i/>
                <w:iCs/>
                <w:color w:val="000000"/>
                <w:sz w:val="22"/>
                <w:szCs w:val="22"/>
                <w:lang w:eastAsia="de-DE"/>
              </w:rPr>
            </w:pPr>
            <w:r w:rsidRPr="00FD6798">
              <w:rPr>
                <w:rFonts w:ascii="Arial" w:eastAsia="Times New Roman" w:hAnsi="Arial" w:cs="Arial"/>
                <w:i/>
                <w:iCs/>
                <w:color w:val="000000"/>
                <w:sz w:val="22"/>
                <w:szCs w:val="22"/>
                <w:lang w:eastAsia="de-DE"/>
              </w:rPr>
              <w:t>Topographic similarity (standard sounds)</w:t>
            </w:r>
          </w:p>
        </w:tc>
      </w:tr>
      <w:tr w:rsidR="00582983" w:rsidRPr="00FD6798" w14:paraId="12A5F53E" w14:textId="77777777" w:rsidTr="00EA73E7">
        <w:trPr>
          <w:trHeight w:val="300"/>
        </w:trPr>
        <w:tc>
          <w:tcPr>
            <w:tcW w:w="1060" w:type="dxa"/>
            <w:shd w:val="clear" w:color="auto" w:fill="auto"/>
            <w:noWrap/>
            <w:vAlign w:val="bottom"/>
            <w:hideMark/>
          </w:tcPr>
          <w:p w14:paraId="215D0DEB"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adFA1</w:t>
            </w:r>
          </w:p>
        </w:tc>
        <w:tc>
          <w:tcPr>
            <w:tcW w:w="1060" w:type="dxa"/>
            <w:shd w:val="clear" w:color="auto" w:fill="auto"/>
            <w:noWrap/>
            <w:vAlign w:val="bottom"/>
            <w:hideMark/>
          </w:tcPr>
          <w:p w14:paraId="09EBC15F"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0.97</w:t>
            </w:r>
          </w:p>
        </w:tc>
        <w:tc>
          <w:tcPr>
            <w:tcW w:w="1060" w:type="dxa"/>
            <w:shd w:val="clear" w:color="auto" w:fill="auto"/>
            <w:noWrap/>
            <w:vAlign w:val="bottom"/>
            <w:hideMark/>
          </w:tcPr>
          <w:p w14:paraId="34661A8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0.32</w:t>
            </w:r>
          </w:p>
        </w:tc>
        <w:tc>
          <w:tcPr>
            <w:tcW w:w="1060" w:type="dxa"/>
            <w:shd w:val="clear" w:color="auto" w:fill="auto"/>
            <w:noWrap/>
            <w:vAlign w:val="bottom"/>
            <w:hideMark/>
          </w:tcPr>
          <w:p w14:paraId="4C15602C"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0.97</w:t>
            </w:r>
          </w:p>
        </w:tc>
        <w:tc>
          <w:tcPr>
            <w:tcW w:w="1060" w:type="dxa"/>
            <w:shd w:val="clear" w:color="auto" w:fill="auto"/>
            <w:noWrap/>
            <w:vAlign w:val="bottom"/>
            <w:hideMark/>
          </w:tcPr>
          <w:p w14:paraId="6B1766BA"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0.98</w:t>
            </w:r>
          </w:p>
        </w:tc>
        <w:tc>
          <w:tcPr>
            <w:tcW w:w="1060" w:type="dxa"/>
            <w:shd w:val="clear" w:color="auto" w:fill="auto"/>
            <w:noWrap/>
            <w:vAlign w:val="bottom"/>
            <w:hideMark/>
          </w:tcPr>
          <w:p w14:paraId="7BCCD93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0.97</w:t>
            </w:r>
          </w:p>
        </w:tc>
        <w:tc>
          <w:tcPr>
            <w:tcW w:w="1060" w:type="dxa"/>
            <w:shd w:val="clear" w:color="auto" w:fill="auto"/>
            <w:noWrap/>
            <w:vAlign w:val="bottom"/>
            <w:hideMark/>
          </w:tcPr>
          <w:p w14:paraId="7CB6FA1C"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0.94</w:t>
            </w:r>
          </w:p>
        </w:tc>
      </w:tr>
      <w:tr w:rsidR="00582983" w:rsidRPr="00FD6798" w14:paraId="7346DE8F" w14:textId="77777777" w:rsidTr="00EA73E7">
        <w:trPr>
          <w:trHeight w:val="300"/>
        </w:trPr>
        <w:tc>
          <w:tcPr>
            <w:tcW w:w="1060" w:type="dxa"/>
            <w:shd w:val="clear" w:color="auto" w:fill="auto"/>
            <w:noWrap/>
            <w:vAlign w:val="bottom"/>
            <w:hideMark/>
          </w:tcPr>
          <w:p w14:paraId="03BE02C0"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adFA2</w:t>
            </w:r>
          </w:p>
        </w:tc>
        <w:tc>
          <w:tcPr>
            <w:tcW w:w="1060" w:type="dxa"/>
            <w:shd w:val="clear" w:color="auto" w:fill="auto"/>
            <w:noWrap/>
            <w:vAlign w:val="bottom"/>
            <w:hideMark/>
          </w:tcPr>
          <w:p w14:paraId="2B7C2E3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-0.93</w:t>
            </w:r>
          </w:p>
        </w:tc>
        <w:tc>
          <w:tcPr>
            <w:tcW w:w="1060" w:type="dxa"/>
            <w:shd w:val="clear" w:color="auto" w:fill="auto"/>
            <w:noWrap/>
            <w:vAlign w:val="bottom"/>
            <w:hideMark/>
          </w:tcPr>
          <w:p w14:paraId="5605726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-0.18</w:t>
            </w:r>
          </w:p>
        </w:tc>
        <w:tc>
          <w:tcPr>
            <w:tcW w:w="1060" w:type="dxa"/>
            <w:shd w:val="clear" w:color="auto" w:fill="auto"/>
            <w:noWrap/>
            <w:vAlign w:val="bottom"/>
            <w:hideMark/>
          </w:tcPr>
          <w:p w14:paraId="2A02E0B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-0.92</w:t>
            </w:r>
          </w:p>
        </w:tc>
        <w:tc>
          <w:tcPr>
            <w:tcW w:w="1060" w:type="dxa"/>
            <w:shd w:val="clear" w:color="auto" w:fill="auto"/>
            <w:noWrap/>
            <w:vAlign w:val="bottom"/>
            <w:hideMark/>
          </w:tcPr>
          <w:p w14:paraId="4B748E2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-0.93</w:t>
            </w:r>
          </w:p>
        </w:tc>
        <w:tc>
          <w:tcPr>
            <w:tcW w:w="1060" w:type="dxa"/>
            <w:shd w:val="clear" w:color="auto" w:fill="auto"/>
            <w:noWrap/>
            <w:vAlign w:val="bottom"/>
            <w:hideMark/>
          </w:tcPr>
          <w:p w14:paraId="517E1953"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-0.94</w:t>
            </w:r>
          </w:p>
        </w:tc>
        <w:tc>
          <w:tcPr>
            <w:tcW w:w="1060" w:type="dxa"/>
            <w:shd w:val="clear" w:color="auto" w:fill="auto"/>
            <w:noWrap/>
            <w:vAlign w:val="bottom"/>
            <w:hideMark/>
          </w:tcPr>
          <w:p w14:paraId="6D9E76F7"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-0.95</w:t>
            </w:r>
          </w:p>
        </w:tc>
      </w:tr>
      <w:tr w:rsidR="00582983" w:rsidRPr="00FD6798" w14:paraId="7BA9CC0E" w14:textId="77777777" w:rsidTr="00EA73E7">
        <w:trPr>
          <w:trHeight w:val="300"/>
        </w:trPr>
        <w:tc>
          <w:tcPr>
            <w:tcW w:w="1060" w:type="dxa"/>
            <w:shd w:val="clear" w:color="auto" w:fill="auto"/>
            <w:noWrap/>
            <w:vAlign w:val="bottom"/>
            <w:hideMark/>
          </w:tcPr>
          <w:p w14:paraId="00D50578"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adFA3</w:t>
            </w:r>
          </w:p>
        </w:tc>
        <w:tc>
          <w:tcPr>
            <w:tcW w:w="1060" w:type="dxa"/>
            <w:shd w:val="clear" w:color="auto" w:fill="auto"/>
            <w:noWrap/>
            <w:vAlign w:val="bottom"/>
            <w:hideMark/>
          </w:tcPr>
          <w:p w14:paraId="073F8744"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0.95</w:t>
            </w:r>
          </w:p>
        </w:tc>
        <w:tc>
          <w:tcPr>
            <w:tcW w:w="1060" w:type="dxa"/>
            <w:shd w:val="clear" w:color="auto" w:fill="auto"/>
            <w:noWrap/>
            <w:vAlign w:val="bottom"/>
            <w:hideMark/>
          </w:tcPr>
          <w:p w14:paraId="2B34F7CC"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0.25</w:t>
            </w:r>
          </w:p>
        </w:tc>
        <w:tc>
          <w:tcPr>
            <w:tcW w:w="1060" w:type="dxa"/>
            <w:shd w:val="clear" w:color="auto" w:fill="auto"/>
            <w:noWrap/>
            <w:vAlign w:val="bottom"/>
            <w:hideMark/>
          </w:tcPr>
          <w:p w14:paraId="2A132603"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0.94</w:t>
            </w:r>
          </w:p>
        </w:tc>
        <w:tc>
          <w:tcPr>
            <w:tcW w:w="1060" w:type="dxa"/>
            <w:shd w:val="clear" w:color="auto" w:fill="auto"/>
            <w:noWrap/>
            <w:vAlign w:val="bottom"/>
            <w:hideMark/>
          </w:tcPr>
          <w:p w14:paraId="3BA61B91"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0.95</w:t>
            </w:r>
          </w:p>
        </w:tc>
        <w:tc>
          <w:tcPr>
            <w:tcW w:w="1060" w:type="dxa"/>
            <w:shd w:val="clear" w:color="auto" w:fill="auto"/>
            <w:noWrap/>
            <w:vAlign w:val="bottom"/>
            <w:hideMark/>
          </w:tcPr>
          <w:p w14:paraId="6E7C5D08"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0.96</w:t>
            </w:r>
          </w:p>
        </w:tc>
        <w:tc>
          <w:tcPr>
            <w:tcW w:w="1060" w:type="dxa"/>
            <w:shd w:val="clear" w:color="auto" w:fill="auto"/>
            <w:noWrap/>
            <w:vAlign w:val="bottom"/>
            <w:hideMark/>
          </w:tcPr>
          <w:p w14:paraId="3409EBDA"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0.96</w:t>
            </w:r>
          </w:p>
        </w:tc>
      </w:tr>
      <w:tr w:rsidR="00582983" w:rsidRPr="00FD6798" w14:paraId="6C78E6F5" w14:textId="77777777" w:rsidTr="00EA73E7">
        <w:trPr>
          <w:trHeight w:val="300"/>
        </w:trPr>
        <w:tc>
          <w:tcPr>
            <w:tcW w:w="1060" w:type="dxa"/>
            <w:shd w:val="clear" w:color="auto" w:fill="auto"/>
            <w:noWrap/>
            <w:vAlign w:val="bottom"/>
            <w:hideMark/>
          </w:tcPr>
          <w:p w14:paraId="3C062854"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adFA4</w:t>
            </w:r>
          </w:p>
        </w:tc>
        <w:tc>
          <w:tcPr>
            <w:tcW w:w="1060" w:type="dxa"/>
            <w:shd w:val="clear" w:color="auto" w:fill="auto"/>
            <w:noWrap/>
            <w:vAlign w:val="bottom"/>
            <w:hideMark/>
          </w:tcPr>
          <w:p w14:paraId="5345E014"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0.95</w:t>
            </w:r>
          </w:p>
        </w:tc>
        <w:tc>
          <w:tcPr>
            <w:tcW w:w="1060" w:type="dxa"/>
            <w:shd w:val="clear" w:color="auto" w:fill="auto"/>
            <w:noWrap/>
            <w:vAlign w:val="bottom"/>
            <w:hideMark/>
          </w:tcPr>
          <w:p w14:paraId="3AB236A2"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0.24</w:t>
            </w:r>
          </w:p>
        </w:tc>
        <w:tc>
          <w:tcPr>
            <w:tcW w:w="1060" w:type="dxa"/>
            <w:shd w:val="clear" w:color="auto" w:fill="auto"/>
            <w:noWrap/>
            <w:vAlign w:val="bottom"/>
            <w:hideMark/>
          </w:tcPr>
          <w:p w14:paraId="61E6B6BF"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0.95</w:t>
            </w:r>
          </w:p>
        </w:tc>
        <w:tc>
          <w:tcPr>
            <w:tcW w:w="1060" w:type="dxa"/>
            <w:shd w:val="clear" w:color="auto" w:fill="auto"/>
            <w:noWrap/>
            <w:vAlign w:val="bottom"/>
            <w:hideMark/>
          </w:tcPr>
          <w:p w14:paraId="6AFDABAE"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0.96</w:t>
            </w:r>
          </w:p>
        </w:tc>
        <w:tc>
          <w:tcPr>
            <w:tcW w:w="1060" w:type="dxa"/>
            <w:shd w:val="clear" w:color="auto" w:fill="auto"/>
            <w:noWrap/>
            <w:vAlign w:val="bottom"/>
            <w:hideMark/>
          </w:tcPr>
          <w:p w14:paraId="20B01A70"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0.97</w:t>
            </w:r>
          </w:p>
        </w:tc>
        <w:tc>
          <w:tcPr>
            <w:tcW w:w="1060" w:type="dxa"/>
            <w:shd w:val="clear" w:color="auto" w:fill="auto"/>
            <w:noWrap/>
            <w:vAlign w:val="bottom"/>
            <w:hideMark/>
          </w:tcPr>
          <w:p w14:paraId="1EF307A4"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0.98</w:t>
            </w:r>
          </w:p>
        </w:tc>
      </w:tr>
      <w:tr w:rsidR="00582983" w:rsidRPr="00FD6798" w14:paraId="20DA23E3" w14:textId="77777777" w:rsidTr="00EA73E7">
        <w:trPr>
          <w:trHeight w:val="300"/>
        </w:trPr>
        <w:tc>
          <w:tcPr>
            <w:tcW w:w="1060" w:type="dxa"/>
            <w:shd w:val="clear" w:color="auto" w:fill="auto"/>
            <w:noWrap/>
            <w:vAlign w:val="bottom"/>
            <w:hideMark/>
          </w:tcPr>
          <w:p w14:paraId="754130AC"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adFA5</w:t>
            </w:r>
          </w:p>
        </w:tc>
        <w:tc>
          <w:tcPr>
            <w:tcW w:w="1060" w:type="dxa"/>
            <w:shd w:val="clear" w:color="auto" w:fill="auto"/>
            <w:noWrap/>
            <w:vAlign w:val="bottom"/>
            <w:hideMark/>
          </w:tcPr>
          <w:p w14:paraId="60F5376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0.44</w:t>
            </w:r>
          </w:p>
        </w:tc>
        <w:tc>
          <w:tcPr>
            <w:tcW w:w="1060" w:type="dxa"/>
            <w:shd w:val="clear" w:color="auto" w:fill="auto"/>
            <w:noWrap/>
            <w:vAlign w:val="bottom"/>
            <w:hideMark/>
          </w:tcPr>
          <w:p w14:paraId="3A5C8E6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-0.33</w:t>
            </w:r>
          </w:p>
        </w:tc>
        <w:tc>
          <w:tcPr>
            <w:tcW w:w="1060" w:type="dxa"/>
            <w:shd w:val="clear" w:color="auto" w:fill="auto"/>
            <w:noWrap/>
            <w:vAlign w:val="bottom"/>
            <w:hideMark/>
          </w:tcPr>
          <w:p w14:paraId="0BCF6FD8"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0.52</w:t>
            </w:r>
          </w:p>
        </w:tc>
        <w:tc>
          <w:tcPr>
            <w:tcW w:w="1060" w:type="dxa"/>
            <w:shd w:val="clear" w:color="auto" w:fill="auto"/>
            <w:noWrap/>
            <w:vAlign w:val="bottom"/>
            <w:hideMark/>
          </w:tcPr>
          <w:p w14:paraId="300258F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0.50</w:t>
            </w:r>
          </w:p>
        </w:tc>
        <w:tc>
          <w:tcPr>
            <w:tcW w:w="1060" w:type="dxa"/>
            <w:shd w:val="clear" w:color="auto" w:fill="auto"/>
            <w:noWrap/>
            <w:vAlign w:val="bottom"/>
            <w:hideMark/>
          </w:tcPr>
          <w:p w14:paraId="651B7E47"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0.47</w:t>
            </w:r>
          </w:p>
        </w:tc>
        <w:tc>
          <w:tcPr>
            <w:tcW w:w="1060" w:type="dxa"/>
            <w:shd w:val="clear" w:color="auto" w:fill="auto"/>
            <w:noWrap/>
            <w:vAlign w:val="bottom"/>
            <w:hideMark/>
          </w:tcPr>
          <w:p w14:paraId="6AC84A60"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0.56</w:t>
            </w:r>
          </w:p>
        </w:tc>
      </w:tr>
      <w:tr w:rsidR="00582983" w:rsidRPr="00FD6798" w14:paraId="1997F361" w14:textId="77777777" w:rsidTr="00EA73E7">
        <w:trPr>
          <w:trHeight w:val="300"/>
        </w:trPr>
        <w:tc>
          <w:tcPr>
            <w:tcW w:w="1060" w:type="dxa"/>
            <w:shd w:val="clear" w:color="auto" w:fill="auto"/>
            <w:noWrap/>
            <w:vAlign w:val="bottom"/>
            <w:hideMark/>
          </w:tcPr>
          <w:p w14:paraId="6B9F7B3A"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adFA6</w:t>
            </w:r>
          </w:p>
        </w:tc>
        <w:tc>
          <w:tcPr>
            <w:tcW w:w="1060" w:type="dxa"/>
            <w:shd w:val="clear" w:color="auto" w:fill="auto"/>
            <w:noWrap/>
            <w:vAlign w:val="bottom"/>
            <w:hideMark/>
          </w:tcPr>
          <w:p w14:paraId="60475003"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0.98</w:t>
            </w:r>
          </w:p>
        </w:tc>
        <w:tc>
          <w:tcPr>
            <w:tcW w:w="1060" w:type="dxa"/>
            <w:shd w:val="clear" w:color="auto" w:fill="auto"/>
            <w:noWrap/>
            <w:vAlign w:val="bottom"/>
            <w:hideMark/>
          </w:tcPr>
          <w:p w14:paraId="2AD56B5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0.34</w:t>
            </w:r>
          </w:p>
        </w:tc>
        <w:tc>
          <w:tcPr>
            <w:tcW w:w="1060" w:type="dxa"/>
            <w:shd w:val="clear" w:color="auto" w:fill="auto"/>
            <w:noWrap/>
            <w:vAlign w:val="bottom"/>
            <w:hideMark/>
          </w:tcPr>
          <w:p w14:paraId="5882CF4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0.98</w:t>
            </w:r>
          </w:p>
        </w:tc>
        <w:tc>
          <w:tcPr>
            <w:tcW w:w="1060" w:type="dxa"/>
            <w:shd w:val="clear" w:color="auto" w:fill="auto"/>
            <w:noWrap/>
            <w:vAlign w:val="bottom"/>
            <w:hideMark/>
          </w:tcPr>
          <w:p w14:paraId="2D57A4C0"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0.99</w:t>
            </w:r>
          </w:p>
        </w:tc>
        <w:tc>
          <w:tcPr>
            <w:tcW w:w="1060" w:type="dxa"/>
            <w:shd w:val="clear" w:color="auto" w:fill="auto"/>
            <w:noWrap/>
            <w:vAlign w:val="bottom"/>
            <w:hideMark/>
          </w:tcPr>
          <w:p w14:paraId="1658232F"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0.98</w:t>
            </w:r>
          </w:p>
        </w:tc>
        <w:tc>
          <w:tcPr>
            <w:tcW w:w="1060" w:type="dxa"/>
            <w:shd w:val="clear" w:color="auto" w:fill="auto"/>
            <w:noWrap/>
            <w:vAlign w:val="bottom"/>
            <w:hideMark/>
          </w:tcPr>
          <w:p w14:paraId="4E4A75D9"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0.97</w:t>
            </w:r>
          </w:p>
        </w:tc>
      </w:tr>
      <w:tr w:rsidR="00582983" w:rsidRPr="00FD6798" w14:paraId="4B0D5F49" w14:textId="77777777" w:rsidTr="00EA73E7">
        <w:trPr>
          <w:trHeight w:val="300"/>
        </w:trPr>
        <w:tc>
          <w:tcPr>
            <w:tcW w:w="1060" w:type="dxa"/>
            <w:shd w:val="clear" w:color="auto" w:fill="auto"/>
            <w:noWrap/>
            <w:vAlign w:val="bottom"/>
            <w:hideMark/>
          </w:tcPr>
          <w:p w14:paraId="7560992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p>
        </w:tc>
        <w:tc>
          <w:tcPr>
            <w:tcW w:w="6360" w:type="dxa"/>
            <w:gridSpan w:val="6"/>
            <w:shd w:val="clear" w:color="auto" w:fill="auto"/>
            <w:noWrap/>
            <w:vAlign w:val="bottom"/>
            <w:hideMark/>
          </w:tcPr>
          <w:p w14:paraId="15DFF02B" w14:textId="77777777" w:rsidR="00582983" w:rsidRPr="00FD6798" w:rsidRDefault="00582983" w:rsidP="00EA73E7">
            <w:pPr>
              <w:spacing w:before="0" w:after="0" w:line="240" w:lineRule="auto"/>
              <w:ind w:firstLine="0"/>
              <w:jc w:val="center"/>
              <w:rPr>
                <w:rFonts w:ascii="Arial" w:eastAsia="Times New Roman" w:hAnsi="Arial" w:cs="Arial"/>
                <w:i/>
                <w:iCs/>
                <w:color w:val="000000"/>
                <w:sz w:val="22"/>
                <w:szCs w:val="22"/>
                <w:lang w:eastAsia="de-DE"/>
              </w:rPr>
            </w:pPr>
            <w:r w:rsidRPr="00FD6798">
              <w:rPr>
                <w:rFonts w:ascii="Arial" w:eastAsia="Times New Roman" w:hAnsi="Arial" w:cs="Arial"/>
                <w:i/>
                <w:iCs/>
                <w:color w:val="000000"/>
                <w:sz w:val="22"/>
                <w:szCs w:val="22"/>
                <w:lang w:eastAsia="de-DE"/>
              </w:rPr>
              <w:t>Topographic similarity (novel sounds)</w:t>
            </w:r>
          </w:p>
        </w:tc>
      </w:tr>
      <w:tr w:rsidR="00582983" w:rsidRPr="00FD6798" w14:paraId="6F4575A6" w14:textId="77777777" w:rsidTr="00EA73E7">
        <w:trPr>
          <w:trHeight w:val="300"/>
        </w:trPr>
        <w:tc>
          <w:tcPr>
            <w:tcW w:w="1060" w:type="dxa"/>
            <w:shd w:val="clear" w:color="auto" w:fill="auto"/>
            <w:noWrap/>
            <w:vAlign w:val="bottom"/>
            <w:hideMark/>
          </w:tcPr>
          <w:p w14:paraId="5B0D602A"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adFA1</w:t>
            </w:r>
          </w:p>
        </w:tc>
        <w:tc>
          <w:tcPr>
            <w:tcW w:w="1060" w:type="dxa"/>
            <w:shd w:val="clear" w:color="auto" w:fill="auto"/>
            <w:noWrap/>
            <w:vAlign w:val="bottom"/>
            <w:hideMark/>
          </w:tcPr>
          <w:p w14:paraId="2B2F13A2"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0.92</w:t>
            </w:r>
          </w:p>
        </w:tc>
        <w:tc>
          <w:tcPr>
            <w:tcW w:w="1060" w:type="dxa"/>
            <w:shd w:val="clear" w:color="auto" w:fill="auto"/>
            <w:noWrap/>
            <w:vAlign w:val="bottom"/>
            <w:hideMark/>
          </w:tcPr>
          <w:p w14:paraId="481108A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-0.60</w:t>
            </w:r>
          </w:p>
        </w:tc>
        <w:tc>
          <w:tcPr>
            <w:tcW w:w="1060" w:type="dxa"/>
            <w:shd w:val="clear" w:color="auto" w:fill="auto"/>
            <w:noWrap/>
            <w:vAlign w:val="bottom"/>
            <w:hideMark/>
          </w:tcPr>
          <w:p w14:paraId="5086414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-0.45</w:t>
            </w:r>
          </w:p>
        </w:tc>
        <w:tc>
          <w:tcPr>
            <w:tcW w:w="1060" w:type="dxa"/>
            <w:shd w:val="clear" w:color="auto" w:fill="auto"/>
            <w:noWrap/>
            <w:vAlign w:val="bottom"/>
            <w:hideMark/>
          </w:tcPr>
          <w:p w14:paraId="4983A46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0.87</w:t>
            </w:r>
          </w:p>
        </w:tc>
        <w:tc>
          <w:tcPr>
            <w:tcW w:w="1060" w:type="dxa"/>
            <w:shd w:val="clear" w:color="auto" w:fill="auto"/>
            <w:noWrap/>
            <w:vAlign w:val="bottom"/>
            <w:hideMark/>
          </w:tcPr>
          <w:p w14:paraId="5A47BCB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-0.76</w:t>
            </w:r>
          </w:p>
        </w:tc>
        <w:tc>
          <w:tcPr>
            <w:tcW w:w="1060" w:type="dxa"/>
            <w:shd w:val="clear" w:color="auto" w:fill="auto"/>
            <w:noWrap/>
            <w:vAlign w:val="bottom"/>
            <w:hideMark/>
          </w:tcPr>
          <w:p w14:paraId="0D1EBD0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-0.74</w:t>
            </w:r>
          </w:p>
        </w:tc>
      </w:tr>
      <w:tr w:rsidR="00582983" w:rsidRPr="00FD6798" w14:paraId="4E7E49BB" w14:textId="77777777" w:rsidTr="00EA73E7">
        <w:trPr>
          <w:trHeight w:val="300"/>
        </w:trPr>
        <w:tc>
          <w:tcPr>
            <w:tcW w:w="1060" w:type="dxa"/>
            <w:shd w:val="clear" w:color="auto" w:fill="auto"/>
            <w:noWrap/>
            <w:vAlign w:val="bottom"/>
            <w:hideMark/>
          </w:tcPr>
          <w:p w14:paraId="56BF5A8A"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adFA2</w:t>
            </w:r>
          </w:p>
        </w:tc>
        <w:tc>
          <w:tcPr>
            <w:tcW w:w="1060" w:type="dxa"/>
            <w:shd w:val="clear" w:color="auto" w:fill="auto"/>
            <w:noWrap/>
            <w:vAlign w:val="bottom"/>
            <w:hideMark/>
          </w:tcPr>
          <w:p w14:paraId="06013614"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-0.93</w:t>
            </w:r>
          </w:p>
        </w:tc>
        <w:tc>
          <w:tcPr>
            <w:tcW w:w="1060" w:type="dxa"/>
            <w:shd w:val="clear" w:color="auto" w:fill="auto"/>
            <w:noWrap/>
            <w:vAlign w:val="bottom"/>
            <w:hideMark/>
          </w:tcPr>
          <w:p w14:paraId="77845DDA"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0.94</w:t>
            </w:r>
          </w:p>
        </w:tc>
        <w:tc>
          <w:tcPr>
            <w:tcW w:w="1060" w:type="dxa"/>
            <w:shd w:val="clear" w:color="auto" w:fill="auto"/>
            <w:noWrap/>
            <w:vAlign w:val="bottom"/>
            <w:hideMark/>
          </w:tcPr>
          <w:p w14:paraId="2C11641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0.40</w:t>
            </w:r>
          </w:p>
        </w:tc>
        <w:tc>
          <w:tcPr>
            <w:tcW w:w="1060" w:type="dxa"/>
            <w:shd w:val="clear" w:color="auto" w:fill="auto"/>
            <w:noWrap/>
            <w:vAlign w:val="bottom"/>
            <w:hideMark/>
          </w:tcPr>
          <w:p w14:paraId="32389AF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-0.60</w:t>
            </w:r>
          </w:p>
        </w:tc>
        <w:tc>
          <w:tcPr>
            <w:tcW w:w="1060" w:type="dxa"/>
            <w:shd w:val="clear" w:color="auto" w:fill="auto"/>
            <w:noWrap/>
            <w:vAlign w:val="bottom"/>
            <w:hideMark/>
          </w:tcPr>
          <w:p w14:paraId="409EF2AB"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0.90</w:t>
            </w:r>
          </w:p>
        </w:tc>
        <w:tc>
          <w:tcPr>
            <w:tcW w:w="1060" w:type="dxa"/>
            <w:shd w:val="clear" w:color="auto" w:fill="auto"/>
            <w:noWrap/>
            <w:vAlign w:val="bottom"/>
            <w:hideMark/>
          </w:tcPr>
          <w:p w14:paraId="2CD04F48"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0.94</w:t>
            </w:r>
          </w:p>
        </w:tc>
      </w:tr>
      <w:tr w:rsidR="00582983" w:rsidRPr="00FD6798" w14:paraId="32EB60FD" w14:textId="77777777" w:rsidTr="00EA73E7">
        <w:trPr>
          <w:trHeight w:val="300"/>
        </w:trPr>
        <w:tc>
          <w:tcPr>
            <w:tcW w:w="1060" w:type="dxa"/>
            <w:shd w:val="clear" w:color="auto" w:fill="auto"/>
            <w:noWrap/>
            <w:vAlign w:val="bottom"/>
            <w:hideMark/>
          </w:tcPr>
          <w:p w14:paraId="5DDF7D33"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adFA3</w:t>
            </w:r>
          </w:p>
        </w:tc>
        <w:tc>
          <w:tcPr>
            <w:tcW w:w="1060" w:type="dxa"/>
            <w:shd w:val="clear" w:color="auto" w:fill="auto"/>
            <w:noWrap/>
            <w:vAlign w:val="bottom"/>
            <w:hideMark/>
          </w:tcPr>
          <w:p w14:paraId="61D2E771"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-0.85</w:t>
            </w:r>
          </w:p>
        </w:tc>
        <w:tc>
          <w:tcPr>
            <w:tcW w:w="1060" w:type="dxa"/>
            <w:shd w:val="clear" w:color="auto" w:fill="auto"/>
            <w:noWrap/>
            <w:vAlign w:val="bottom"/>
            <w:hideMark/>
          </w:tcPr>
          <w:p w14:paraId="7305B2B0"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0.92</w:t>
            </w:r>
          </w:p>
        </w:tc>
        <w:tc>
          <w:tcPr>
            <w:tcW w:w="1060" w:type="dxa"/>
            <w:shd w:val="clear" w:color="auto" w:fill="auto"/>
            <w:noWrap/>
            <w:vAlign w:val="bottom"/>
            <w:hideMark/>
          </w:tcPr>
          <w:p w14:paraId="3CA50592"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0.30</w:t>
            </w:r>
          </w:p>
        </w:tc>
        <w:tc>
          <w:tcPr>
            <w:tcW w:w="1060" w:type="dxa"/>
            <w:shd w:val="clear" w:color="auto" w:fill="auto"/>
            <w:noWrap/>
            <w:vAlign w:val="bottom"/>
            <w:hideMark/>
          </w:tcPr>
          <w:p w14:paraId="21D380C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-0.49</w:t>
            </w:r>
          </w:p>
        </w:tc>
        <w:tc>
          <w:tcPr>
            <w:tcW w:w="1060" w:type="dxa"/>
            <w:shd w:val="clear" w:color="auto" w:fill="auto"/>
            <w:noWrap/>
            <w:vAlign w:val="bottom"/>
            <w:hideMark/>
          </w:tcPr>
          <w:p w14:paraId="4A009B8D"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0.87</w:t>
            </w:r>
          </w:p>
        </w:tc>
        <w:tc>
          <w:tcPr>
            <w:tcW w:w="1060" w:type="dxa"/>
            <w:shd w:val="clear" w:color="auto" w:fill="auto"/>
            <w:noWrap/>
            <w:vAlign w:val="bottom"/>
            <w:hideMark/>
          </w:tcPr>
          <w:p w14:paraId="145C45B8"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0.92</w:t>
            </w:r>
          </w:p>
        </w:tc>
      </w:tr>
      <w:tr w:rsidR="00582983" w:rsidRPr="00FD6798" w14:paraId="0454F4AE" w14:textId="77777777" w:rsidTr="00EA73E7">
        <w:trPr>
          <w:trHeight w:val="300"/>
        </w:trPr>
        <w:tc>
          <w:tcPr>
            <w:tcW w:w="1060" w:type="dxa"/>
            <w:shd w:val="clear" w:color="auto" w:fill="auto"/>
            <w:noWrap/>
            <w:vAlign w:val="bottom"/>
            <w:hideMark/>
          </w:tcPr>
          <w:p w14:paraId="0AF485C8"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adFA4</w:t>
            </w:r>
          </w:p>
        </w:tc>
        <w:tc>
          <w:tcPr>
            <w:tcW w:w="1060" w:type="dxa"/>
            <w:shd w:val="clear" w:color="auto" w:fill="auto"/>
            <w:noWrap/>
            <w:vAlign w:val="bottom"/>
            <w:hideMark/>
          </w:tcPr>
          <w:p w14:paraId="61BD0227"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0.90</w:t>
            </w:r>
          </w:p>
        </w:tc>
        <w:tc>
          <w:tcPr>
            <w:tcW w:w="1060" w:type="dxa"/>
            <w:shd w:val="clear" w:color="auto" w:fill="auto"/>
            <w:noWrap/>
            <w:vAlign w:val="bottom"/>
            <w:hideMark/>
          </w:tcPr>
          <w:p w14:paraId="2B086A5C"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-0.50</w:t>
            </w:r>
          </w:p>
        </w:tc>
        <w:tc>
          <w:tcPr>
            <w:tcW w:w="1060" w:type="dxa"/>
            <w:shd w:val="clear" w:color="auto" w:fill="auto"/>
            <w:noWrap/>
            <w:vAlign w:val="bottom"/>
            <w:hideMark/>
          </w:tcPr>
          <w:p w14:paraId="7CE51D3D"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-0.24</w:t>
            </w:r>
          </w:p>
        </w:tc>
        <w:tc>
          <w:tcPr>
            <w:tcW w:w="1060" w:type="dxa"/>
            <w:shd w:val="clear" w:color="auto" w:fill="auto"/>
            <w:noWrap/>
            <w:vAlign w:val="bottom"/>
            <w:hideMark/>
          </w:tcPr>
          <w:p w14:paraId="7C9FBAD9"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0.90</w:t>
            </w:r>
          </w:p>
        </w:tc>
        <w:tc>
          <w:tcPr>
            <w:tcW w:w="1060" w:type="dxa"/>
            <w:shd w:val="clear" w:color="auto" w:fill="auto"/>
            <w:noWrap/>
            <w:vAlign w:val="bottom"/>
            <w:hideMark/>
          </w:tcPr>
          <w:p w14:paraId="16D00342"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-0.68</w:t>
            </w:r>
          </w:p>
        </w:tc>
        <w:tc>
          <w:tcPr>
            <w:tcW w:w="1060" w:type="dxa"/>
            <w:shd w:val="clear" w:color="auto" w:fill="auto"/>
            <w:noWrap/>
            <w:vAlign w:val="bottom"/>
            <w:hideMark/>
          </w:tcPr>
          <w:p w14:paraId="4519A829"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-0.71</w:t>
            </w:r>
          </w:p>
        </w:tc>
      </w:tr>
      <w:tr w:rsidR="00582983" w:rsidRPr="00FD6798" w14:paraId="7F639524" w14:textId="77777777" w:rsidTr="00EA73E7">
        <w:trPr>
          <w:trHeight w:val="300"/>
        </w:trPr>
        <w:tc>
          <w:tcPr>
            <w:tcW w:w="1060" w:type="dxa"/>
            <w:shd w:val="clear" w:color="auto" w:fill="auto"/>
            <w:noWrap/>
            <w:vAlign w:val="bottom"/>
            <w:hideMark/>
          </w:tcPr>
          <w:p w14:paraId="4A3B6B23"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adFA5</w:t>
            </w:r>
          </w:p>
        </w:tc>
        <w:tc>
          <w:tcPr>
            <w:tcW w:w="1060" w:type="dxa"/>
            <w:shd w:val="clear" w:color="auto" w:fill="auto"/>
            <w:noWrap/>
            <w:vAlign w:val="bottom"/>
            <w:hideMark/>
          </w:tcPr>
          <w:p w14:paraId="6489F2D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-0.69</w:t>
            </w:r>
          </w:p>
        </w:tc>
        <w:tc>
          <w:tcPr>
            <w:tcW w:w="1060" w:type="dxa"/>
            <w:shd w:val="clear" w:color="auto" w:fill="auto"/>
            <w:noWrap/>
            <w:vAlign w:val="bottom"/>
            <w:hideMark/>
          </w:tcPr>
          <w:p w14:paraId="1B35BC68"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0.85</w:t>
            </w:r>
          </w:p>
        </w:tc>
        <w:tc>
          <w:tcPr>
            <w:tcW w:w="1060" w:type="dxa"/>
            <w:shd w:val="clear" w:color="auto" w:fill="auto"/>
            <w:noWrap/>
            <w:vAlign w:val="bottom"/>
            <w:hideMark/>
          </w:tcPr>
          <w:p w14:paraId="7789B240"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0.26</w:t>
            </w:r>
          </w:p>
        </w:tc>
        <w:tc>
          <w:tcPr>
            <w:tcW w:w="1060" w:type="dxa"/>
            <w:shd w:val="clear" w:color="auto" w:fill="auto"/>
            <w:noWrap/>
            <w:vAlign w:val="bottom"/>
            <w:hideMark/>
          </w:tcPr>
          <w:p w14:paraId="78884499"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-0.28</w:t>
            </w:r>
          </w:p>
        </w:tc>
        <w:tc>
          <w:tcPr>
            <w:tcW w:w="1060" w:type="dxa"/>
            <w:shd w:val="clear" w:color="auto" w:fill="auto"/>
            <w:noWrap/>
            <w:vAlign w:val="bottom"/>
            <w:hideMark/>
          </w:tcPr>
          <w:p w14:paraId="1EBC8B7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0.77</w:t>
            </w:r>
          </w:p>
        </w:tc>
        <w:tc>
          <w:tcPr>
            <w:tcW w:w="1060" w:type="dxa"/>
            <w:shd w:val="clear" w:color="auto" w:fill="auto"/>
            <w:noWrap/>
            <w:vAlign w:val="bottom"/>
            <w:hideMark/>
          </w:tcPr>
          <w:p w14:paraId="423ED44E" w14:textId="77777777" w:rsidR="00582983" w:rsidRPr="00FD6798" w:rsidRDefault="00582983" w:rsidP="00EA73E7">
            <w:pPr>
              <w:spacing w:before="0" w:after="0" w:line="240" w:lineRule="auto"/>
              <w:ind w:firstLine="0"/>
              <w:jc w:val="right"/>
              <w:rPr>
                <w:rFonts w:ascii="Arial" w:eastAsia="Times New Roman" w:hAnsi="Arial" w:cs="Arial"/>
                <w:b/>
                <w:bCs/>
                <w:color w:val="000000"/>
                <w:sz w:val="22"/>
                <w:szCs w:val="22"/>
                <w:lang w:eastAsia="de-DE"/>
              </w:rPr>
            </w:pPr>
            <w:r w:rsidRPr="00FD6798">
              <w:rPr>
                <w:rFonts w:ascii="Arial" w:eastAsia="Times New Roman" w:hAnsi="Arial" w:cs="Arial"/>
                <w:b/>
                <w:bCs/>
                <w:color w:val="000000"/>
                <w:sz w:val="22"/>
                <w:szCs w:val="22"/>
                <w:lang w:eastAsia="de-DE"/>
              </w:rPr>
              <w:t>0.87</w:t>
            </w:r>
          </w:p>
        </w:tc>
      </w:tr>
      <w:tr w:rsidR="00582983" w:rsidRPr="00FD6798" w14:paraId="4116623A" w14:textId="77777777" w:rsidTr="00EA73E7">
        <w:trPr>
          <w:trHeight w:val="300"/>
        </w:trPr>
        <w:tc>
          <w:tcPr>
            <w:tcW w:w="1060" w:type="dxa"/>
            <w:shd w:val="clear" w:color="auto" w:fill="auto"/>
            <w:noWrap/>
            <w:vAlign w:val="bottom"/>
            <w:hideMark/>
          </w:tcPr>
          <w:p w14:paraId="2A5D79FE" w14:textId="77777777" w:rsidR="00582983" w:rsidRPr="00FD6798" w:rsidRDefault="00582983" w:rsidP="00EA73E7">
            <w:pPr>
              <w:spacing w:before="0" w:after="0" w:line="240" w:lineRule="auto"/>
              <w:ind w:firstLine="0"/>
              <w:jc w:val="lef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adFA6</w:t>
            </w:r>
          </w:p>
        </w:tc>
        <w:tc>
          <w:tcPr>
            <w:tcW w:w="1060" w:type="dxa"/>
            <w:shd w:val="clear" w:color="auto" w:fill="auto"/>
            <w:noWrap/>
            <w:vAlign w:val="bottom"/>
            <w:hideMark/>
          </w:tcPr>
          <w:p w14:paraId="5F1DDF1C"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-0.07</w:t>
            </w:r>
          </w:p>
        </w:tc>
        <w:tc>
          <w:tcPr>
            <w:tcW w:w="1060" w:type="dxa"/>
            <w:shd w:val="clear" w:color="auto" w:fill="auto"/>
            <w:noWrap/>
            <w:vAlign w:val="bottom"/>
            <w:hideMark/>
          </w:tcPr>
          <w:p w14:paraId="18052D36"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-0.05</w:t>
            </w:r>
          </w:p>
        </w:tc>
        <w:tc>
          <w:tcPr>
            <w:tcW w:w="1060" w:type="dxa"/>
            <w:shd w:val="clear" w:color="auto" w:fill="auto"/>
            <w:noWrap/>
            <w:vAlign w:val="bottom"/>
            <w:hideMark/>
          </w:tcPr>
          <w:p w14:paraId="19A423A5"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-0.15</w:t>
            </w:r>
          </w:p>
        </w:tc>
        <w:tc>
          <w:tcPr>
            <w:tcW w:w="1060" w:type="dxa"/>
            <w:shd w:val="clear" w:color="auto" w:fill="auto"/>
            <w:noWrap/>
            <w:vAlign w:val="bottom"/>
            <w:hideMark/>
          </w:tcPr>
          <w:p w14:paraId="48F83F2B"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-0.20</w:t>
            </w:r>
          </w:p>
        </w:tc>
        <w:tc>
          <w:tcPr>
            <w:tcW w:w="1060" w:type="dxa"/>
            <w:shd w:val="clear" w:color="auto" w:fill="auto"/>
            <w:noWrap/>
            <w:vAlign w:val="bottom"/>
            <w:hideMark/>
          </w:tcPr>
          <w:p w14:paraId="769C205F"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-0.04</w:t>
            </w:r>
          </w:p>
        </w:tc>
        <w:tc>
          <w:tcPr>
            <w:tcW w:w="1060" w:type="dxa"/>
            <w:shd w:val="clear" w:color="auto" w:fill="auto"/>
            <w:noWrap/>
            <w:vAlign w:val="bottom"/>
            <w:hideMark/>
          </w:tcPr>
          <w:p w14:paraId="5E92CEDA" w14:textId="77777777" w:rsidR="00582983" w:rsidRPr="00FD6798" w:rsidRDefault="00582983" w:rsidP="00EA73E7">
            <w:pPr>
              <w:spacing w:before="0" w:after="0" w:line="240" w:lineRule="auto"/>
              <w:ind w:firstLine="0"/>
              <w:jc w:val="right"/>
              <w:rPr>
                <w:rFonts w:ascii="Arial" w:eastAsia="Times New Roman" w:hAnsi="Arial" w:cs="Arial"/>
                <w:color w:val="000000"/>
                <w:sz w:val="22"/>
                <w:szCs w:val="22"/>
                <w:lang w:eastAsia="de-DE"/>
              </w:rPr>
            </w:pPr>
            <w:r w:rsidRPr="00FD6798">
              <w:rPr>
                <w:rFonts w:ascii="Arial" w:eastAsia="Times New Roman" w:hAnsi="Arial" w:cs="Arial"/>
                <w:color w:val="000000"/>
                <w:sz w:val="22"/>
                <w:szCs w:val="22"/>
                <w:lang w:eastAsia="de-DE"/>
              </w:rPr>
              <w:t>-0.12</w:t>
            </w:r>
          </w:p>
        </w:tc>
      </w:tr>
    </w:tbl>
    <w:p w14:paraId="12C32D87" w14:textId="77777777" w:rsidR="00582983" w:rsidRPr="007C287A" w:rsidRDefault="00582983" w:rsidP="00582983">
      <w:pPr>
        <w:spacing w:line="240" w:lineRule="auto"/>
        <w:ind w:firstLine="0"/>
      </w:pPr>
      <w:r>
        <w:rPr>
          <w:i/>
          <w:iCs/>
        </w:rPr>
        <w:t xml:space="preserve">Note. </w:t>
      </w:r>
      <w:r>
        <w:t xml:space="preserve">The </w:t>
      </w:r>
      <w:r w:rsidRPr="00951469">
        <w:t xml:space="preserve">values are Pearson correlations, higher numbers indicate higher similarity. The rows represent factors from the adult </w:t>
      </w:r>
      <w:r>
        <w:t>PCA</w:t>
      </w:r>
      <w:r w:rsidRPr="00951469">
        <w:t xml:space="preserve">, the columns represent factors from the child </w:t>
      </w:r>
      <w:r>
        <w:t>PCA</w:t>
      </w:r>
      <w:r w:rsidRPr="00951469">
        <w:t>. Similarities ≥ .</w:t>
      </w:r>
      <w:r>
        <w:t>8</w:t>
      </w:r>
      <w:r w:rsidRPr="00951469">
        <w:t>0 are highlighted in bold.</w:t>
      </w:r>
      <w:r>
        <w:t xml:space="preserve"> Note that high negative similarities indicate high topographic overlap but inverted polarities, for instance, a central negative and a central positive factor could correlate -1. This type of reverse overlap is not relevant for matching because we are looking for factors with nearly identical topography – including the polarity.</w:t>
      </w:r>
    </w:p>
    <w:p w14:paraId="663E6E1D" w14:textId="77777777" w:rsidR="006D3243" w:rsidRDefault="006D3243" w:rsidP="00A720C8"/>
    <w:p w14:paraId="33B314AA" w14:textId="239C11AF" w:rsidR="00A720C8" w:rsidRDefault="00A720C8" w:rsidP="00A720C8">
      <w:r>
        <w:t xml:space="preserve">The pattern of high similarities (bold) in </w:t>
      </w:r>
      <w:r>
        <w:fldChar w:fldCharType="begin"/>
      </w:r>
      <w:r>
        <w:instrText xml:space="preserve"> REF _Ref71443792 \h </w:instrText>
      </w:r>
      <w:r>
        <w:fldChar w:fldCharType="separate"/>
      </w:r>
      <w:r>
        <w:t xml:space="preserve">Table </w:t>
      </w:r>
      <w:r>
        <w:rPr>
          <w:noProof/>
        </w:rPr>
        <w:t>1</w:t>
      </w:r>
      <w:r>
        <w:fldChar w:fldCharType="end"/>
      </w:r>
      <w:r>
        <w:t xml:space="preserve"> clearly shows that the factors are more distinct in the temporal than in the spatial domain because there is typically only one factor with similar time course in both PCAs but there are several factors with similar topographies which is quite representative of typical ERP data </w:t>
      </w:r>
      <w:r>
        <w:fldChar w:fldCharType="begin" w:fldLock="1"/>
      </w:r>
      <w:r>
        <w:instrText>ADDIN CSL_CITATION {"citationItems":[{"id":"ITEM-1","itemData":{"DOI":"10.1111/j.1469-8986.2009.00885.x","abstract":"Principal components analysis (PCA) can facilitate analysis of event-related potential (ERP) components. Geomin, Oblimin, Varimax, Promax, and Infomax (independent components analysis) were compared using a simulated data set. Kappa settings for Oblimin and Promax were also systematically compared. Finally, the rotations were also analyzed in a two-step PCA procedure, including a contrast between spatiotemporal and temporospatial procedures. Promax was found to give the best overall results for temporal PCA, and Infomax was found to give the best overall results for spatial PCA. The current practice of kappa values of 3 or 4 for Promax and 0 for Oblimin was supported. Source analysis was meaningfully improved by temporal Promax PCA over the conventional windowed difference wave approach (from a median 32.9 mm error to 6.7 mm). It was also found that temporospatial PCA produced modestly improved results over spatiotemporal PCA.","author":[{"dropping-particle":"","family":"Dien","given":"Joseph","non-dropping-particle":"","parse-names":false,"suffix":""}],"container-title":"Psychophysiology","id":"ITEM-1","issue":"1","issued":{"date-parts":[["2010"]]},"page":"170-183","title":"Evaluating two-step PCA of ERP data with Geomin, Infomax, Oblimin, Promax, and Varimax rotations","type":"article-journal","volume":"47"},"uris":["http://www.mendeley.com/documents/?uuid=d96b5d20-ef05-4b61-b808-e27f53e5b80b"]}],"mendeley":{"formattedCitation":"(Dien, 2010a)","plainTextFormattedCitation":"(Dien, 2010a)","previouslyFormattedCitation":"(Dien, 2010a)"},"properties":{"noteIndex":0},"schema":"https://github.com/citation-style-language/schema/raw/master/csl-citation.json"}</w:instrText>
      </w:r>
      <w:r>
        <w:fldChar w:fldCharType="separate"/>
      </w:r>
      <w:r w:rsidRPr="00C9253F">
        <w:rPr>
          <w:noProof/>
        </w:rPr>
        <w:t>(Dien, 2010a)</w:t>
      </w:r>
      <w:r>
        <w:fldChar w:fldCharType="end"/>
      </w:r>
      <w:r>
        <w:t xml:space="preserve">. We note that similarity measures must always be interpreted in the light of substantive expertise and should not be used in an automatic fashion. As our example will demonstrate, these measures can help to identify matching factors which are similar both in the temporal and spatial </w:t>
      </w:r>
      <w:r w:rsidR="0035651F">
        <w:t>domain,</w:t>
      </w:r>
      <w:r>
        <w:t xml:space="preserve"> but some factors </w:t>
      </w:r>
      <w:r>
        <w:lastRenderedPageBreak/>
        <w:t xml:space="preserve">differ considerably between age groups and would not be matched automatically. Therefore, we strongly recommend that researchers always report the criteria by which they identified or matched factors so that reviewers and readers can judge for themselves if they agree with the interpretations. </w:t>
      </w:r>
    </w:p>
    <w:p w14:paraId="782C98A5" w14:textId="7D36499E" w:rsidR="00A720C8" w:rsidRDefault="00A720C8" w:rsidP="00A720C8">
      <w:r>
        <w:t xml:space="preserve">The easiest factors to match are those factors with similar time course </w:t>
      </w:r>
      <w:r>
        <w:rPr>
          <w:i/>
          <w:iCs/>
        </w:rPr>
        <w:t xml:space="preserve">and </w:t>
      </w:r>
      <w:r>
        <w:t xml:space="preserve">topography between groups, that is, factors without strong latency shifts. The Factors 1 and 2 from both groups seem to match very well with respect to time courses and topography. Considering the topographies and reconstructed ERPs, the mismatch of the topography for standard sounds (Factor 2) can be explained by the fact that Factor 2 seems to be almost absent for standard sounds in children or rather includes parts of the temporal N1c/T-complex </w:t>
      </w:r>
      <w:r>
        <w:fldChar w:fldCharType="begin" w:fldLock="1"/>
      </w:r>
      <w:r>
        <w:instrText>ADDIN CSL_CITATION {"citationItems":[{"id":"ITEM-1","itemData":{"DOI":"10.1111/j.1469-8986.1997.tb02413.x","ISSN":"0048-5772","author":[{"dropping-particle":"","family":"Bruneau","given":"N.","non-dropping-particle":"","parse-names":false,"suffix":""},{"dropping-particle":"","family":"Roux","given":"S.","non-dropping-particle":"","parse-names":false,"suffix":""},{"dropping-particle":"","family":"Guérin","given":"P.","non-dropping-particle":"","parse-names":false,"suffix":""},{"dropping-particle":"","family":"BARTHÉLÉMY","given":"C.","non-dropping-particle":"","parse-names":false,"suffix":""},{"dropping-particle":"","family":"LELORD","given":"G.","non-dropping-particle":"","parse-names":false,"suffix":""}],"container-title":"Psychophysiology","id":"ITEM-1","issue":"1","issued":{"date-parts":[["1997","1"]]},"page":"32-38","title":"Temporal prominence of auditory evoked potentials (N1 wave) in 4-8-year-old children","type":"article-journal","volume":"34"},"uris":["http://www.mendeley.com/documents/?uuid=9cecb44b-6465-411c-b59c-800cc5c41863"]}],"mendeley":{"formattedCitation":"(Bruneau et al., 1997)","plainTextFormattedCitation":"(Bruneau et al., 1997)","previouslyFormattedCitation":"(Bruneau et al., 1997)"},"properties":{"noteIndex":0},"schema":"https://github.com/citation-style-language/schema/raw/master/csl-citation.json"}</w:instrText>
      </w:r>
      <w:r>
        <w:fldChar w:fldCharType="separate"/>
      </w:r>
      <w:r w:rsidRPr="000B748C">
        <w:rPr>
          <w:noProof/>
        </w:rPr>
        <w:t>(Bruneau et al., 1997)</w:t>
      </w:r>
      <w:r>
        <w:fldChar w:fldCharType="end"/>
      </w:r>
      <w:r>
        <w:t>. In both groups, Factor 1 occurs very late in the epoch with peak latencies around 0.730</w:t>
      </w:r>
      <w:r w:rsidR="00DB25F4">
        <w:t> </w:t>
      </w:r>
      <w:r>
        <w:t xml:space="preserve">s. The topography is characterized by a </w:t>
      </w:r>
      <w:proofErr w:type="spellStart"/>
      <w:r>
        <w:t>fronto</w:t>
      </w:r>
      <w:proofErr w:type="spellEnd"/>
      <w:r>
        <w:t>-central negativity. Higher amplitudes were observed in children compared to adults and for novel sounds compared to standard sounds. Based on these characteristics, we labeled Factor 1 in both groups</w:t>
      </w:r>
      <w:r>
        <w:rPr>
          <w:i/>
          <w:iCs/>
        </w:rPr>
        <w:t xml:space="preserve"> late discriminative negativity (LDN). </w:t>
      </w:r>
      <w:r>
        <w:t>In both groups, Factor 2 occurred with peak latencies between 0.170 and 0.180 s</w:t>
      </w:r>
      <w:r w:rsidR="002C7AD7">
        <w:t xml:space="preserve"> </w:t>
      </w:r>
      <w:r>
        <w:t xml:space="preserve">and was characterized by a central positivity and higher amplitudes for novel sounds compared to standard sounds. We labeled Factor 2 as </w:t>
      </w:r>
      <w:r>
        <w:rPr>
          <w:i/>
          <w:iCs/>
        </w:rPr>
        <w:t xml:space="preserve">P2 </w:t>
      </w:r>
      <w:r>
        <w:t>in both groups.</w:t>
      </w:r>
    </w:p>
    <w:p w14:paraId="7A1707F5" w14:textId="77777777" w:rsidR="00AA5E6F" w:rsidRDefault="00A720C8" w:rsidP="00D102B9">
      <w:r>
        <w:t xml:space="preserve">For these two factors, which were of substantive interest in the original study, the matching was possible and relatively clear. However, we were also interested in differences between both groups in the P300 time range. Matching of factors in this time range is more challenging because it is known that the respective components occur later in children compared to adults </w:t>
      </w:r>
      <w:r>
        <w:fldChar w:fldCharType="begin" w:fldLock="1"/>
      </w:r>
      <w:r>
        <w:instrText>ADDIN CSL_CITATION {"citationItems":[{"id":"ITEM-1","itemData":{"DOI":"10.1111/psyp.13346","ISSN":"0048-5772","author":[{"dropping-particle":"","family":"Riggins","given":"Tracy","non-dropping-particle":"","parse-names":false,"suffix":""},{"dropping-particle":"","family":"Scott","given":"Lisa S.","non-dropping-particle":"","parse-names":false,"suffix":""}],"container-title":"Psychophysiology","id":"ITEM-1","issue":"7","issued":{"date-parts":[["2020","7","22"]]},"title":"P300 development from infancy to adolescence","type":"article-journal","volume":"57"},"uris":["http://www.mendeley.com/documents/?uuid=a999f483-63a2-408d-8de4-403b191b807f"]}],"mendeley":{"formattedCitation":"(Riggins &amp; Scott, 2020)","plainTextFormattedCitation":"(Riggins &amp; Scott, 2020)","previouslyFormattedCitation":"(Riggins &amp; Scott, 2020)"},"properties":{"noteIndex":0},"schema":"https://github.com/citation-style-language/schema/raw/master/csl-citation.json"}</w:instrText>
      </w:r>
      <w:r>
        <w:fldChar w:fldCharType="separate"/>
      </w:r>
      <w:r w:rsidRPr="00DD160B">
        <w:rPr>
          <w:noProof/>
        </w:rPr>
        <w:t>(Riggins &amp; Scott, 2020)</w:t>
      </w:r>
      <w:r>
        <w:fldChar w:fldCharType="end"/>
      </w:r>
      <w:r>
        <w:t xml:space="preserve">. Among Factors 3 to 6 in the adult PCA, the Factors 5 and 3 seem to represent early and late P3a, respectively, considering their latency between 0.2 and 0.3 s and centrally and </w:t>
      </w:r>
      <w:proofErr w:type="spellStart"/>
      <w:r>
        <w:t>fronto</w:t>
      </w:r>
      <w:proofErr w:type="spellEnd"/>
      <w:r>
        <w:t xml:space="preserve">-centrally positive topography for novel sounds. According to the time course similarity, Factor 5 (early P3a, peak latency: 0.222 s) should be </w:t>
      </w:r>
      <w:r>
        <w:lastRenderedPageBreak/>
        <w:t xml:space="preserve">matched with child Factor 3 (0.240 s). This is a clear mismatch, considering that child Factor 3 is characterized by a large </w:t>
      </w:r>
      <w:proofErr w:type="spellStart"/>
      <w:r>
        <w:t>fronto</w:t>
      </w:r>
      <w:proofErr w:type="spellEnd"/>
      <w:r>
        <w:t xml:space="preserve">-central negativity for standard sounds and almost no response to novels. The topographic similarities (standards: .52; novels: .26) underline this interpretation. Due to the latency shift, the time course similarity cannot be prioritized here. Instead, considering topographic similarity (especially for novels: .87), the child Factor 6 should be matched and labeled the child early P3a. Similarly, the adult Factor 3 (late P3a, 0.298 s) would be mismatched with the child early P3a (factor 6, 0.296 s) based on time courses alone. The next-best topographic match (novel similarity: .92) would be child Factors 2 and 6. Given that child Factor 2 (0.172 s) is in a clearly different time range and seems to be too early for a P3 component, and child Factor 6 was already matched as early P3a, we conclude that adult Factor 3 matches reasonably well with child Factor 5 (novel similarity: .87) and labeled it late P3a based on the </w:t>
      </w:r>
      <w:proofErr w:type="spellStart"/>
      <w:r>
        <w:t>fronto</w:t>
      </w:r>
      <w:proofErr w:type="spellEnd"/>
      <w:r>
        <w:t xml:space="preserve">-central and positive topography for novels and a higher latency compared to the early P3a factors. The allocation of the factors to the early and late P3a is also in line with the typical central distribution of the early P3a and the often observed more anterior distribution of the late P3a </w:t>
      </w:r>
      <w:r>
        <w:fldChar w:fldCharType="begin" w:fldLock="1"/>
      </w:r>
      <w:r>
        <w:instrText>ADDIN CSL_CITATION {"citationItems":[{"id":"ITEM-1","itemData":{"DOI":"10.1159/000013877","ISSN":"1420-3030","author":[{"dropping-particle":"","family":"Escera","given":"Carles","non-dropping-particle":"","parse-names":false,"suffix":""},{"dropping-particle":"","family":"Alho","given":"Kimmo","non-dropping-particle":"","parse-names":false,"suffix":""},{"dropping-particle":"","family":"Schröger","given":"Erich","non-dropping-particle":"","parse-names":false,"suffix":""},{"dropping-particle":"","family":"Winkler","given":"István Winkler","non-dropping-particle":"","parse-names":false,"suffix":""}],"container-title":"Audiology and Neurotology","id":"ITEM-1","issue":"3-4","issued":{"date-parts":[["2000"]]},"page":"151-166","title":"Involuntary Attention and Distractibility as Evaluated with Event-Related Brain Potentials","type":"article-journal","volume":"5"},"uris":["http://www.mendeley.com/documents/?uuid=243acee1-d39a-437b-ba66-06035f9096e2"]}],"mendeley":{"formattedCitation":"(Escera et al., 2000)","plainTextFormattedCitation":"(Escera et al., 2000)","previouslyFormattedCitation":"(Escera et al., 2000)"},"properties":{"noteIndex":0},"schema":"https://github.com/citation-style-language/schema/raw/master/csl-citation.json"}</w:instrText>
      </w:r>
      <w:r>
        <w:fldChar w:fldCharType="separate"/>
      </w:r>
      <w:r w:rsidRPr="00A931DF">
        <w:rPr>
          <w:noProof/>
        </w:rPr>
        <w:t>(Escera et al., 2000)</w:t>
      </w:r>
      <w:r>
        <w:fldChar w:fldCharType="end"/>
      </w:r>
      <w:r>
        <w:t xml:space="preserve">. </w:t>
      </w:r>
    </w:p>
    <w:p w14:paraId="7370D2DB" w14:textId="6323C879" w:rsidR="00AA5E6F" w:rsidRDefault="00AA5E6F" w:rsidP="00D102B9">
      <w:r>
        <w:t>To sum up, we identified and matched the following factors among the major factors:</w:t>
      </w:r>
      <w:r>
        <w:t xml:space="preserve"> P2 (adult Factor 2, child Factor 2), the early P3a (adult Factor 5, child Factor 6), the late P3a (adult Factor 3, child Factor 5), and the LDN (adult Factor 1, child Factor 1).</w:t>
      </w:r>
    </w:p>
    <w:p w14:paraId="55D583C2" w14:textId="1D39C296" w:rsidR="00EE7318" w:rsidRDefault="00A720C8" w:rsidP="006B3B1D">
      <w:r>
        <w:t xml:space="preserve">Overall, our example dataset demonstrates that substantive reasoning is mandatory and cannot be replaced by automatic similarity matching. Nevertheless, such similarity measures can be very helpful – especially given the large number of factors in ERP research – because they offer an objective quantification as opposed to purely subjective judgements of similarity. We recommend </w:t>
      </w:r>
      <w:r w:rsidR="00AA5E6F">
        <w:t>complementing</w:t>
      </w:r>
      <w:r>
        <w:t xml:space="preserve"> expert visual inspection with objective similarity measures to guide substantive interpretations. </w:t>
      </w:r>
    </w:p>
    <w:sectPr w:rsidR="00EE7318" w:rsidSect="005504A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altName w:val="﷽﷽﷽﷽﷽﷽﷽﷽ard"/>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D9"/>
    <w:rsid w:val="00156A97"/>
    <w:rsid w:val="002C7AD7"/>
    <w:rsid w:val="0035651F"/>
    <w:rsid w:val="003F319F"/>
    <w:rsid w:val="005504A8"/>
    <w:rsid w:val="00582983"/>
    <w:rsid w:val="006B3B1D"/>
    <w:rsid w:val="006D3243"/>
    <w:rsid w:val="006E51EF"/>
    <w:rsid w:val="006F6B15"/>
    <w:rsid w:val="007071C5"/>
    <w:rsid w:val="007A44B0"/>
    <w:rsid w:val="00803ED9"/>
    <w:rsid w:val="00844A28"/>
    <w:rsid w:val="008932FE"/>
    <w:rsid w:val="00A720C8"/>
    <w:rsid w:val="00AA5E6F"/>
    <w:rsid w:val="00B451D6"/>
    <w:rsid w:val="00B70448"/>
    <w:rsid w:val="00B83B8F"/>
    <w:rsid w:val="00C6087C"/>
    <w:rsid w:val="00D102B9"/>
    <w:rsid w:val="00D766B0"/>
    <w:rsid w:val="00DB25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734DAE5"/>
  <w15:chartTrackingRefBased/>
  <w15:docId w15:val="{6B2CE0C9-B681-374E-9934-F0B7A340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20C8"/>
    <w:pPr>
      <w:spacing w:before="120" w:after="120" w:line="480" w:lineRule="auto"/>
      <w:ind w:firstLine="709"/>
      <w:jc w:val="both"/>
    </w:pPr>
    <w:rPr>
      <w:rFonts w:ascii="Times New Roman" w:hAnsi="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A720C8"/>
    <w:pPr>
      <w:keepNext/>
      <w:spacing w:before="0" w:after="200" w:line="240" w:lineRule="auto"/>
      <w:ind w:firstLine="0"/>
    </w:pPr>
    <w:rPr>
      <w:b/>
      <w:iCs/>
      <w:color w:val="000000" w:themeColor="text1"/>
      <w:szCs w:val="18"/>
    </w:rPr>
  </w:style>
  <w:style w:type="paragraph" w:customStyle="1" w:styleId="Inline-Code">
    <w:name w:val="Inline-Code"/>
    <w:basedOn w:val="Standard"/>
    <w:qFormat/>
    <w:rsid w:val="00A720C8"/>
    <w:pPr>
      <w:pBdr>
        <w:top w:val="single" w:sz="4" w:space="1" w:color="auto"/>
        <w:left w:val="single" w:sz="4" w:space="4" w:color="auto"/>
        <w:bottom w:val="single" w:sz="4" w:space="1" w:color="auto"/>
        <w:right w:val="single" w:sz="4" w:space="4" w:color="auto"/>
      </w:pBdr>
      <w:shd w:val="pct10" w:color="auto" w:fill="auto"/>
      <w:spacing w:before="0" w:after="0" w:line="240" w:lineRule="auto"/>
      <w:ind w:firstLine="0"/>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1922</Words>
  <Characters>12114</Characters>
  <Application>Microsoft Office Word</Application>
  <DocSecurity>0</DocSecurity>
  <Lines>100</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Scharf</dc:creator>
  <cp:keywords/>
  <dc:description/>
  <cp:lastModifiedBy>Florian Scharf</cp:lastModifiedBy>
  <cp:revision>19</cp:revision>
  <dcterms:created xsi:type="dcterms:W3CDTF">2021-09-01T06:13:00Z</dcterms:created>
  <dcterms:modified xsi:type="dcterms:W3CDTF">2021-09-01T06:25:00Z</dcterms:modified>
</cp:coreProperties>
</file>