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11:39:08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211 - 301: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Lines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0"/>
          <w:numId w:val="1035"/>
        </w:numPr>
        <w:pStyle w:val="Compact"/>
      </w:pPr>
      <w:r>
        <w:t xml:space="preserve">FINAL_2021.09.18_FLAKEYS_AnyCorals.R</w:t>
      </w:r>
    </w:p>
    <w:p>
      <w:pPr>
        <w:numPr>
          <w:ilvl w:val="1"/>
          <w:numId w:val="1048"/>
        </w:numPr>
        <w:pStyle w:val="Compact"/>
      </w:pPr>
      <w:r>
        <w:t xml:space="preserve">Objective: .</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0"/>
          <w:numId w:val="1035"/>
        </w:numPr>
        <w:pStyle w:val="Compact"/>
      </w:pPr>
      <w:r>
        <w:t xml:space="preserve">FINAL_2021.09.18_FLKeysRegion_Group1.R</w:t>
      </w:r>
    </w:p>
    <w:p>
      <w:pPr>
        <w:numPr>
          <w:ilvl w:val="1"/>
          <w:numId w:val="1051"/>
        </w:numPr>
        <w:pStyle w:val="Compact"/>
      </w:pPr>
      <w:r>
        <w:t xml:space="preserve">Objective: .</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0"/>
          <w:numId w:val="1035"/>
        </w:numPr>
        <w:pStyle w:val="Compact"/>
      </w:pPr>
      <w:r>
        <w:t xml:space="preserve">FINAL_2021.09.18_Keys Region_Genus.R</w:t>
      </w:r>
    </w:p>
    <w:p>
      <w:pPr>
        <w:numPr>
          <w:ilvl w:val="1"/>
          <w:numId w:val="1054"/>
        </w:numPr>
        <w:pStyle w:val="Compact"/>
      </w:pPr>
      <w:r>
        <w:t xml:space="preserve">Objective: .</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0"/>
          <w:numId w:val="1035"/>
        </w:numPr>
        <w:pStyle w:val="Compact"/>
      </w:pPr>
      <w:r>
        <w:t xml:space="preserve">FINAL_2021.09.18_SE Region_AnyCorals.R</w:t>
      </w:r>
    </w:p>
    <w:p>
      <w:pPr>
        <w:numPr>
          <w:ilvl w:val="1"/>
          <w:numId w:val="1057"/>
        </w:numPr>
        <w:pStyle w:val="Compact"/>
      </w:pPr>
      <w:r>
        <w:t xml:space="preserve">Objective: .</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0"/>
          <w:numId w:val="1035"/>
        </w:numPr>
        <w:pStyle w:val="Compact"/>
      </w:pPr>
      <w:r>
        <w:t xml:space="preserve">FINAL_2021.09.18_SE_Genus.R</w:t>
      </w:r>
    </w:p>
    <w:p>
      <w:pPr>
        <w:numPr>
          <w:ilvl w:val="1"/>
          <w:numId w:val="1060"/>
        </w:numPr>
        <w:pStyle w:val="Compact"/>
      </w:pPr>
      <w:r>
        <w:t xml:space="preserve">Objective: .</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Could not locate the input file Percent Cover - FLA SE-2021-Jul-26.csv</w:t>
      </w:r>
    </w:p>
    <w:p>
      <w:pPr>
        <w:numPr>
          <w:ilvl w:val="0"/>
          <w:numId w:val="1035"/>
        </w:numPr>
        <w:pStyle w:val="Compact"/>
      </w:pPr>
      <w:r>
        <w:t xml:space="preserve">FINAL_2021.09.18_SERegion_Group1.R</w:t>
      </w:r>
    </w:p>
    <w:p>
      <w:pPr>
        <w:numPr>
          <w:ilvl w:val="1"/>
          <w:numId w:val="1063"/>
        </w:numPr>
        <w:pStyle w:val="Compact"/>
      </w:pPr>
      <w:r>
        <w:t xml:space="preserve">Objective: .</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There also does not appear to be a minimum year requirement for tests in percent cover evaluating all genera, unlike trends tests for other habitats (i.e., water column).</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2021-10-15T15:39:11Z</dcterms:created>
  <dcterms:modified xsi:type="dcterms:W3CDTF">2021-10-15T15:39:11Z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11:39:08</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