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13:51:32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61"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60" w:name="submered-aquatic-vegetation"/>
    <w:p>
      <w:pPr>
        <w:pStyle w:val="Heading2"/>
      </w:pPr>
      <w:r>
        <w:rPr>
          <w:rStyle w:val="SectionNumber"/>
        </w:rPr>
        <w:t xml:space="preserve">2.4</w:t>
      </w:r>
      <w:r>
        <w:tab/>
      </w:r>
      <w:r>
        <w:t xml:space="preserve">Submered aquatic vegetation</w:t>
      </w:r>
    </w:p>
    <w:bookmarkStart w:id="58"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57">
              <w:r>
                <w:rPr>
                  <w:rStyle w:val="Hyperlink"/>
                </w:rPr>
                <w:t xml:space="preserve">link</w:t>
              </w:r>
            </w:hyperlink>
          </w:p>
        </w:tc>
      </w:tr>
    </w:tbl>
    <w:bookmarkEnd w:id="58"/>
    <w:bookmarkStart w:id="59"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59"/>
    <w:bookmarkEnd w:id="60"/>
    <w:bookmarkEnd w:id="61"/>
    <w:bookmarkStart w:id="63"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62">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6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68"/>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62"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38" Target="https://github.com/FloridaSEACAR/SEACAR/blob/master/2021.09.19_CoralNektonRichness_FINAL.R" TargetMode="External" /><Relationship Type="http://schemas.openxmlformats.org/officeDocument/2006/relationships/hyperlink" Id="rId52"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56" Target="https://github.com/FloridaSEACAR/SEACAR/blob/master/FINAL%20Percent%20Cover%20by%20Secchi.R" TargetMode="External" /><Relationship Type="http://schemas.openxmlformats.org/officeDocument/2006/relationships/hyperlink" Id="rId57" Target="https://github.com/FloridaSEACAR/SEACAR/blob/master/FINAL%20Percent%20Cover%20by%20Turbidity.R" TargetMode="External" /><Relationship Type="http://schemas.openxmlformats.org/officeDocument/2006/relationships/hyperlink" Id="rId39" Target="https://github.com/FloridaSEACAR/SEACAR/blob/master/FINAL_2021.09.18_DryTort%20Region_Any%20Corals.R" TargetMode="External" /><Relationship Type="http://schemas.openxmlformats.org/officeDocument/2006/relationships/hyperlink" Id="rId40" Target="https://github.com/FloridaSEACAR/SEACAR/blob/master/FINAL_2021.09.18_DryTortugas%20Region_Genus.R" TargetMode="External" /><Relationship Type="http://schemas.openxmlformats.org/officeDocument/2006/relationships/hyperlink" Id="rId41" Target="https://github.com/FloridaSEACAR/SEACAR/blob/master/FINAL_2021.09.18_DryTortugas%20Region_Group1.R" TargetMode="External" /><Relationship Type="http://schemas.openxmlformats.org/officeDocument/2006/relationships/hyperlink" Id="rId42" Target="https://github.com/FloridaSEACAR/SEACAR/blob/master/FINAL_2021.09.18_FLAKEYS_AnyCorals.R" TargetMode="External" /><Relationship Type="http://schemas.openxmlformats.org/officeDocument/2006/relationships/hyperlink" Id="rId43" Target="https://github.com/FloridaSEACAR/SEACAR/blob/master/FINAL_2021.09.18_FLKeysRegion_Group1.R" TargetMode="External" /><Relationship Type="http://schemas.openxmlformats.org/officeDocument/2006/relationships/hyperlink" Id="rId44" Target="https://github.com/FloridaSEACAR/SEACAR/blob/master/FINAL_2021.09.18_Keys%20Region_Genus.R" TargetMode="External" /><Relationship Type="http://schemas.openxmlformats.org/officeDocument/2006/relationships/hyperlink" Id="rId45" Target="https://github.com/FloridaSEACAR/SEACAR/blob/master/FINAL_2021.09.18_SE%20Region_AnyCorals.R" TargetMode="External" /><Relationship Type="http://schemas.openxmlformats.org/officeDocument/2006/relationships/hyperlink" Id="rId47" Target="https://github.com/FloridaSEACAR/SEACAR/blob/master/FINAL_2021.09.18_SERegion_Group1.R" TargetMode="External" /><Relationship Type="http://schemas.openxmlformats.org/officeDocument/2006/relationships/hyperlink" Id="rId46" Target="https://github.com/FloridaSEACAR/SEACAR/blob/master/FINAL_2021.09.18_SE_Genus.R" TargetMode="External" /><Relationship Type="http://schemas.openxmlformats.org/officeDocument/2006/relationships/hyperlink" Id="rId51"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2021-10-15T17:51:37Z</dcterms:created>
  <dcterms:modified xsi:type="dcterms:W3CDTF">2021-10-15T17:51:37Z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13:51:32</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