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.</w:t>
      </w:r>
    </w:p>
    <w:p>
      <w:pPr>
        <w:pStyle w:val="BodyText"/>
      </w:pPr>
      <w:r>
        <w:t xml:space="preserve">This script is based off of code originally written by Katie May Laumann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 Parameters but Hecatres-2021-Jul-26.csv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data/All Parameters but Hecatres-2021-Jul-26.csv</w:t>
      </w:r>
    </w:p>
    <w:bookmarkEnd w:id="25"/>
    <w:bookmarkStart w:id="26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Removes data that contains NA values in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Excludes data from program 5015 and 651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 and where percent cover is 0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Makes month and year numeric values</w:t>
      </w:r>
    </w:p>
    <w:p>
      <w:pPr>
        <w:numPr>
          <w:ilvl w:val="0"/>
          <w:numId w:val="1001"/>
        </w:numPr>
        <w:pStyle w:val="Compact"/>
      </w:pPr>
      <w:r>
        <w:t xml:space="preserve">Makes a combined year+month column where all months have 2 digits.</w:t>
      </w:r>
    </w:p>
    <w:p>
      <w:pPr>
        <w:numPr>
          <w:ilvl w:val="0"/>
          <w:numId w:val="1001"/>
        </w:numPr>
        <w:pStyle w:val="Compact"/>
      </w:pPr>
      <w:r>
        <w:t xml:space="preserve">Summarize data by managed area and remove managed areas with less than 5 years</w:t>
      </w:r>
    </w:p>
    <w:p>
      <w:pPr>
        <w:numPr>
          <w:ilvl w:val="0"/>
          <w:numId w:val="1001"/>
        </w:numPr>
        <w:pStyle w:val="Compact"/>
      </w:pPr>
      <w:r>
        <w:t xml:space="preserve">Include only data with more than 5 years</w:t>
      </w:r>
    </w:p>
    <w:p>
      <w:pPr>
        <w:pStyle w:val="SourceCode"/>
      </w:pP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Changes column name to perccov for ease moving forward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#Changes "ManagedArea" column name to "ManagedAreaName" for consistency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"ManagedAreaName"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perccov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CommentTok"/>
        </w:rPr>
        <w:t xml:space="preserve"># Remove rows where perccov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6"/>
    <w:bookmarkStart w:id="28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2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2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2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2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Coastal Wetlands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8"/>
    <w:bookmarkStart w:id="51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29">
        <w:r>
          <w:rPr>
            <w:rStyle w:val="Hyperlink"/>
          </w:rPr>
          <w:t xml:space="preserve">Coastal Wetlands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7" Target="https://github.com/FloridaSEACAR/SEACAR_Trend_Analyses/tree/main/Coastal_Wetlands/output" TargetMode="External" /><Relationship Type="http://schemas.openxmlformats.org/officeDocument/2006/relationships/hyperlink" Id="rId29" Target="https://github.com/FloridaSEACAR/SEACAR_Trend_Analyses/tree/main/Coastal_Wetlands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7" Target="https://github.com/FloridaSEACAR/SEACAR_Trend_Analyses/tree/main/Coastal_Wetlands/output" TargetMode="External" /><Relationship Type="http://schemas.openxmlformats.org/officeDocument/2006/relationships/hyperlink" Id="rId29" Target="https://github.com/FloridaSEACAR/SEACAR_Trend_Analyses/tree/main/Coastal_Wetlands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2023-05-08T20:35:23Z</dcterms:created>
  <dcterms:modified xsi:type="dcterms:W3CDTF">2023-05-08T20:35:23Z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