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07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All_CW_Parameters-2023-Jun-05.txt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All_CW_Parameters-2023-Jun-05.txt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</w:t>
      </w:r>
    </w:p>
    <w:p>
      <w:pPr>
        <w:numPr>
          <w:ilvl w:val="0"/>
          <w:numId w:val="1001"/>
        </w:numPr>
        <w:pStyle w:val="Compact"/>
      </w:pPr>
      <w:r>
        <w:t xml:space="preserve">Only keep data rows that are</w:t>
      </w:r>
      <w:r>
        <w:t xml:space="preserve"> </w:t>
      </w:r>
      <w:r>
        <w:rPr>
          <w:rStyle w:val="VerbatimChar"/>
        </w:rPr>
        <w:t xml:space="preserve">Marsh</w:t>
      </w:r>
      <w:r>
        <w:t xml:space="preserve">,</w:t>
      </w:r>
      <w:r>
        <w:t xml:space="preserve"> </w:t>
      </w:r>
      <w:r>
        <w:rPr>
          <w:rStyle w:val="VerbatimChar"/>
        </w:rPr>
        <w:t xml:space="preserve">Marsh succulents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Mangroves and associate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interested in Percent Cover measurements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Make species group name uniform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 Succulents"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"Marsh succulents"</w:t>
      </w:r>
      <w:r>
        <w:br/>
      </w:r>
      <w:r>
        <w:rPr>
          <w:rStyle w:val="CommentTok"/>
        </w:rPr>
        <w:t xml:space="preserve"># Only keep data rows that are Marsh, Marsh succulents, and Mangroves and assoc.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 succulents"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"Mangroves and associate"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"SpeciesGroup1"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"SpeciesGroup"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group_colors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"Marsh"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"Marsh succulents"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"Mangroves and associate"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group_shapes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"Marsh"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"Marsh succulents"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"Mangroves and associate"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group_colors_plot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SpeciesGroup)]</w:t>
      </w:r>
      <w:r>
        <w:br/>
      </w:r>
      <w:r>
        <w:rPr>
          <w:rStyle w:val="NormalTok"/>
        </w:rPr>
        <w:t xml:space="preserve">      group_shapes_plot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2023-06-07T16:56:02Z</dcterms:created>
  <dcterms:modified xsi:type="dcterms:W3CDTF">2023-06-07T16:56:02Z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07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