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28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3"/>
    <w:bookmarkStart w:id="25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4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5"/>
    <w:bookmarkStart w:id="27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Click this text to open Git directory with output files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7"/>
    <w:bookmarkStart w:id="4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Add the linear trend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colorlist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"#004d68"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"#006481"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"#0094b0"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"#00aec6"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"#00e4ee"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"#00ffff"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Species per 100 square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</w:t>
      </w:r>
      <w:r>
        <w:br/>
      </w:r>
      <w:r>
        <w:rPr>
          <w:rStyle w:val="NormalTok"/>
        </w:rPr>
        <w:t xml:space="preserve">                                                t_min,</w:t>
      </w:r>
      <w:r>
        <w:br/>
      </w:r>
      <w:r>
        <w:rPr>
          <w:rStyle w:val="NormalTok"/>
        </w:rPr>
        <w:t xml:space="preserve">                                               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2022-06-28T19:00:22Z</dcterms:created>
  <dcterms:modified xsi:type="dcterms:W3CDTF">2022-06-28T19:00:22Z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28 June, 2022</vt:lpwstr>
  </property>
  <property fmtid="{D5CDD505-2E9C-101B-9397-08002B2CF9AE}" pid="3" name="output">
    <vt:lpwstr/>
  </property>
</Properties>
</file>