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30</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 </w:t>
      </w:r>
      <w:r>
        <w:rPr>
          <w:rStyle w:val="AttributeTok"/>
        </w:rPr>
        <w:t xml:space="preserve">y=</w:t>
      </w:r>
      <w:r>
        <w:rPr>
          <w:rStyle w:val="NormalTok"/>
        </w:rPr>
        <w:t xml:space="preserve">SennIntercept)</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Salinity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Salinity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Salinity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61"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Salinity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Salinity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Salinity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Salinity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3" name="Picture"/>
            <a:graphic>
              <a:graphicData uri="http://schemas.openxmlformats.org/drawingml/2006/picture">
                <pic:pic>
                  <pic:nvPicPr>
                    <pic:cNvPr descr="C:\Users\jepanzik\Box\R%20Projects\SEACAR_Panzik\WQ_Continuous\reports\by_parameter\WC_Continuous_Salinity_SE_files/figure-html/Scatter_Excluded-5.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6" name="Picture"/>
            <a:graphic>
              <a:graphicData uri="http://schemas.openxmlformats.org/drawingml/2006/picture">
                <pic:pic>
                  <pic:nvPicPr>
                    <pic:cNvPr descr="C:\Users\jepanzik\Box\R%20Projects\SEACAR_Panzik\WQ_Continuous\reports\by_parameter\WC_Continuous_Salinity_SE_files/figure-html/Scatter_Excluded-6.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9" name="Picture"/>
            <a:graphic>
              <a:graphicData uri="http://schemas.openxmlformats.org/drawingml/2006/picture">
                <pic:pic>
                  <pic:nvPicPr>
                    <pic:cNvPr descr="C:\Users\jepanzik\Box\R%20Projects\SEACAR_Panzik\WQ_Continuous\reports\by_parameter\WC_Continuous_Salinity_SE_files/figure-html/Scatter_Excluded-7.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bookmarkEnd w:id="61"/>
    <w:bookmarkStart w:id="62"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EarliestYear, LatestYear,</w:t>
      </w:r>
      <w:r>
        <w:br/>
      </w:r>
      <w:r>
        <w:rPr>
          <w:rStyle w:val="NormalTok"/>
        </w:rPr>
        <w:t xml:space="preserve">                Median, Independent, tau, p, SennSlope, SennIntercept)</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62"/>
    <w:bookmarkStart w:id="63"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Salinity</dc:title>
  <dc:creator/>
  <cp:keywords/>
  <dcterms:created xsi:type="dcterms:W3CDTF">2022-06-30T18:12:36Z</dcterms:created>
  <dcterms:modified xsi:type="dcterms:W3CDTF">2022-06-30T18:12:36Z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30 June, 2022</vt:lpwstr>
  </property>
  <property fmtid="{D5CDD505-2E9C-101B-9397-08002B2CF9AE}" pid="3" name="output">
    <vt:lpwstr/>
  </property>
</Properties>
</file>