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37.png" ContentType="image/png"/>
  <Override PartName="/word/media/rId38.png" ContentType="image/png"/>
  <Override PartName="/word/media/rId39.png" ContentType="image/png"/>
  <Override PartName="/word/media/rId3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03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953, Number Passed Filter: 953</w:t>
      </w:r>
      <w:r>
        <w:br/>
      </w:r>
      <w:r>
        <w:rPr>
          <w:rStyle w:val="VerbatimChar"/>
        </w:rPr>
        <w:t xml:space="preserve">## I Codes: 0 (0%)</w:t>
      </w:r>
      <w:r>
        <w:br/>
      </w:r>
      <w:r>
        <w:rPr>
          <w:rStyle w:val="VerbatimChar"/>
        </w:rPr>
        <w:t xml:space="preserve">## Q Codes: 0 (0%)</w:t>
      </w:r>
      <w:r>
        <w:br/>
      </w:r>
      <w:r>
        <w:rPr>
          <w:rStyle w:val="VerbatimChar"/>
        </w:rPr>
        <w:t xml:space="preserve">## U Codes: 919 (96.432319%)</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2"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bookmarkEnd w:id="42"/>
    <w:bookmarkStart w:id="46"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s_ManagedArea-1.png" id="0" name="Picture"/>
                    <pic:cNvPicPr>
                      <a:picLocks noChangeArrowheads="1" noChangeAspect="1"/>
                    </pic:cNvPicPr>
                  </pic:nvPicPr>
                  <pic:blipFill>
                    <a:blip r:embed="rId4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s_ManagedArea-2.png" id="0"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s_ManagedArea-3.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bookmarkEnd w:id="46"/>
    <w:bookmarkStart w:id="56"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2.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3.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4.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5.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6.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7.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8.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9.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Chlorophyll a uncorrected for pheophytin</dc:title>
  <dc:creator/>
  <cp:keywords/>
  <dcterms:created xsi:type="dcterms:W3CDTF">2023-06-03T23:18:02Z</dcterms:created>
  <dcterms:modified xsi:type="dcterms:W3CDTF">2023-06-03T23:18:02Z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03 June, 2023</vt:lpwstr>
  </property>
  <property fmtid="{D5CDD505-2E9C-101B-9397-08002B2CF9AE}" pid="3" name="output">
    <vt:lpwstr/>
  </property>
  <property fmtid="{D5CDD505-2E9C-101B-9397-08002B2CF9AE}" pid="4" name="urlcolor">
    <vt:lpwstr>blue</vt:lpwstr>
  </property>
</Properties>
</file>