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All</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16</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1379, Number Passed Filter: 1379</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r>
        <w:br/>
      </w: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62"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0.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1.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2.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3.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4.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5.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All Bottom Chlorophyll a uncorrected for pheophytin</dc:title>
  <dc:creator/>
  <cp:keywords/>
  <dcterms:created xsi:type="dcterms:W3CDTF">2023-07-16T13:58:55Z</dcterms:created>
  <dcterms:modified xsi:type="dcterms:W3CDTF">2023-07-16T13:58:55Z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16 July, 2023</vt:lpwstr>
  </property>
  <property fmtid="{D5CDD505-2E9C-101B-9397-08002B2CF9AE}" pid="3" name="output">
    <vt:lpwstr/>
  </property>
  <property fmtid="{D5CDD505-2E9C-101B-9397-08002B2CF9AE}" pid="4" name="urlcolor">
    <vt:lpwstr>blue</vt:lpwstr>
  </property>
</Properties>
</file>