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rId32.png" ContentType="image/png"/>
  <Override PartName="/word/media/rId38.png" ContentType="image/png"/>
  <Override PartName="/word/media/rId47.png" ContentType="image/png"/>
  <Override PartName="/word/media/rId4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Lab</w:t>
      </w:r>
      <w:r>
        <w:t xml:space="preserve"> </w:t>
      </w:r>
      <w:r>
        <w:t xml:space="preserve">Surface</w:t>
      </w:r>
      <w:r>
        <w:t xml:space="preserve"> </w:t>
      </w:r>
      <w:r>
        <w:t xml:space="preserve">Salinity</w:t>
      </w:r>
    </w:p>
    <w:p>
      <w:pPr>
        <w:pStyle w:val="Date"/>
      </w:pPr>
      <w:r>
        <w:t xml:space="preserve">Last</w:t>
      </w:r>
      <w:r>
        <w:t xml:space="preserve"> </w:t>
      </w:r>
      <w:r>
        <w:t xml:space="preserve">compiled</w:t>
      </w:r>
      <w:r>
        <w:t xml:space="preserve"> </w:t>
      </w:r>
      <w:r>
        <w:t xml:space="preserve">on</w:t>
      </w:r>
      <w:r>
        <w:t xml:space="preserve"> </w:t>
      </w:r>
      <w:r>
        <w:t xml:space="preserve">19</w:t>
      </w:r>
      <w:r>
        <w:t xml:space="preserve"> </w:t>
      </w:r>
      <w:r>
        <w:t xml:space="preserve">October,</w:t>
      </w:r>
      <w:r>
        <w:t xml:space="preserve"> </w:t>
      </w:r>
      <w:r>
        <w:t xml:space="preserve">2022</w:t>
      </w:r>
    </w:p>
    <w:bookmarkStart w:id="22"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2"/>
    <w:bookmarkStart w:id="23" w:name="libraries"/>
    <w:p>
      <w:pPr>
        <w:pStyle w:val="Heading1"/>
      </w:pPr>
      <w:r>
        <w:t xml:space="preserve">Libraries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OtherTok"/>
        </w:rPr>
        <w:t xml:space="preserve">=</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3"/>
    <w:bookmarkStart w:id="24" w:name="file-import"/>
    <w:p>
      <w:pPr>
        <w:pStyle w:val="Heading1"/>
      </w:pPr>
      <w:r>
        <w:t xml:space="preserve">File Import</w:t>
      </w:r>
    </w:p>
    <w:p>
      <w:pPr>
        <w:pStyle w:val="FirstParagraph"/>
      </w:pPr>
      <w:r>
        <w:t xml:space="preserve">Imports file that is determined in the WC_Discrete_parameter_ReportCompile.R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units of the parameter,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 </w:t>
      </w:r>
      <w:r>
        <w:rPr>
          <w:rStyle w:val="AttributeTok"/>
        </w:rPr>
        <w:t xml:space="preserve">na.strings=</w:t>
      </w:r>
      <w:r>
        <w:rPr>
          <w:rStyle w:val="StringTok"/>
        </w:rPr>
        <w:t xml:space="preserve">""</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p>
    <w:bookmarkEnd w:id="24"/>
    <w:bookmarkStart w:id="26" w:name="X0c6d5d9d0d2643d95dc953b69bb2e95b9902952"/>
    <w:p>
      <w:pPr>
        <w:pStyle w:val="Heading1"/>
      </w:pPr>
      <w:r>
        <w:t xml:space="preserve">Data Filtering and Data Impacted by Specific Value Qualifiers</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5">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managed area, which is that each managed area has 10 year or more of unique year entries for observation that pass the initial filter. If data passes the first set of filtering criteria and the time criteria, they are used in the analysis.</w:t>
      </w:r>
    </w:p>
    <w:p>
      <w:pPr>
        <w:pStyle w:val="BodyText"/>
      </w:pPr>
      <w:r>
        <w:t xml:space="preserve">After filtering, the amount of data impacted by the H (for dissolved oxygen &amp; pH in program 476), I, Q, S (for Secchi depth), and U value qualifiers. A variable is also created that determines if scatter plot points should be a different color based on value qualifiers of interest.</w:t>
      </w:r>
    </w:p>
    <w:p>
      <w:pPr>
        <w:pStyle w:val="SourceCode"/>
      </w:pP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NormalTok"/>
        </w:rPr>
        <w:t xml:space="preserve">data</w:t>
      </w:r>
      <w:r>
        <w:rPr>
          <w:rStyle w:val="SpecialCharTok"/>
        </w:rPr>
        <w:t xml:space="preserve">$</w:t>
      </w:r>
      <w:r>
        <w:rPr>
          <w:rStyle w:val="NormalTok"/>
        </w:rPr>
        <w:t xml:space="preserve">ActivityType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"Sample"</w:t>
      </w:r>
      <w:r>
        <w:rPr>
          <w:rStyle w:val="NormalTok"/>
        </w:rPr>
        <w:t xml:space="preserve">, </w:t>
      </w:r>
      <w:r>
        <w:rPr>
          <w:rStyle w:val="StringTok"/>
        </w:rPr>
        <w:t xml:space="preserve">"Lab"</w:t>
      </w:r>
      <w:r>
        <w:rPr>
          <w:rStyle w:val="NormalTok"/>
        </w:rPr>
        <w:t xml:space="preserve">, data</w:t>
      </w:r>
      <w:r>
        <w:rPr>
          <w:rStyle w:val="SpecialCharTok"/>
        </w:rPr>
        <w:t xml:space="preserve">$</w:t>
      </w:r>
      <w:r>
        <w:rPr>
          <w:rStyle w:val="NormalTok"/>
        </w:rPr>
        <w:t xml:space="preserve">ActivityType)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"Chlorophyll_a_uncorrected_for_pheophytin"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"Salinity"</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"Total_Suspended_Solids_TSS"</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"Turbidity"</w:t>
      </w:r>
      <w:r>
        <w:rPr>
          <w:rStyle w:val="NormalTok"/>
        </w:rPr>
        <w:t xml:space="preserve">) </w:t>
      </w:r>
      <w:r>
        <w:rPr>
          <w:rStyle w:val="SpecialCharTok"/>
        </w:rPr>
        <w:t xml:space="preserve">&amp;</w:t>
      </w:r>
      <w:r>
        <w:rPr>
          <w:rStyle w:val="NormalTok"/>
        </w:rPr>
        <w:t xml:space="preserve"> activity</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 </w:t>
      </w:r>
      <w:r>
        <w:rPr>
          <w:rStyle w:val="SpecialCharTok"/>
        </w:rPr>
        <w:t xml:space="preserve">&amp;</w:t>
      </w:r>
      <w:r>
        <w:rPr>
          <w:rStyle w:val="NormalTok"/>
        </w:rPr>
        <w:t xml:space="preserve"> depth</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br/>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2035, Number Passed Filter: 2035</w:t>
      </w:r>
      <w:r>
        <w:br/>
      </w:r>
      <w:r>
        <w:rPr>
          <w:rStyle w:val="VerbatimChar"/>
        </w:rPr>
        <w:t xml:space="preserve">## I Codes: 0 (0%)</w:t>
      </w:r>
      <w:r>
        <w:br/>
      </w:r>
      <w:r>
        <w:rPr>
          <w:rStyle w:val="VerbatimChar"/>
        </w:rPr>
        <w:t xml:space="preserve">## Q Codes: 0 (0%)</w:t>
      </w:r>
      <w:r>
        <w:br/>
      </w:r>
      <w:r>
        <w:rPr>
          <w:rStyle w:val="VerbatimChar"/>
        </w:rPr>
        <w:t xml:space="preserve">## U Codes: 0 (0%)</w:t>
      </w:r>
    </w:p>
    <w:p>
      <w:pPr>
        <w:pStyle w:val="SourceCode"/>
      </w:pP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 ])</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"_DataSummary.csv"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r>
        <w:br/>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6"/>
    <w:bookmarkStart w:id="28"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1"/>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1"/>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2"/>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2"/>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1"/>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1"/>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1"/>
        </w:numPr>
        <w:pStyle w:val="Compact"/>
      </w:pPr>
      <w:r>
        <w:t xml:space="preserve">Write summary stats to a pipe-delimited .txt file in the output directory</w:t>
      </w:r>
    </w:p>
    <w:p>
      <w:pPr>
        <w:numPr>
          <w:ilvl w:val="1"/>
          <w:numId w:val="1003"/>
        </w:numPr>
        <w:pStyle w:val="Compact"/>
      </w:pPr>
      <w:hyperlink r:id="rId27">
        <w:r>
          <w:rPr>
            <w:rStyle w:val="Hyperlink"/>
          </w:rPr>
          <w:t xml:space="preserve">Click this text to open Git directory with output files</w:t>
        </w:r>
      </w:hyperlink>
    </w:p>
    <w:p>
      <w:pPr>
        <w:pStyle w:val="SourceCode"/>
      </w:pP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28"/>
    <w:bookmarkStart w:id="29"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4"/>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4"/>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4"/>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4"/>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4"/>
        </w:numPr>
        <w:pStyle w:val="Compact"/>
      </w:pPr>
      <w:r>
        <w:t xml:space="preserve">Write summary stats to a pipe-delimited .txt file in the output directory</w:t>
      </w:r>
    </w:p>
    <w:p>
      <w:pPr>
        <w:numPr>
          <w:ilvl w:val="1"/>
          <w:numId w:val="1005"/>
        </w:numPr>
        <w:pStyle w:val="Compact"/>
      </w:pPr>
      <w:hyperlink r:id="rId27">
        <w:r>
          <w:rPr>
            <w:rStyle w:val="Hyperlink"/>
          </w:rPr>
          <w:t xml:space="preserve">Click this text to open Git directory with output files</w:t>
        </w:r>
      </w:hyperlink>
    </w:p>
    <w:p>
      <w:pPr>
        <w:pStyle w:val="SourceCode"/>
      </w:pP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"_MonitoringLoc_Stats.txt"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29"/>
    <w:bookmarkStart w:id="31"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0">
        <w:r>
          <w:rPr>
            <w:rStyle w:val="Hyperlink"/>
          </w:rPr>
          <w:t xml:space="preserve">https://sarasota.wateratlas.usf.edu/water-quality-trends/#analysis-overview</w:t>
        </w:r>
      </w:hyperlink>
    </w:p>
    <w:p>
      <w:pPr>
        <w:pStyle w:val="BodyText"/>
      </w:pPr>
      <w:r>
        <w:t xml:space="preserve">The following steps are performed:</w:t>
      </w:r>
    </w:p>
    <w:p>
      <w:pPr>
        <w:numPr>
          <w:ilvl w:val="0"/>
          <w:numId w:val="1006"/>
        </w:numPr>
        <w:pStyle w:val="Compact"/>
      </w:pPr>
      <w:r>
        <w:t xml:space="preserve">Define the functions used in the analysis</w:t>
      </w:r>
    </w:p>
    <w:p>
      <w:pPr>
        <w:numPr>
          <w:ilvl w:val="0"/>
          <w:numId w:val="1006"/>
        </w:numPr>
        <w:pStyle w:val="Compact"/>
      </w:pPr>
      <w:r>
        <w:t xml:space="preserve">Check to see if there are any groups to run analysis on.</w:t>
      </w:r>
    </w:p>
    <w:p>
      <w:pPr>
        <w:numPr>
          <w:ilvl w:val="0"/>
          <w:numId w:val="1006"/>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6"/>
        </w:numPr>
        <w:pStyle w:val="Compact"/>
      </w:pPr>
      <w:r>
        <w:t xml:space="preserve">Group data that have the same</w:t>
      </w:r>
      <w:r>
        <w:t xml:space="preserve"> </w:t>
      </w:r>
      <w:r>
        <w:rPr>
          <w:rStyle w:val="VerbatimChar"/>
        </w:rPr>
        <w:t xml:space="preserve">ManagedAreaName</w:t>
      </w:r>
      <w:r>
        <w:t xml:space="preserve">.</w:t>
      </w:r>
    </w:p>
    <w:p>
      <w:pPr>
        <w:numPr>
          <w:ilvl w:val="0"/>
          <w:numId w:val="1006"/>
        </w:numPr>
        <w:pStyle w:val="Compact"/>
      </w:pPr>
      <w:r>
        <w:t xml:space="preserve">For each group, provides the following information: Earliest Sample Date (EarliestSampleDate), Latest Sample Date (LastSampleDate), Number of Entries (N), Lowest Value (Min), Largest Value (Max), Median, Mean, Standard Deviation, tau, Senn Slope (SennSlope), Senn Intercept (SennIntercept), and p.</w:t>
      </w:r>
    </w:p>
    <w:p>
      <w:pPr>
        <w:numPr>
          <w:ilvl w:val="1"/>
          <w:numId w:val="1007"/>
        </w:numPr>
        <w:pStyle w:val="Compact"/>
      </w:pPr>
      <w:r>
        <w:t xml:space="preserve">The analysis is run with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7"/>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0"/>
          <w:numId w:val="1006"/>
        </w:numPr>
        <w:pStyle w:val="Compact"/>
      </w:pPr>
      <w:r>
        <w:t xml:space="preserve">Reformat columns in the data frame from export.</w:t>
      </w:r>
    </w:p>
    <w:p>
      <w:pPr>
        <w:numPr>
          <w:ilvl w:val="0"/>
          <w:numId w:val="1006"/>
        </w:numPr>
        <w:pStyle w:val="Compact"/>
      </w:pPr>
      <w:r>
        <w:t xml:space="preserve">Write summary stats to a pipe-delimited .txt file in the output directory</w:t>
      </w:r>
    </w:p>
    <w:p>
      <w:pPr>
        <w:numPr>
          <w:ilvl w:val="1"/>
          <w:numId w:val="1008"/>
        </w:numPr>
        <w:pStyle w:val="Compact"/>
      </w:pPr>
      <w:hyperlink r:id="rId27">
        <w:r>
          <w:rPr>
            <w:rStyle w:val="Hyperlink"/>
          </w:rPr>
          <w:t xml:space="preserve">Click this text to open Git directory with output files</w:t>
        </w:r>
      </w:hyperlink>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AreaID),</w:t>
      </w:r>
      <w:r>
        <w:br/>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ManagedAreaName),</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#dat$Index &lt;- as.Date(data$SampleDate) # , "%Y-%m-%d")</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then update appropriate columns and table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9</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length</w:t>
      </w:r>
      <w:r>
        <w:rPr>
          <w:rStyle w:val="NormalTok"/>
        </w:rPr>
        <w:t xml:space="preserve">(MA_Summ</w:t>
      </w:r>
      <w:r>
        <w:rPr>
          <w:rStyle w:val="SpecialCharTok"/>
        </w:rPr>
        <w:t xml:space="preserve">$</w:t>
      </w:r>
      <w:r>
        <w:rPr>
          <w:rStyle w:val="NormalTok"/>
        </w:rPr>
        <w:t xml:space="preserve">ManagedAreaName)))</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br/>
      </w:r>
      <w:r>
        <w:rPr>
          <w:rStyle w:val="NormalTok"/>
        </w:rPr>
        <w:t xml:space="preserve">   KT.Stats[,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OtherTok"/>
        </w:rPr>
        <w:t xml:space="preserve">&lt;-</w:t>
      </w:r>
      <w:r>
        <w:br/>
      </w:r>
      <w:r>
        <w:rPr>
          <w:rStyle w:val="NormalTok"/>
        </w:rPr>
        <w:t xml:space="preserve">      MA_Summ[,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(MA_Summ,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ManagedAreaName), ])</w:t>
      </w:r>
      <w:r>
        <w:br/>
      </w:r>
      <w:r>
        <w:br/>
      </w:r>
      <w:r>
        <w:rPr>
          <w:rStyle w:val="FunctionTok"/>
        </w:rPr>
        <w:t xml:space="preserve">fwrite</w:t>
      </w:r>
      <w:r>
        <w:rPr>
          <w:rStyle w:val="NormalTok"/>
        </w:rPr>
        <w:t xml:space="preserve">(KT.Stats,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"_KendallTau_Stats.txt"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1"/>
    <w:bookmarkStart w:id="33"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5</w:t>
      </w:r>
      <w:r>
        <w:rPr>
          <w:rStyle w:val="NormalTok"/>
        </w:rPr>
        <w:t xml:space="preserve">, </w:t>
      </w:r>
      <w:r>
        <w:rPr>
          <w:rStyle w:val="AttributeTok"/>
        </w:rPr>
        <w:t xml:space="preserve">r=</w:t>
      </w:r>
      <w:r>
        <w:rPr>
          <w:rStyle w:val="DecValTok"/>
        </w:rPr>
        <w:t xml:space="preserve">0</w:t>
      </w:r>
      <w:r>
        <w:rPr>
          <w:rStyle w:val="NormalTok"/>
        </w:rPr>
        <w:t xml:space="preserve">,</w:t>
      </w:r>
      <w:r>
        <w:br/>
      </w:r>
      <w:r>
        <w:rPr>
          <w:rStyle w:val="NormalTok"/>
        </w:rPr>
        <w:t xml:space="preserve">                                                 </w:t>
      </w:r>
      <w:r>
        <w:rPr>
          <w:rStyle w:val="AttributeTok"/>
        </w:rPr>
        <w:t xml:space="preserve">b=</w:t>
      </w:r>
      <w:r>
        <w:rPr>
          <w:rStyle w:val="DecValTok"/>
        </w:rPr>
        <w:t xml:space="preserve">10</w:t>
      </w:r>
      <w:r>
        <w:rPr>
          <w:rStyle w:val="NormalTok"/>
        </w:rPr>
        <w:t xml:space="preserve">, </w:t>
      </w:r>
      <w:r>
        <w:rPr>
          <w:rStyle w:val="AttributeTok"/>
        </w:rPr>
        <w:t xml:space="preserve">l=</w:t>
      </w:r>
      <w:r>
        <w:rPr>
          <w:rStyle w:val="DecValTok"/>
        </w:rPr>
        <w:t xml:space="preserve">0</w:t>
      </w:r>
      <w:r>
        <w:rPr>
          <w:rStyle w:val="NormalTok"/>
        </w:rPr>
        <w:t xml:space="preserve">)),</w:t>
      </w:r>
      <w:r>
        <w:br/>
      </w:r>
      <w:r>
        <w:rPr>
          <w:rStyle w:val="NormalTok"/>
        </w:rPr>
        <w:t xml:space="preserve">         </w:t>
      </w:r>
      <w:r>
        <w:rPr>
          <w:rStyle w:val="AttributeTok"/>
        </w:rPr>
        <w:t xml:space="preserve">axis.title.y=</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0</w:t>
      </w:r>
      <w:r>
        <w:rPr>
          <w:rStyle w:val="NormalTok"/>
        </w:rPr>
        <w:t xml:space="preserve">, </w:t>
      </w:r>
      <w:r>
        <w:rPr>
          <w:rStyle w:val="AttributeTok"/>
        </w:rPr>
        <w:t xml:space="preserve">r=</w:t>
      </w:r>
      <w:r>
        <w:rPr>
          <w:rStyle w:val="DecValTok"/>
        </w:rPr>
        <w:t xml:space="preserve">10</w:t>
      </w:r>
      <w:r>
        <w:rPr>
          <w:rStyle w:val="NormalTok"/>
        </w:rPr>
        <w:t xml:space="preserve">,</w:t>
      </w:r>
      <w:r>
        <w:br/>
      </w:r>
      <w:r>
        <w:rPr>
          <w:rStyle w:val="NormalTok"/>
        </w:rPr>
        <w:t xml:space="preserve">                                                 </w:t>
      </w:r>
      <w:r>
        <w:rPr>
          <w:rStyle w:val="AttributeTok"/>
        </w:rPr>
        <w:t xml:space="preserve">b=</w:t>
      </w:r>
      <w:r>
        <w:rPr>
          <w:rStyle w:val="DecValTok"/>
        </w:rPr>
        <w:t xml:space="preserve">0</w:t>
      </w:r>
      <w:r>
        <w:rPr>
          <w:rStyle w:val="NormalTok"/>
        </w:rPr>
        <w:t xml:space="preserve">, </w:t>
      </w:r>
      <w:r>
        <w:rPr>
          <w:rStyle w:val="AttributeTok"/>
        </w:rPr>
        <w:t xml:space="preserve">l=</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w:t>
      </w:r>
      <w:r>
        <w:rPr>
          <w:rStyle w:val="DecValTok"/>
        </w:rPr>
        <w:t xml:space="preserve">60</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Salinity_Lab_Surface_files/figure-html/Scatter_All-1.png" id="0" name="Picture"/>
                    <pic:cNvPicPr>
                      <a:picLocks noChangeArrowheads="1" noChangeAspect="1"/>
                    </pic:cNvPicPr>
                  </pic:nvPicPr>
                  <pic:blipFill>
                    <a:blip r:embed="rId32"/>
                    <a:stretch>
                      <a:fillRect/>
                    </a:stretch>
                  </pic:blipFill>
                  <pic:spPr bwMode="auto">
                    <a:xfrm>
                      <a:off x="0" y="0"/>
                      <a:ext cx="5334000" cy="6400800"/>
                    </a:xfrm>
                    <a:prstGeom prst="rect">
                      <a:avLst/>
                    </a:prstGeom>
                    <a:noFill/>
                    <a:ln w="9525">
                      <a:noFill/>
                      <a:headEnd/>
                      <a:tailEnd/>
                    </a:ln>
                  </pic:spPr>
                </pic:pic>
              </a:graphicData>
            </a:graphic>
          </wp:inline>
        </w:drawing>
      </w:r>
    </w:p>
    <w:bookmarkEnd w:id="33"/>
    <w:bookmarkStart w:id="37"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09"/>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09"/>
        </w:numPr>
        <w:pStyle w:val="Compact"/>
      </w:pPr>
      <w:r>
        <w:t xml:space="preserve">Set what values are to be used for the x-axis, y-axis, and the variable that should determine groups for the box plots</w:t>
      </w:r>
    </w:p>
    <w:p>
      <w:pPr>
        <w:numPr>
          <w:ilvl w:val="0"/>
          <w:numId w:val="1009"/>
        </w:numPr>
        <w:pStyle w:val="Compact"/>
      </w:pPr>
      <w:r>
        <w:t xml:space="preserve">Set the plot type as a box plot with the size of the outlier points</w:t>
      </w:r>
    </w:p>
    <w:p>
      <w:pPr>
        <w:numPr>
          <w:ilvl w:val="0"/>
          <w:numId w:val="1009"/>
        </w:numPr>
        <w:pStyle w:val="Compact"/>
      </w:pPr>
      <w:r>
        <w:t xml:space="preserve">Create the title, x-axis, y-axis, and color fill labels</w:t>
      </w:r>
    </w:p>
    <w:p>
      <w:pPr>
        <w:numPr>
          <w:ilvl w:val="0"/>
          <w:numId w:val="1009"/>
        </w:numPr>
        <w:pStyle w:val="Compact"/>
      </w:pPr>
      <w:r>
        <w:t xml:space="preserve">Set the y and x limits</w:t>
      </w:r>
    </w:p>
    <w:p>
      <w:pPr>
        <w:numPr>
          <w:ilvl w:val="0"/>
          <w:numId w:val="1009"/>
        </w:numPr>
        <w:pStyle w:val="Compact"/>
      </w:pPr>
      <w:r>
        <w:t xml:space="preserve">Make the axis labels bold</w:t>
      </w:r>
    </w:p>
    <w:p>
      <w:pPr>
        <w:numPr>
          <w:ilvl w:val="0"/>
          <w:numId w:val="1009"/>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Salinity_Lab_Surface_files/figure-html/Boxplot_All_Disp-1.png" id="0"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Salinity_Lab_Surface_files/figure-html/Boxplot_All_Disp-2.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Salinity_Lab_Surface_files/figure-html/Boxplot_All_Disp-3.png" id="0" name="Picture"/>
                    <pic:cNvPicPr>
                      <a:picLocks noChangeArrowheads="1" noChangeAspect="1"/>
                    </pic:cNvPicPr>
                  </pic:nvPicPr>
                  <pic:blipFill>
                    <a:blip r:embed="rId36"/>
                    <a:stretch>
                      <a:fillRect/>
                    </a:stretch>
                  </pic:blipFill>
                  <pic:spPr bwMode="auto">
                    <a:xfrm>
                      <a:off x="0" y="0"/>
                      <a:ext cx="5334000" cy="6400800"/>
                    </a:xfrm>
                    <a:prstGeom prst="rect">
                      <a:avLst/>
                    </a:prstGeom>
                    <a:noFill/>
                    <a:ln w="9525">
                      <a:noFill/>
                      <a:headEnd/>
                      <a:tailEnd/>
                    </a:ln>
                  </pic:spPr>
                </pic:pic>
              </a:graphicData>
            </a:graphic>
          </wp:inline>
        </w:drawing>
      </w:r>
    </w:p>
    <w:bookmarkEnd w:id="37"/>
    <w:bookmarkStart w:id="49" w:name="appendix-iii-excluded-managed-areas"/>
    <w:p>
      <w:pPr>
        <w:pStyle w:val="Heading1"/>
      </w:pPr>
      <w:r>
        <w:t xml:space="preserve">Appendix III: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Salinity_Lab_Surface_files/figure-html/Scatter_Excluded-1.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Salinity_Lab_Surface_files/figure-html/Scatter_Excluded-2.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Salinity_Lab_Surface_files/figure-html/Scatter_Excluded-3.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Salinity_Lab_Surface_files/figure-html/Scatter_Excluded-4.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Salinity_Lab_Surface_files/figure-html/Scatter_Excluded-5.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Salinity_Lab_Surface_files/figure-html/Scatter_Excluded-6.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Salinity_Lab_Surface_files/figure-html/Scatter_Excluded-7.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Salinity_Lab_Surface_files/figure-html/Scatter_Excluded-8.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Salinity_Lab_Surface_files/figure-html/Scatter_Excluded-9.png" id="0"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Salinity_Lab_Surface_files/figure-html/Scatter_Excluded-10.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Salinity_Lab_Surface_files/figure-html/Scatter_Excluded-11.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p>
    <w:bookmarkEnd w:id="49"/>
    <w:bookmarkStart w:id="50" w:name="appendix-iv-managed-area-trendlines"/>
    <w:p>
      <w:pPr>
        <w:pStyle w:val="Heading1"/>
      </w:pPr>
      <w:r>
        <w:t xml:space="preserve">Appendix IV: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0"/>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0"/>
        </w:numPr>
        <w:pStyle w:val="Compact"/>
      </w:pPr>
      <w:r>
        <w:t xml:space="preserve">Determine the earliest and latest year of the data to create x-axis scale and intervals</w:t>
      </w:r>
    </w:p>
    <w:p>
      <w:pPr>
        <w:numPr>
          <w:ilvl w:val="0"/>
          <w:numId w:val="1010"/>
        </w:numPr>
        <w:pStyle w:val="Compact"/>
      </w:pPr>
      <w:r>
        <w:t xml:space="preserve">Determine the minimum, mean, and standard deviation for the data to be used for y-axis scales</w:t>
      </w:r>
    </w:p>
    <w:p>
      <w:pPr>
        <w:numPr>
          <w:ilvl w:val="1"/>
          <w:numId w:val="1011"/>
        </w:numPr>
        <w:pStyle w:val="Compact"/>
      </w:pPr>
      <w:r>
        <w:t xml:space="preserve">Excludes the top 2% of values to reduce the impact of extreme outliers on the y-axis scale</w:t>
      </w:r>
    </w:p>
    <w:p>
      <w:pPr>
        <w:numPr>
          <w:ilvl w:val="0"/>
          <w:numId w:val="1010"/>
        </w:numPr>
        <w:pStyle w:val="Compact"/>
      </w:pPr>
      <w:r>
        <w:t xml:space="preserve">Set what values are to be used for the x-axis, y-axis, and the variable that should determine groups for the plots</w:t>
      </w:r>
    </w:p>
    <w:p>
      <w:pPr>
        <w:numPr>
          <w:ilvl w:val="0"/>
          <w:numId w:val="1010"/>
        </w:numPr>
        <w:pStyle w:val="Compact"/>
      </w:pPr>
      <w:r>
        <w:t xml:space="preserve">Set the plot type as a point plot with the size of the points</w:t>
      </w:r>
    </w:p>
    <w:p>
      <w:pPr>
        <w:numPr>
          <w:ilvl w:val="0"/>
          <w:numId w:val="1010"/>
        </w:numPr>
        <w:pStyle w:val="Compact"/>
      </w:pPr>
      <w:r>
        <w:t xml:space="preserve">Add the linear trend</w:t>
      </w:r>
    </w:p>
    <w:p>
      <w:pPr>
        <w:numPr>
          <w:ilvl w:val="0"/>
          <w:numId w:val="1010"/>
        </w:numPr>
        <w:pStyle w:val="Compact"/>
      </w:pPr>
      <w:r>
        <w:t xml:space="preserve">Create the title, x-axis, y-axis, and color fill labels</w:t>
      </w:r>
    </w:p>
    <w:p>
      <w:pPr>
        <w:numPr>
          <w:ilvl w:val="0"/>
          <w:numId w:val="1010"/>
        </w:numPr>
        <w:pStyle w:val="Compact"/>
      </w:pPr>
      <w:r>
        <w:t xml:space="preserve">Set the y and x limits</w:t>
      </w:r>
    </w:p>
    <w:p>
      <w:pPr>
        <w:numPr>
          <w:ilvl w:val="0"/>
          <w:numId w:val="1010"/>
        </w:numPr>
        <w:pStyle w:val="Compact"/>
      </w:pPr>
      <w:r>
        <w:t xml:space="preserve">Make the axis labels bold</w:t>
      </w:r>
    </w:p>
    <w:p>
      <w:pPr>
        <w:numPr>
          <w:ilvl w:val="0"/>
          <w:numId w:val="1010"/>
        </w:numPr>
        <w:pStyle w:val="Compact"/>
      </w:pPr>
      <w:r>
        <w:t xml:space="preserve">Plot the arrangement as a set of panels</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managed areas that qualify.</w:t>
      </w:r>
      <w:r>
        <w:t xml:space="preserve">”</w:t>
      </w:r>
    </w:p>
    <w:bookmarkEnd w:id="50"/>
    <w:bookmarkStart w:id="51" w:name="X4a068c1a99815d8144379271f7d384d24daacf0"/>
    <w:p>
      <w:pPr>
        <w:pStyle w:val="Heading1"/>
      </w:pPr>
      <w:r>
        <w:t xml:space="preserve">Appendix 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2"/>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minimum, mean, and standard deviation for the data to be used for y-axis scales</w:t>
      </w:r>
    </w:p>
    <w:p>
      <w:pPr>
        <w:numPr>
          <w:ilvl w:val="1"/>
          <w:numId w:val="1013"/>
        </w:numPr>
        <w:pStyle w:val="Compact"/>
      </w:pPr>
      <w:r>
        <w:t xml:space="preserve">Excludes the top 2% of values to reduce the impact of extreme outliers on the y-axis scale</w:t>
      </w:r>
    </w:p>
    <w:p>
      <w:pPr>
        <w:numPr>
          <w:ilvl w:val="0"/>
          <w:numId w:val="1012"/>
        </w:numPr>
        <w:pStyle w:val="Compact"/>
      </w:pPr>
      <w:r>
        <w:t xml:space="preserve">Set what values are to be used for the x-axis, y-axis, and the variable that should determine groups for the box plots</w:t>
      </w:r>
    </w:p>
    <w:p>
      <w:pPr>
        <w:numPr>
          <w:ilvl w:val="0"/>
          <w:numId w:val="1012"/>
        </w:numPr>
        <w:pStyle w:val="Compact"/>
      </w:pPr>
      <w:r>
        <w:t xml:space="preserve">Set the plot type as a box plot with the size of the outlier points</w:t>
      </w:r>
    </w:p>
    <w:p>
      <w:pPr>
        <w:numPr>
          <w:ilvl w:val="0"/>
          <w:numId w:val="1012"/>
        </w:numPr>
        <w:pStyle w:val="Compact"/>
      </w:pPr>
      <w:r>
        <w:t xml:space="preserve">Create the title, x-axis, y-axis, and color fill labels</w:t>
      </w:r>
    </w:p>
    <w:p>
      <w:pPr>
        <w:numPr>
          <w:ilvl w:val="0"/>
          <w:numId w:val="1012"/>
        </w:numPr>
        <w:pStyle w:val="Compact"/>
      </w:pPr>
      <w:r>
        <w:t xml:space="preserve">Set the y and x limits</w:t>
      </w:r>
    </w:p>
    <w:p>
      <w:pPr>
        <w:numPr>
          <w:ilvl w:val="0"/>
          <w:numId w:val="1012"/>
        </w:numPr>
        <w:pStyle w:val="Compact"/>
      </w:pPr>
      <w:r>
        <w:t xml:space="preserve">Make the axis labels bold</w:t>
      </w:r>
    </w:p>
    <w:p>
      <w:pPr>
        <w:numPr>
          <w:ilvl w:val="0"/>
          <w:numId w:val="1012"/>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4"/>
        </w:numPr>
        <w:pStyle w:val="Compact"/>
      </w:pPr>
      <w:r>
        <w:t xml:space="preserve">Y-axis autoscaled</w:t>
      </w:r>
    </w:p>
    <w:p>
      <w:pPr>
        <w:numPr>
          <w:ilvl w:val="0"/>
          <w:numId w:val="1014"/>
        </w:numPr>
        <w:pStyle w:val="Compact"/>
      </w:pPr>
      <w:r>
        <w:t xml:space="preserve">Y-axis set to be mean + 4 times the standard deviation</w:t>
      </w:r>
    </w:p>
    <w:p>
      <w:pPr>
        <w:numPr>
          <w:ilvl w:val="0"/>
          <w:numId w:val="1014"/>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managed areas that qualify."</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7" Target="https://github.com/FloridaSEACAR/SEACAR_Panzik/tree/main/output/WQ" TargetMode="External" /><Relationship Type="http://schemas.openxmlformats.org/officeDocument/2006/relationships/hyperlink" Id="rId30" Target="https://sarasota.wateratlas.usf.edu/water-quality-trends/#analysis-overview" TargetMode="External" /><Relationship Type="http://schemas.openxmlformats.org/officeDocument/2006/relationships/hyperlink" Id="rId20" Target="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7" Target="https://github.com/FloridaSEACAR/SEACAR_Panzik/tree/main/output/WQ" TargetMode="External" /><Relationship Type="http://schemas.openxmlformats.org/officeDocument/2006/relationships/hyperlink" Id="rId30" Target="https://sarasota.wateratlas.usf.edu/water-quality-trends/#analysis-overview" TargetMode="External" /><Relationship Type="http://schemas.openxmlformats.org/officeDocument/2006/relationships/hyperlink" Id="rId20" Target="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Lab Surface Salinity</dc:title>
  <dc:creator/>
  <cp:keywords/>
  <dcterms:created xsi:type="dcterms:W3CDTF">2022-10-19T13:32:07Z</dcterms:created>
  <dcterms:modified xsi:type="dcterms:W3CDTF">2022-10-19T13:32:07Z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19 October, 2022</vt:lpwstr>
  </property>
  <property fmtid="{D5CDD505-2E9C-101B-9397-08002B2CF9AE}" pid="3" name="output">
    <vt:lpwstr/>
  </property>
</Properties>
</file>