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Bankruptcy Risk Executive Summary</w:t>
      </w:r>
    </w:p>
    <w:p>
      <w:pPr>
        <w:pStyle w:val="Subtitle"/>
      </w:pPr>
      <w:r>
        <w:t>Florien Siakoua Toukam</w:t>
      </w:r>
    </w:p>
    <w:p>
      <w:r>
        <w:t>Objective and scope. Prioritize financial review using 5,910 one-year-ahead records, including 410 bankruptcies. Development and holdout are separated by exact predictor groups; model fitting and calibration use nested, repeated cross-validation within development.</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0"/>
        <w:gridCol w:w="2520"/>
        <w:gridCol w:w="2520"/>
      </w:tblGrid>
      <w:tr>
        <w:trPr>
          <w:tblHeader/>
          <w:cantSplit/>
          <w:cantSplit/>
          <w:cantSplit/>
        </w:trPr>
        <w:tc>
          <w:tcPr>
            <w:tcW w:type="dxa" w:w="5040"/>
            <w:vAlign w:val="center"/>
            <w:tcMar>
              <w:top w:w="80" w:type="dxa"/>
              <w:bottom w:w="80" w:type="dxa"/>
              <w:left w:w="80" w:type="dxa"/>
              <w:right w:w="80" w:type="dxa"/>
            </w:tcMar>
            <w:shd w:fill="163A5F"/>
          </w:tcPr>
          <w:p>
            <w:pPr>
              <w:spacing w:after="80" w:before="80" w:line="240" w:lineRule="auto"/>
              <w:jc w:val="left"/>
            </w:pPr>
            <w:r>
              <w:rPr>
                <w:b/>
                <w:color w:val="FFFFFF"/>
                <w:sz w:val="20"/>
              </w:rPr>
              <w:t>Holdout metric</w:t>
            </w:r>
          </w:p>
        </w:tc>
        <w:tc>
          <w:tcPr>
            <w:tcW w:type="dxa" w:w="2520"/>
            <w:vAlign w:val="center"/>
            <w:tcMar>
              <w:top w:w="80" w:type="dxa"/>
              <w:bottom w:w="80" w:type="dxa"/>
              <w:left w:w="80" w:type="dxa"/>
              <w:right w:w="80" w:type="dxa"/>
            </w:tcMar>
            <w:shd w:fill="163A5F"/>
          </w:tcPr>
          <w:p>
            <w:pPr>
              <w:spacing w:after="80" w:before="80" w:line="240" w:lineRule="auto"/>
              <w:jc w:val="center"/>
            </w:pPr>
            <w:r>
              <w:rPr>
                <w:b/>
                <w:color w:val="FFFFFF"/>
                <w:sz w:val="20"/>
              </w:rPr>
              <w:t>Ridge logistic</w:t>
            </w:r>
          </w:p>
        </w:tc>
        <w:tc>
          <w:tcPr>
            <w:tcW w:type="dxa" w:w="2520"/>
            <w:vAlign w:val="center"/>
            <w:tcMar>
              <w:top w:w="80" w:type="dxa"/>
              <w:bottom w:w="80" w:type="dxa"/>
              <w:left w:w="80" w:type="dxa"/>
              <w:right w:w="80" w:type="dxa"/>
            </w:tcMar>
            <w:shd w:fill="163A5F"/>
          </w:tcPr>
          <w:p>
            <w:pPr>
              <w:spacing w:after="80" w:before="80" w:line="240" w:lineRule="auto"/>
              <w:jc w:val="center"/>
            </w:pPr>
            <w:r>
              <w:rPr>
                <w:b/>
                <w:color w:val="FFFFFF"/>
                <w:sz w:val="20"/>
              </w:rPr>
              <w:t>Balanced forest</w:t>
            </w:r>
          </w:p>
        </w:tc>
      </w:tr>
      <w:tr>
        <w:trPr>
          <w:cantSplit/>
          <w:cantSplit/>
          <w:cantSplit/>
        </w:trPr>
        <w:tc>
          <w:tcPr>
            <w:tcW w:type="dxa" w:w="5040"/>
            <w:vAlign w:val="center"/>
            <w:tcMar>
              <w:top w:w="80" w:type="dxa"/>
              <w:bottom w:w="80" w:type="dxa"/>
              <w:left w:w="80" w:type="dxa"/>
              <w:right w:w="80" w:type="dxa"/>
            </w:tcMar>
            <w:shd w:fill="FFFFFF"/>
          </w:tcPr>
          <w:p>
            <w:pPr>
              <w:spacing w:after="80" w:before="80" w:line="240" w:lineRule="auto"/>
              <w:jc w:val="left"/>
            </w:pPr>
            <w:r>
              <w:rPr>
                <w:sz w:val="20"/>
              </w:rPr>
              <w:t>ROC AUC</w:t>
            </w:r>
          </w:p>
        </w:tc>
        <w:tc>
          <w:tcPr>
            <w:tcW w:type="dxa" w:w="2520"/>
            <w:vAlign w:val="center"/>
            <w:tcMar>
              <w:top w:w="80" w:type="dxa"/>
              <w:bottom w:w="80" w:type="dxa"/>
              <w:left w:w="80" w:type="dxa"/>
              <w:right w:w="80" w:type="dxa"/>
            </w:tcMar>
            <w:shd w:fill="FFFFFF"/>
          </w:tcPr>
          <w:p>
            <w:pPr>
              <w:spacing w:after="80" w:before="80" w:line="240" w:lineRule="auto"/>
              <w:jc w:val="center"/>
            </w:pPr>
            <w:r>
              <w:rPr>
                <w:sz w:val="20"/>
              </w:rPr>
              <w:t>0.847</w:t>
            </w:r>
          </w:p>
        </w:tc>
        <w:tc>
          <w:tcPr>
            <w:tcW w:type="dxa" w:w="2520"/>
            <w:vAlign w:val="center"/>
            <w:tcMar>
              <w:top w:w="80" w:type="dxa"/>
              <w:bottom w:w="80" w:type="dxa"/>
              <w:left w:w="80" w:type="dxa"/>
              <w:right w:w="80" w:type="dxa"/>
            </w:tcMar>
            <w:shd w:fill="FFFFFF"/>
          </w:tcPr>
          <w:p>
            <w:pPr>
              <w:spacing w:after="80" w:before="80" w:line="240" w:lineRule="auto"/>
              <w:jc w:val="center"/>
            </w:pPr>
            <w:r>
              <w:rPr>
                <w:sz w:val="20"/>
              </w:rPr>
              <w:t>0.868</w:t>
            </w:r>
          </w:p>
        </w:tc>
      </w:tr>
      <w:tr>
        <w:trPr>
          <w:cantSplit/>
          <w:cantSplit/>
          <w:cantSplit/>
        </w:trPr>
        <w:tc>
          <w:tcPr>
            <w:tcW w:type="dxa" w:w="5040"/>
            <w:vAlign w:val="center"/>
            <w:tcMar>
              <w:top w:w="80" w:type="dxa"/>
              <w:bottom w:w="80" w:type="dxa"/>
              <w:left w:w="80" w:type="dxa"/>
              <w:right w:w="80" w:type="dxa"/>
            </w:tcMar>
            <w:shd w:fill="F2F5F8"/>
          </w:tcPr>
          <w:p>
            <w:pPr>
              <w:spacing w:after="80" w:before="80" w:line="240" w:lineRule="auto"/>
              <w:jc w:val="left"/>
            </w:pPr>
            <w:r>
              <w:rPr>
                <w:sz w:val="20"/>
              </w:rPr>
              <w:t>Average precision</w:t>
            </w:r>
          </w:p>
        </w:tc>
        <w:tc>
          <w:tcPr>
            <w:tcW w:type="dxa" w:w="2520"/>
            <w:vAlign w:val="center"/>
            <w:tcMar>
              <w:top w:w="80" w:type="dxa"/>
              <w:bottom w:w="80" w:type="dxa"/>
              <w:left w:w="80" w:type="dxa"/>
              <w:right w:w="80" w:type="dxa"/>
            </w:tcMar>
            <w:shd w:fill="F2F5F8"/>
          </w:tcPr>
          <w:p>
            <w:pPr>
              <w:spacing w:after="80" w:before="80" w:line="240" w:lineRule="auto"/>
              <w:jc w:val="center"/>
            </w:pPr>
            <w:r>
              <w:rPr>
                <w:sz w:val="20"/>
              </w:rPr>
              <w:t>0.580</w:t>
            </w:r>
          </w:p>
        </w:tc>
        <w:tc>
          <w:tcPr>
            <w:tcW w:type="dxa" w:w="2520"/>
            <w:vAlign w:val="center"/>
            <w:tcMar>
              <w:top w:w="80" w:type="dxa"/>
              <w:bottom w:w="80" w:type="dxa"/>
              <w:left w:w="80" w:type="dxa"/>
              <w:right w:w="80" w:type="dxa"/>
            </w:tcMar>
            <w:shd w:fill="F2F5F8"/>
          </w:tcPr>
          <w:p>
            <w:pPr>
              <w:spacing w:after="80" w:before="80" w:line="240" w:lineRule="auto"/>
              <w:jc w:val="center"/>
            </w:pPr>
            <w:r>
              <w:rPr>
                <w:sz w:val="20"/>
              </w:rPr>
              <w:t>0.477</w:t>
            </w:r>
          </w:p>
        </w:tc>
      </w:tr>
      <w:tr>
        <w:trPr>
          <w:cantSplit/>
          <w:cantSplit/>
          <w:cantSplit/>
        </w:trPr>
        <w:tc>
          <w:tcPr>
            <w:tcW w:type="dxa" w:w="5040"/>
            <w:vAlign w:val="center"/>
            <w:tcMar>
              <w:top w:w="80" w:type="dxa"/>
              <w:bottom w:w="80" w:type="dxa"/>
              <w:left w:w="80" w:type="dxa"/>
              <w:right w:w="80" w:type="dxa"/>
            </w:tcMar>
            <w:shd w:fill="FFFFFF"/>
          </w:tcPr>
          <w:p>
            <w:pPr>
              <w:spacing w:after="80" w:before="80" w:line="240" w:lineRule="auto"/>
              <w:jc w:val="left"/>
            </w:pPr>
            <w:r>
              <w:rPr>
                <w:sz w:val="20"/>
              </w:rPr>
              <w:t>Bankruptcy recall</w:t>
            </w:r>
          </w:p>
        </w:tc>
        <w:tc>
          <w:tcPr>
            <w:tcW w:type="dxa" w:w="2520"/>
            <w:vAlign w:val="center"/>
            <w:tcMar>
              <w:top w:w="80" w:type="dxa"/>
              <w:bottom w:w="80" w:type="dxa"/>
              <w:left w:w="80" w:type="dxa"/>
              <w:right w:w="80" w:type="dxa"/>
            </w:tcMar>
            <w:shd w:fill="FFFFFF"/>
          </w:tcPr>
          <w:p>
            <w:pPr>
              <w:spacing w:after="80" w:before="80" w:line="240" w:lineRule="auto"/>
              <w:jc w:val="center"/>
            </w:pPr>
            <w:r>
              <w:rPr>
                <w:sz w:val="20"/>
              </w:rPr>
              <w:t>75.9%</w:t>
            </w:r>
          </w:p>
        </w:tc>
        <w:tc>
          <w:tcPr>
            <w:tcW w:type="dxa" w:w="2520"/>
            <w:vAlign w:val="center"/>
            <w:tcMar>
              <w:top w:w="80" w:type="dxa"/>
              <w:bottom w:w="80" w:type="dxa"/>
              <w:left w:w="80" w:type="dxa"/>
              <w:right w:w="80" w:type="dxa"/>
            </w:tcMar>
            <w:shd w:fill="FFFFFF"/>
          </w:tcPr>
          <w:p>
            <w:pPr>
              <w:spacing w:after="80" w:before="80" w:line="240" w:lineRule="auto"/>
              <w:jc w:val="center"/>
            </w:pPr>
            <w:r>
              <w:rPr>
                <w:sz w:val="20"/>
              </w:rPr>
              <w:t>77.1%</w:t>
            </w:r>
          </w:p>
        </w:tc>
      </w:tr>
      <w:tr>
        <w:trPr>
          <w:cantSplit/>
          <w:cantSplit/>
          <w:cantSplit/>
        </w:trPr>
        <w:tc>
          <w:tcPr>
            <w:tcW w:type="dxa" w:w="5040"/>
            <w:vAlign w:val="center"/>
            <w:tcMar>
              <w:top w:w="80" w:type="dxa"/>
              <w:bottom w:w="80" w:type="dxa"/>
              <w:left w:w="80" w:type="dxa"/>
              <w:right w:w="80" w:type="dxa"/>
            </w:tcMar>
            <w:shd w:fill="F2F5F8"/>
          </w:tcPr>
          <w:p>
            <w:pPr>
              <w:spacing w:after="80" w:before="80" w:line="240" w:lineRule="auto"/>
              <w:jc w:val="left"/>
            </w:pPr>
            <w:r>
              <w:rPr>
                <w:sz w:val="20"/>
              </w:rPr>
              <w:t>Specificity</w:t>
            </w:r>
          </w:p>
        </w:tc>
        <w:tc>
          <w:tcPr>
            <w:tcW w:type="dxa" w:w="2520"/>
            <w:vAlign w:val="center"/>
            <w:tcMar>
              <w:top w:w="80" w:type="dxa"/>
              <w:bottom w:w="80" w:type="dxa"/>
              <w:left w:w="80" w:type="dxa"/>
              <w:right w:w="80" w:type="dxa"/>
            </w:tcMar>
            <w:shd w:fill="F2F5F8"/>
          </w:tcPr>
          <w:p>
            <w:pPr>
              <w:spacing w:after="80" w:before="80" w:line="240" w:lineRule="auto"/>
              <w:jc w:val="center"/>
            </w:pPr>
            <w:r>
              <w:rPr>
                <w:sz w:val="20"/>
              </w:rPr>
              <w:t>83.8%</w:t>
            </w:r>
          </w:p>
        </w:tc>
        <w:tc>
          <w:tcPr>
            <w:tcW w:type="dxa" w:w="2520"/>
            <w:vAlign w:val="center"/>
            <w:tcMar>
              <w:top w:w="80" w:type="dxa"/>
              <w:bottom w:w="80" w:type="dxa"/>
              <w:left w:w="80" w:type="dxa"/>
              <w:right w:w="80" w:type="dxa"/>
            </w:tcMar>
            <w:shd w:fill="F2F5F8"/>
          </w:tcPr>
          <w:p>
            <w:pPr>
              <w:spacing w:after="80" w:before="80" w:line="240" w:lineRule="auto"/>
              <w:jc w:val="center"/>
            </w:pPr>
            <w:r>
              <w:rPr>
                <w:sz w:val="20"/>
              </w:rPr>
              <w:t>85.6%</w:t>
            </w:r>
          </w:p>
        </w:tc>
      </w:tr>
      <w:tr>
        <w:trPr>
          <w:cantSplit/>
          <w:cantSplit/>
          <w:cantSplit/>
        </w:trPr>
        <w:tc>
          <w:tcPr>
            <w:tcW w:type="dxa" w:w="5040"/>
            <w:vAlign w:val="center"/>
            <w:tcMar>
              <w:top w:w="80" w:type="dxa"/>
              <w:bottom w:w="80" w:type="dxa"/>
              <w:left w:w="80" w:type="dxa"/>
              <w:right w:w="80" w:type="dxa"/>
            </w:tcMar>
            <w:shd w:fill="FFFFFF"/>
          </w:tcPr>
          <w:p>
            <w:pPr>
              <w:spacing w:after="80" w:before="80" w:line="240" w:lineRule="auto"/>
              <w:jc w:val="left"/>
            </w:pPr>
            <w:r>
              <w:rPr>
                <w:sz w:val="20"/>
              </w:rPr>
              <w:t>Precision</w:t>
            </w:r>
          </w:p>
        </w:tc>
        <w:tc>
          <w:tcPr>
            <w:tcW w:type="dxa" w:w="2520"/>
            <w:vAlign w:val="center"/>
            <w:tcMar>
              <w:top w:w="80" w:type="dxa"/>
              <w:bottom w:w="80" w:type="dxa"/>
              <w:left w:w="80" w:type="dxa"/>
              <w:right w:w="80" w:type="dxa"/>
            </w:tcMar>
            <w:shd w:fill="FFFFFF"/>
          </w:tcPr>
          <w:p>
            <w:pPr>
              <w:spacing w:after="80" w:before="80" w:line="240" w:lineRule="auto"/>
              <w:jc w:val="center"/>
            </w:pPr>
            <w:r>
              <w:rPr>
                <w:sz w:val="20"/>
              </w:rPr>
              <w:t>26.1%</w:t>
            </w:r>
          </w:p>
        </w:tc>
        <w:tc>
          <w:tcPr>
            <w:tcW w:type="dxa" w:w="2520"/>
            <w:vAlign w:val="center"/>
            <w:tcMar>
              <w:top w:w="80" w:type="dxa"/>
              <w:bottom w:w="80" w:type="dxa"/>
              <w:left w:w="80" w:type="dxa"/>
              <w:right w:w="80" w:type="dxa"/>
            </w:tcMar>
            <w:shd w:fill="FFFFFF"/>
          </w:tcPr>
          <w:p>
            <w:pPr>
              <w:spacing w:after="80" w:before="80" w:line="240" w:lineRule="auto"/>
              <w:jc w:val="center"/>
            </w:pPr>
            <w:r>
              <w:rPr>
                <w:sz w:val="20"/>
              </w:rPr>
              <w:t>28.8%</w:t>
            </w:r>
          </w:p>
        </w:tc>
      </w:tr>
    </w:tbl>
    <w:p>
      <w:pPr>
        <w:spacing w:after="20"/>
      </w:pPr>
    </w:p>
    <w:p>
      <w:r>
        <w:t>Screening. At thresholds of 6.65% and 9.35%, logistic regression flags 241 records, misses 20 bankruptcies and generates 178 false positives. The forest flags 222, misses 19 and generates 158 false positives. Thresholds implement a development review budget of 20%, not automatic credit decisions.</w:t>
      </w:r>
    </w:p>
    <w:p>
      <w:r>
        <w:t>Risk segmentation. Low / Moderate / High bands contain 586 / 357 / 241 records. Their observed bankruptcy rates are 1.9% / 2.5% / 26.1%.</w:t>
      </w:r>
    </w:p>
    <w:p>
      <w:r>
        <w:t>Financial interpretation. Lower sales growth, weaker working capital, smaller asset scale and lower profitability are associated with higher estimated odds; higher liabilities relative to assets also increase estimated odds, conditional on the other inputs.</w:t>
      </w:r>
    </w:p>
    <w:p>
      <w:r>
        <w:t>Model judgment. Keep logistic regression as the interpretable reference and the forest as challenger. The forest's AUC advantage has a 95% interval of -0.013 to 0.054; logistic regression has higher average precision and lower calibrated Brier error. Mean cross-validation AUCs are 0.864 / 0.877.</w:t>
      </w:r>
    </w:p>
    <w:p>
      <w:r>
        <w:t>Limitations. Historical selected data and missing firm IDs, observation dates and loss information limit transfer to current credit decisions. Exact duplicate grouping cannot identify repeated firms with different statements. Risk scores and bands are relative to this dataset; current use would require dated external validation and measured review costs.</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80" w:after="20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val="0"/>
      <w:bCs/>
      <w:color w:val="464646"/>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Bankruptcy Risk Executive Summary</dc:title>
  <dc:subject>Bankruptcy risk analysis and model validation</dc:subject>
  <dc:creator>Florien Siakoua Toukam</dc:creator>
  <cp:keywords/>
  <dc:description/>
  <cp:lastModifiedBy>Florien Siakoua Toukam</cp:lastModifiedBy>
  <cp:revision>1</cp:revision>
  <dcterms:created xsi:type="dcterms:W3CDTF">2013-12-23T23:15:00Z</dcterms:created>
  <dcterms:modified xsi:type="dcterms:W3CDTF">2013-12-23T23:15:00Z</dcterms:modified>
  <cp:category/>
</cp:coreProperties>
</file>