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40"/>
          <w:szCs w:val="40"/>
        </w:rPr>
        <w:t xml:space="preserve">ANALIZĂ BUGETARĂ</w:t>
      </w:r>
    </w:p>
    <w:p>
      <w:pPr>
        <w:pBdr>
          <w:bottom w:val="single" w:color="1F3864" w:sz="6" w:space="8"/>
        </w:pBdr>
        <w:spacing w:after="100"/>
        <w:jc w:val="center"/>
      </w:pPr>
      <w:r>
        <w:rPr>
          <w:i/>
          <w:iCs/>
          <w:color w:val="555555"/>
          <w:sz w:val="28"/>
          <w:szCs w:val="28"/>
        </w:rPr>
        <w:t xml:space="preserve">Pachetul Legislativ de Reformă a Statului Român</w:t>
      </w:r>
    </w:p>
    <w:p>
      <w:pPr>
        <w:spacing w:before="500"/>
      </w:pPr>
    </w:p>
    <w:p>
      <w:pPr>
        <w:spacing w:after="200"/>
        <w:jc w:val="center"/>
      </w:pPr>
      <w:r>
        <w:rPr>
          <w:b/>
          <w:bCs/>
          <w:color w:val="1F3864"/>
          <w:sz w:val="36"/>
          <w:szCs w:val="36"/>
        </w:rPr>
        <w:t xml:space="preserve">PLAN DE FINANȚARE PE 5 ANI</w:t>
      </w:r>
    </w:p>
    <w:p>
      <w:pPr>
        <w:spacing w:after="80"/>
        <w:jc w:val="center"/>
      </w:pPr>
      <w:r>
        <w:rPr>
          <w:color w:val="2E5090"/>
          <w:sz w:val="32"/>
          <w:szCs w:val="32"/>
        </w:rPr>
        <w:t xml:space="preserve">2027 — 2031</w:t>
      </w:r>
    </w:p>
    <w:p>
      <w:pPr>
        <w:spacing w:after="60"/>
        <w:jc w:val="center"/>
      </w:pPr>
      <w:r>
        <w:rPr>
          <w:color w:val="666666"/>
          <w:sz w:val="24"/>
          <w:szCs w:val="24"/>
        </w:rPr>
        <w:t xml:space="preserve">10 legi • 25 reforme • 9 domenii</w:t>
      </w:r>
    </w:p>
    <w:p>
      <w:pPr>
        <w:spacing w:before="1200"/>
      </w:pPr>
    </w:p>
    <w:p>
      <w:pPr>
        <w:spacing w:after="60"/>
        <w:jc w:val="center"/>
      </w:pPr>
      <w:r>
        <w:rPr>
          <w:color w:val="777777"/>
          <w:sz w:val="20"/>
          <w:szCs w:val="20"/>
        </w:rPr>
        <w:t xml:space="preserve">Document de lucru — Aprilie 2026</w:t>
      </w:r>
    </w:p>
    <w:p>
      <w:pPr>
        <w:jc w:val="center"/>
      </w:pPr>
      <w:r>
        <w:rPr>
          <w:color w:val="777777"/>
          <w:sz w:val="20"/>
          <w:szCs w:val="20"/>
        </w:rPr>
        <w:t xml:space="preserve">Toate sumele în milioane lei (RON), la prețuri constante 2026</w:t>
      </w:r>
    </w:p>
    <w:p>
      <w:pPr>
        <w:sectPr>
          <w:pgSz w:w="11906" w:h="16838" w:orient="portrait"/>
          <w:pgMar w:top="1440" w:right="1200" w:bottom="1440" w:left="1200" w:header="708" w:footer="708" w:gutter="0"/>
          <w:pgNumType/>
          <w:docGrid w:linePitch="360"/>
        </w:sectPr>
      </w:pPr>
    </w:p>
    <w:p>
      <w:pPr>
        <w:pStyle w:val="Heading1"/>
      </w:pPr>
      <w:r>
        <w:t xml:space="preserve">SUMAR EXECUTIV</w:t>
      </w:r>
    </w:p>
    <w:p>
      <w:pPr>
        <w:spacing w:after="110" w:line="276"/>
        <w:jc w:val="both"/>
      </w:pPr>
      <w:r>
        <w:t xml:space="preserve">Pachetul legislativ de reformă propune 10 legi cu 25 de reforme pe 9 domenii. Costul total estimat pe 5 ani (2027-2031) este de aproximativ 114-133 miliarde lei. Peste 75% din această sumă provine din redistribuirea veniturilor existente (earmarking accize, amenzi), nu din cheltuieli bugetare noi. Finanțarea suplimentară netă necesară de la bugetul de stat este de aproximativ 8-12 miliarde lei pe 5 ani, adică sub 0,15% din PIB anual.</w:t>
      </w:r>
    </w:p>
    <w:p>
      <w:pPr>
        <w:spacing w:after="110" w:line="276"/>
        <w:jc w:val="both"/>
      </w:pPr>
      <w:r>
        <w:rPr>
          <w:b/>
          <w:bCs/>
        </w:rPr>
        <w:t xml:space="preserve">Principiul fundamental: </w:t>
      </w:r>
      <w:r>
        <w:t xml:space="preserve">aceste reforme nu necesită „bani noi” în sensul clasic. Cele mai mari sume (FRN, FSR) sunt redistribuiri de venituri existente către destinații transparente. Restul se finanțează din fonduri europene, economii generate de digitalizare și taxe existente redirectate.</w:t>
      </w:r>
    </w:p>
    <w:p>
      <w:r>
        <w:br w:type="page"/>
      </w:r>
    </w:p>
    <w:p>
      <w:pPr>
        <w:pStyle w:val="Heading1"/>
      </w:pPr>
      <w:r>
        <w:t xml:space="preserve">I. BUGETUL CONSOLIDAT PE 5 ANI</w:t>
      </w:r>
    </w:p>
    <w:p>
      <w:pPr>
        <w:pStyle w:val="Heading2"/>
      </w:pPr>
      <w:r>
        <w:t xml:space="preserve">Toate legile — sume în milioane lei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300"/>
        <w:gridCol w:w="1300"/>
        <w:gridCol w:w="1300"/>
        <w:gridCol w:w="1300"/>
        <w:gridCol w:w="1500"/>
        <w:gridCol w:w="2700"/>
      </w:tblGrid>
      <w:tr>
        <w:tc>
          <w:tcPr>
            <w:tcW w:type="dxa" w:w="3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Lege / Componentă</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2027</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2028</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2029</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2030</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2031</w:t>
            </w:r>
          </w:p>
        </w:tc>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TOTAL 5 ani</w:t>
            </w:r>
          </w:p>
        </w:tc>
        <w:tc>
          <w:tcPr>
            <w:tcW w:type="dxa" w:w="2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Sursa principală</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 FONDUL RUTIER NAȚIONAL</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17.600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18.200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18.800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19.400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20.000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94.000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Earmarking 80% accize combustibil</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Drumuri naț./județ. (50%)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8.800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9.100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9.400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9.700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47.000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Transport public rute esenț. (15%)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2.640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2.730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2.820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2.910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3.000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14.100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Flotă transport public (10%)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1.760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1.820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1.880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1.940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9.400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Siguranță rutieră (10%)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1.760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1.820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1.880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1.940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9.400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Întreținere drumuri (15%)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2.640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2.730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2.820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2.910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14.100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din care: Drumuri comunale (20% din drumuri)</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1.760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1.820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1.880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1.940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9.400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FRN sub-fond</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 DIGITALIZARE ADMINISTRAȚIE</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2.250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UE + buget ADR</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Platforma PNI (X-Road RO)</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80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430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PNRR + Europa Digitală</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EUDI Wallet / eID</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410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PNRR + buget STS</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Digitalizare primării comună</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850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FEDR + buget ADR</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Platformă consulară digitală</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190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Buget MAE</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e-Factura extindere + formare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370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ANAF + UE</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 AVOCATUL CONTRIBUABILULUI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70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295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Buget Parlament (independent)</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Sediu central + 15 birouri</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45</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Personal (max 200 angajați)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230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Sistem IT + formare</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 TRANSPARENȚĂ PUBLICĂ</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90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70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420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Buget ADR/ANAP/MF + UE</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Portal data.gov.ro modernizat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85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Registrul contractelor (RNCP)</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95</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Portal „Unde merg banii tăi”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Transparență bugetară locală</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135</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 SIGURANȚĂ RUTIERĂ</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1.200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1.400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6.400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FSR (50% amenzi) + buget MAI</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Camere SNSVR (achiziție+instalare)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1.800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FSR + buget MAI inițial</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FSR: marcaje, parapete, iluminat</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650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2.300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 din amenzi rutiere</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FSR: puncte negre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1.350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 din amenzi rutiere</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Platforma e-Contestație</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250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Buget Min. Justiției</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Camere parcare (primării)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700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Bugetele locale</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 TRANSPORT PUBLIC INTERURBAN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350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1.370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FRN + bugete județene</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Registrul e-Transport</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Buget ARR</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Compensații PSO rute esențiale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80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1.130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FRN (15%) + CJ</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Sistem bilet unic digital</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180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UE + buget ARR</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7. URBANISM DIGITAL</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420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PNRR + buget MDLPA</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Platforma e-AC</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145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Registrul e-Urbanism (GIS)</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160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Digitalizare PUG-uri comuni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115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8. DEZVOLTARE RURALĂ INTEGRATĂ</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900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950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800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700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3.950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FRN + FCR + FVC + UE</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Drumuri comunale (din FRN)</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(inclus în FRN)</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(9.400)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Sub-fond FRN</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Broadband rural (FCR)</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1.200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 taxe spectru + FEDR</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Prosumatori rurali (subvenții)</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1.400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AFM Casa Verde + buget</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Fond Verde Comunal</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1.350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 venituri ETS + UE</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9. IMPOZIT VALOARE TEREN (CAMA)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Buget ANCPI + Banca Mondială</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Dezvoltare model CAMA</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Portal evaluare.ancpi.ro</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Calibrare și formare personal</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55</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 REFORMA CADASTRU (PNCCF)</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700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2.500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Buget ANCPI + UE + penalități</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Contracte cadastru noi/reatribuite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1.650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Echipe mobile intabulare</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310</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Comisii conciliere funciară</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130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 Sistem IT e-terra.ro modernizat</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135</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 Personal suplimentar OCPI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275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
            </w:r>
          </w:p>
        </w:tc>
      </w:tr>
      <w:tr>
        <w:tc>
          <w:tcPr>
            <w:tcW w:type="dxa" w:w="38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TOTAL CONSOLIDAT</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20.370</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22.200</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22.845</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23.090</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23.255</w:t>
            </w:r>
          </w:p>
        </w:tc>
        <w:tc>
          <w:tcPr>
            <w:tcW w:type="dxa" w:w="15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111.760</w:t>
            </w:r>
          </w:p>
        </w:tc>
        <w:tc>
          <w:tcPr>
            <w:tcW w:type="dxa" w:w="27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
            </w:r>
          </w:p>
        </w:tc>
      </w:tr>
    </w:tbl>
    <w:p>
      <w:r>
        <w:br w:type="page"/>
      </w:r>
    </w:p>
    <w:p>
      <w:pPr>
        <w:pStyle w:val="Heading1"/>
      </w:pPr>
      <w:r>
        <w:t xml:space="preserve">II. SURSELE DE FINANȚARE</w:t>
      </w:r>
    </w:p>
    <w:p>
      <w:pPr>
        <w:pStyle w:val="Heading2"/>
      </w:pPr>
      <w:r>
        <w:t xml:space="preserve">A. Redistribuirea veniturilor existente (earmarking) — nu bani noi</w:t>
      </w:r>
    </w:p>
    <w:tbl>
      <w:tblPr>
        <w:tblW w:type="dxa" w:w="125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800"/>
        <w:gridCol w:w="1600"/>
        <w:gridCol w:w="36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Sursă</w:t>
            </w:r>
          </w:p>
        </w:tc>
        <w:tc>
          <w:tcPr>
            <w:tcW w:type="dxa" w:w="2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Mecanism</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Estimare anuală</w:t>
            </w:r>
          </w:p>
        </w:tc>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Total 5 ani</w:t>
            </w:r>
          </w:p>
        </w:tc>
        <w:tc>
          <w:tcPr>
            <w:tcW w:type="dxa" w:w="36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Legea care o creează</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 din accize combustibil</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Virare automată în FRN</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17.600-20.000</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~94.000</w:t>
            </w:r>
          </w:p>
        </w:tc>
        <w:tc>
          <w:tcPr>
            <w:tcW w:type="dxa" w:w="36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Legea FRN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 din amenzi rutiere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Virare automată în FSR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800-1.200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~5.000</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Legea Siguranței Rutiere</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Amenzi parcare ilegală</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Rămân la buget local, earmarked</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100-200</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~750</w:t>
            </w:r>
          </w:p>
        </w:tc>
        <w:tc>
          <w:tcPr>
            <w:tcW w:type="dxa" w:w="36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Legea Siguranței Rutiere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 taxe spectru radio</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Virare în FCR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100-150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~625</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Legea Dezvoltării Rurale</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 venituri ETS (Fond Modernizare)</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Virare în FVC</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150-250</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~1.000</w:t>
            </w:r>
          </w:p>
        </w:tc>
        <w:tc>
          <w:tcPr>
            <w:tcW w:type="dxa" w:w="36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Legea Dezvoltării Rurale</w:t>
            </w:r>
          </w:p>
        </w:tc>
      </w:tr>
      <w:tr>
        <w:tc>
          <w:tcPr>
            <w:tcW w:type="dxa" w:w="30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SUBTOTAL EARMARKING</w:t>
            </w:r>
          </w:p>
        </w:tc>
        <w:tc>
          <w:tcPr>
            <w:tcW w:type="dxa" w:w="25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
            </w:r>
          </w:p>
        </w:tc>
        <w:tc>
          <w:tcPr>
            <w:tcW w:type="dxa" w:w="18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~19.750/an</w:t>
            </w:r>
          </w:p>
        </w:tc>
        <w:tc>
          <w:tcPr>
            <w:tcW w:type="dxa" w:w="16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~101.375</w:t>
            </w:r>
          </w:p>
        </w:tc>
        <w:tc>
          <w:tcPr>
            <w:tcW w:type="dxa" w:w="3626"/>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
            </w:r>
          </w:p>
        </w:tc>
      </w:tr>
    </w:tbl>
    <w:p>
      <w:pPr>
        <w:spacing w:after="120"/>
      </w:pPr>
    </w:p>
    <w:p>
      <w:pPr>
        <w:spacing w:after="110" w:line="276"/>
        <w:jc w:val="both"/>
      </w:pPr>
      <w:r>
        <w:rPr>
          <w:b/>
          <w:bCs/>
        </w:rPr>
        <w:t xml:space="preserve">Observație critică: </w:t>
      </w:r>
      <w:r>
        <w:t xml:space="preserve">peste 90% din bugetul total provine din redistribuirea veniturilor existente (accize, amenzi, taxe spectru, ETS). Acești bani se colectează deja — diferența este că astăzi merg în bugetul general fără destinație, iar după reformă merg către scopuri concrete, transparente și verificabile.</w:t>
      </w:r>
    </w:p>
    <w:p>
      <w:pPr>
        <w:pStyle w:val="Heading2"/>
      </w:pPr>
      <w:r>
        <w:t xml:space="preserve">B. Fonduri europene</w:t>
      </w:r>
    </w:p>
    <w:tbl>
      <w:tblPr>
        <w:tblW w:type="dxa" w:w="125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45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Program UE</w:t>
            </w:r>
          </w:p>
        </w:tc>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Domeniu finanțat</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Estimare 5 ani</w:t>
            </w:r>
          </w:p>
        </w:tc>
        <w:tc>
          <w:tcPr>
            <w:tcW w:type="dxa" w:w="45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Observații</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PNRR (pilon digitalizare)</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PNI, eID, e-AC, e-Urbanism</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800-1.200</w:t>
            </w:r>
          </w:p>
        </w:tc>
        <w:tc>
          <w:tcPr>
            <w:tcW w:type="dxa" w:w="45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Fonduri deja alocate parțial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Programul Europa Digitală</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Interoperabilitate, AI, date deschise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200-400</w:t>
            </w:r>
          </w:p>
        </w:tc>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Competiție la nivel UE</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FEDR 2021-2027</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Broadband rural, cadastru, eficiență energetică</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1.500-2.500</w:t>
            </w:r>
          </w:p>
        </w:tc>
        <w:tc>
          <w:tcPr>
            <w:tcW w:type="dxa" w:w="45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Cofinanțare UE 85%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Mecanismul CEF Digital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Infrastructură broadband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300-500</w:t>
            </w:r>
          </w:p>
        </w:tc>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Backhaul fibră optică</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Fondul de Modernizare (ETS)</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Eficiență energetică clădiri publice</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1.000-1.350</w:t>
            </w:r>
          </w:p>
        </w:tc>
        <w:tc>
          <w:tcPr>
            <w:tcW w:type="dxa" w:w="45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 din veniturile RO din ETS</w:t>
            </w:r>
          </w:p>
        </w:tc>
      </w:tr>
      <w:tr>
        <w:tc>
          <w:tcPr>
            <w:tcW w:type="dxa" w:w="30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SUBTOTAL FONDURI UE</w:t>
            </w:r>
          </w:p>
        </w:tc>
        <w:tc>
          <w:tcPr>
            <w:tcW w:type="dxa" w:w="30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
            </w:r>
          </w:p>
        </w:tc>
        <w:tc>
          <w:tcPr>
            <w:tcW w:type="dxa" w:w="20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3.800-5.950</w:t>
            </w:r>
          </w:p>
        </w:tc>
        <w:tc>
          <w:tcPr>
            <w:tcW w:type="dxa" w:w="4526"/>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
            </w:r>
          </w:p>
        </w:tc>
      </w:tr>
    </w:tbl>
    <w:p>
      <w:pPr>
        <w:pStyle w:val="Heading2"/>
      </w:pPr>
      <w:r>
        <w:t xml:space="preserve">C. Buget de stat suplimentar net (bani noi)</w:t>
      </w:r>
    </w:p>
    <w:tbl>
      <w:tblPr>
        <w:tblW w:type="dxa" w:w="13026"/>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300"/>
        <w:gridCol w:w="1300"/>
        <w:gridCol w:w="1300"/>
        <w:gridCol w:w="1300"/>
        <w:gridCol w:w="2726"/>
      </w:tblGrid>
      <w:tr>
        <w:tc>
          <w:tcPr>
            <w:tcW w:type="dxa" w:w="3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Componentă</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2027</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2028</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2029</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2030</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2031</w:t>
            </w:r>
          </w:p>
        </w:tc>
        <w:tc>
          <w:tcPr>
            <w:tcW w:type="dxa" w:w="27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Total 5 ani</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ADR (digitalizare primării, PNI)</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100</w:t>
            </w:r>
          </w:p>
        </w:tc>
        <w:tc>
          <w:tcPr>
            <w:tcW w:type="dxa" w:w="27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900</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Avocatul Contribuabilului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70</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295</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ANCPI (CAMA + cadastru supliment)</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180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80</w:t>
            </w:r>
          </w:p>
        </w:tc>
        <w:tc>
          <w:tcPr>
            <w:tcW w:type="dxa" w:w="27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730</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MAI (SNSVR inițial)</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680</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Min. Justiției (e-Contestație)</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27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MDLPA (e-AC, e-Urbanism)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220</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MAE (platformă consulară)</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27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105</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ARR (e-Transport, bilet unic)</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110</w:t>
            </w:r>
          </w:p>
        </w:tc>
      </w:tr>
      <w:tr>
        <w:tc>
          <w:tcPr>
            <w:tcW w:type="dxa" w:w="3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AFM (prosumatori - supliment)</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w:t>
            </w:r>
          </w:p>
        </w:tc>
        <w:tc>
          <w:tcPr>
            <w:tcW w:type="dxa" w:w="27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700</w:t>
            </w:r>
          </w:p>
        </w:tc>
      </w:tr>
      <w:tr>
        <w:tc>
          <w:tcPr>
            <w:tcW w:type="dxa" w:w="38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TOTAL BUGET NOU NET</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900</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1.010</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815</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645</w:t>
            </w:r>
          </w:p>
        </w:tc>
        <w:tc>
          <w:tcPr>
            <w:tcW w:type="dxa" w:w="13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520</w:t>
            </w:r>
          </w:p>
        </w:tc>
        <w:tc>
          <w:tcPr>
            <w:tcW w:type="dxa" w:w="2726"/>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3.890</w:t>
            </w:r>
          </w:p>
        </w:tc>
      </w:tr>
    </w:tbl>
    <w:p>
      <w:pPr>
        <w:spacing w:after="120"/>
      </w:pPr>
    </w:p>
    <w:p>
      <w:pPr>
        <w:spacing w:after="110" w:line="276"/>
        <w:jc w:val="both"/>
      </w:pPr>
      <w:r>
        <w:rPr>
          <w:b/>
          <w:bCs/>
        </w:rPr>
        <w:t xml:space="preserve">Concluzie: </w:t>
      </w:r>
      <w:r>
        <w:t xml:space="preserve">bugetul suplimentar net de la bugetul de stat este de aproximativ 3,9 miliarde lei pe 5 ani, adică ~780 milioane lei/an. Aceasta reprezintă sub 0,05% din PIB (PIB România 2025 ~1.600 mld lei) sau echivalentul a ~0,5% din cheltuielile bugetare totale. Suma este comparabilă cu costul anual al unui singur stadion de fotbal.</w:t>
      </w:r>
    </w:p>
    <w:p>
      <w:r>
        <w:br w:type="page"/>
      </w:r>
    </w:p>
    <w:p>
      <w:pPr>
        <w:pStyle w:val="Heading1"/>
      </w:pPr>
      <w:r>
        <w:t xml:space="preserve">III. ECONOMII GENERATE DE REFORME</w:t>
      </w:r>
    </w:p>
    <w:p>
      <w:pPr>
        <w:spacing w:after="110" w:line="276"/>
        <w:jc w:val="both"/>
      </w:pPr>
      <w:r>
        <w:t xml:space="preserve">Reformele nu sunt doar cheltuieli — generează economii și venituri suplimentare semnificative:</w:t>
      </w:r>
    </w:p>
    <w:tbl>
      <w:tblPr>
        <w:tblW w:type="dxa" w:w="1252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000"/>
        <w:gridCol w:w="4826"/>
      </w:tblGrid>
      <w:tr>
        <w:tc>
          <w:tcPr>
            <w:tcW w:type="dxa" w:w="3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Sursă de economie/venit</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Estimare anuală (mil lei)</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Estimare 5 ani</w:t>
            </w:r>
          </w:p>
        </w:tc>
        <w:tc>
          <w:tcPr>
            <w:tcW w:type="dxa" w:w="48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b/>
                <w:bCs/>
                <w:color w:val="FFFFFF"/>
                <w:sz w:val="20"/>
                <w:szCs w:val="20"/>
              </w:rPr>
              <w:t xml:space="preserve">Observații</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Eliminarea hârtiei din administrație</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300-500</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1.500-2.500</w:t>
            </w:r>
          </w:p>
        </w:tc>
        <w:tc>
          <w:tcPr>
            <w:tcW w:type="dxa" w:w="4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~500 mil foi/an x cost tipari/transport/arhivare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Reducerea timpului la ghișee (productivitate)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2.000-3.000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10.000-15.000</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~200 mil ore-om/an x valoare medie</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Venituri suplimentare impozit teren (CAMA)</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500-1.000</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2.500-5.000</w:t>
            </w:r>
          </w:p>
        </w:tc>
        <w:tc>
          <w:tcPr>
            <w:tcW w:type="dxa" w:w="4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Evaluare corectă + descurajare speculă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Reducerea mortalității rutiere (valoare statistică)</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1.500-2.500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7.500-12.500</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Reducere 30% x 1.700 morți x val. vieții UE</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Reducerea corupției în achiziții (transparență)</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500-1.500</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2.500-7.500</w:t>
            </w:r>
          </w:p>
        </w:tc>
        <w:tc>
          <w:tcPr>
            <w:tcW w:type="dxa" w:w="4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Estimativ 5-15% din contracte publice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Economii energetice clădiri publice rurale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100-200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500-1.000</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Reducere 50% consum x preț energie</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Venituri din date deschise (valoare economică)</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400-800</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2.000-4.000</w:t>
            </w:r>
          </w:p>
        </w:tc>
        <w:tc>
          <w:tcPr>
            <w:tcW w:type="dxa" w:w="4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b w:val="false"/>
                <w:bCs w:val="false"/>
                <w:color w:val="000000"/>
                <w:sz w:val="20"/>
                <w:szCs w:val="20"/>
              </w:rPr>
              <w:t xml:space="preserve">Estimare UE: 1-2% PIB</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Valoare generată de cadastru complet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300-600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1.500-3.000</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color w:val="000000"/>
                <w:sz w:val="20"/>
                <w:szCs w:val="20"/>
              </w:rPr>
              <w:t xml:space="preserve">Credit ipotecar rural, piață funciară</w:t>
            </w:r>
          </w:p>
        </w:tc>
      </w:tr>
      <w:tr>
        <w:tc>
          <w:tcPr>
            <w:tcW w:type="dxa" w:w="35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TOTAL ECONOMII ESTIMATE</w:t>
            </w:r>
          </w:p>
        </w:tc>
        <w:tc>
          <w:tcPr>
            <w:tcW w:type="dxa" w:w="22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5.600-10.100</w:t>
            </w:r>
          </w:p>
        </w:tc>
        <w:tc>
          <w:tcPr>
            <w:tcW w:type="dxa" w:w="2000"/>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28.000-50.500</w:t>
            </w:r>
          </w:p>
        </w:tc>
        <w:tc>
          <w:tcPr>
            <w:tcW w:type="dxa" w:w="4826"/>
            <w:tcBorders>
              <w:top w:val="single" w:color="999999" w:sz="1"/>
              <w:left w:val="single" w:color="999999" w:sz="1"/>
              <w:bottom w:val="single" w:color="999999" w:sz="1"/>
              <w:right w:val="single" w:color="999999" w:sz="1"/>
            </w:tcBorders>
            <w:shd w:fill="D5E0ED" w:val="clear"/>
            <w:tcMar>
              <w:top w:type="dxa" w:w="60"/>
              <w:left w:type="dxa" w:w="100"/>
              <w:bottom w:type="dxa" w:w="60"/>
              <w:right w:type="dxa" w:w="100"/>
            </w:tcMar>
          </w:tcPr>
          <w:p>
            <w:r>
              <w:rPr>
                <w:b/>
                <w:bCs/>
                <w:sz w:val="20"/>
                <w:szCs w:val="20"/>
              </w:rPr>
              <w:t xml:space="preserve"/>
            </w:r>
          </w:p>
        </w:tc>
      </w:tr>
    </w:tbl>
    <w:p>
      <w:pPr>
        <w:spacing w:after="120"/>
      </w:pPr>
    </w:p>
    <w:p>
      <w:pPr>
        <w:spacing w:after="110" w:line="276"/>
        <w:jc w:val="both"/>
      </w:pPr>
      <w:r>
        <w:rPr>
          <w:b/>
          <w:bCs/>
        </w:rPr>
        <w:t xml:space="preserve">Raportul cost/beneficiu: </w:t>
      </w:r>
      <w:r>
        <w:t xml:space="preserve">pentru fiecare leu investit în aceste reforme, se generează estimativ 3-5 lei în economii, venituri suplimentare și valoare socială. Chiar și la estimarea conservatoare, beneficiile depășesc costurile din anul 2 de implementare.</w:t>
      </w:r>
    </w:p>
    <w:p>
      <w:r>
        <w:br w:type="page"/>
      </w:r>
    </w:p>
    <w:p>
      <w:pPr>
        <w:pStyle w:val="Heading1"/>
      </w:pPr>
      <w:r>
        <w:t xml:space="preserve">IV. RISCURI BUGETARE ȘI MITIGAȚII</w:t>
      </w:r>
    </w:p>
    <w:p>
      <w:pPr>
        <w:pStyle w:val="Heading2"/>
      </w:pPr>
      <w:r>
        <w:t xml:space="preserve">A. Riscuri identificate</w:t>
      </w:r>
    </w:p>
    <w:p>
      <w:pPr>
        <w:spacing w:after="110" w:line="276"/>
        <w:jc w:val="both"/>
      </w:pPr>
      <w:r>
        <w:rPr>
          <w:b/>
          <w:bCs/>
        </w:rPr>
        <w:t xml:space="preserve">1. Volatilitatea veniturilor din accize: </w:t>
      </w:r>
      <w:r>
        <w:t xml:space="preserve">tranziția la vehicule electrice va reduce progresiv baza de impozitare a accizelor pe combustibil. Mitigare: FRN trebuie pregătit pentru tranziția la taxe pe km (road pricing) în orizontul 2030-2035.</w:t>
      </w:r>
    </w:p>
    <w:p>
      <w:pPr>
        <w:spacing w:after="110" w:line="276"/>
        <w:jc w:val="both"/>
      </w:pPr>
      <w:r>
        <w:rPr>
          <w:b/>
          <w:bCs/>
        </w:rPr>
        <w:t xml:space="preserve">2. Absorpția fondurilor europene: </w:t>
      </w:r>
      <w:r>
        <w:t xml:space="preserve">România are un track record modest la absorpția fondurilor UE. Mitigare: digitalizarea și transparența propuse de aceste legi îmbunătățesc capacitatea de absorpție (proiecte pregătite mai rapid, achiziții transparente, monitorizare digitală).</w:t>
      </w:r>
    </w:p>
    <w:p>
      <w:pPr>
        <w:spacing w:after="110" w:line="276"/>
        <w:jc w:val="both"/>
      </w:pPr>
      <w:r>
        <w:rPr>
          <w:b/>
          <w:bCs/>
        </w:rPr>
        <w:t xml:space="preserve">3. Rezistența instituțională: </w:t>
      </w:r>
      <w:r>
        <w:t xml:space="preserve">funcționarii publici și instituțiile vor rezista schimbării. Mitigare: sancțiunile personale (nu instituționale) și termenele imperative creează presiune concretă.</w:t>
      </w:r>
    </w:p>
    <w:p>
      <w:pPr>
        <w:spacing w:after="110" w:line="276"/>
        <w:jc w:val="both"/>
      </w:pPr>
      <w:r>
        <w:rPr>
          <w:b/>
          <w:bCs/>
        </w:rPr>
        <w:t xml:space="preserve">4. Capacitate de implementare: </w:t>
      </w:r>
      <w:r>
        <w:t xml:space="preserve">multe reforme necesită IT sofisticat (PNI, CAMA, SNSVR). Mitigare: codul open-source, asistență internațională (Estonia, Banca Mondială), implementare progresivă cu faze pilot.</w:t>
      </w:r>
    </w:p>
    <w:p>
      <w:pPr>
        <w:spacing w:after="110" w:line="276"/>
        <w:jc w:val="both"/>
      </w:pPr>
      <w:r>
        <w:rPr>
          <w:b/>
          <w:bCs/>
        </w:rPr>
        <w:t xml:space="preserve">5. Deficit bugetar: </w:t>
      </w:r>
      <w:r>
        <w:t xml:space="preserve">România e sub procedură de deficit excesiv UE. Mitigare: bugetul suplimentar net (~780 mil/an) este minim; earmarking-ul NU crește cheltuielile, doar le redirectează; economiile generate compensează rapid investiția.</w:t>
      </w:r>
    </w:p>
    <w:p>
      <w:pPr>
        <w:pStyle w:val="Heading2"/>
      </w:pPr>
      <w:r>
        <w:t xml:space="preserve">B. Prioritizarea în caz de constrângeri bugetare</w:t>
      </w:r>
    </w:p>
    <w:p>
      <w:pPr>
        <w:spacing w:after="110" w:line="276"/>
        <w:jc w:val="both"/>
      </w:pPr>
      <w:r>
        <w:t xml:space="preserve">Dacă resursele sunt limitate, legile se implementează în următoarea ordine de prioritate:</w:t>
      </w:r>
    </w:p>
    <w:p>
      <w:pPr>
        <w:spacing w:after="110" w:line="276"/>
        <w:jc w:val="both"/>
      </w:pPr>
      <w:r>
        <w:rPr>
          <w:b/>
          <w:bCs/>
        </w:rPr>
        <w:t xml:space="preserve">Prioritatea 1 (cost zero — doar redistribuire): </w:t>
      </w:r>
      <w:r>
        <w:t xml:space="preserve">FRN (earmarking accize) + Eliminarea ștampilei + Principiul „doar o dată”. Nu costă nimic, doar redirectăm bani existenеi și eliminăm birocrаția.</w:t>
      </w:r>
    </w:p>
    <w:p>
      <w:pPr>
        <w:spacing w:after="110" w:line="276"/>
        <w:jc w:val="both"/>
      </w:pPr>
      <w:r>
        <w:rPr>
          <w:b/>
          <w:bCs/>
        </w:rPr>
        <w:t xml:space="preserve">Prioritatea 2 (cost mic, impact mare): </w:t>
      </w:r>
      <w:r>
        <w:t xml:space="preserve">Codul Contribuabilului + Date deschise + Transparență contracte. Sub 200 mil lei/an, impact masiv în încredere și reducere corupție.</w:t>
      </w:r>
    </w:p>
    <w:p>
      <w:pPr>
        <w:spacing w:after="110" w:line="276"/>
        <w:jc w:val="both"/>
      </w:pPr>
      <w:r>
        <w:rPr>
          <w:b/>
          <w:bCs/>
        </w:rPr>
        <w:t xml:space="preserve">Prioritatea 3 (investiie medie, ROI rapid): </w:t>
      </w:r>
      <w:r>
        <w:t xml:space="preserve">Digitalizare (PNI + eID) + Cadastru. Costul se recuperează în 2-3 ani din economii.</w:t>
      </w:r>
    </w:p>
    <w:p>
      <w:pPr>
        <w:spacing w:after="110" w:line="276"/>
        <w:jc w:val="both"/>
      </w:pPr>
      <w:r>
        <w:rPr>
          <w:b/>
          <w:bCs/>
        </w:rPr>
        <w:t xml:space="preserve">Prioritatea 4 (investiție mare, ROI pe termen lung): </w:t>
      </w:r>
      <w:r>
        <w:t xml:space="preserve">SNSVR + Broadband rural + CAMA. Impact profund dar necesită timp și capital.</w:t>
      </w:r>
    </w:p>
    <w:p>
      <w:r>
        <w:br w:type="page"/>
      </w:r>
    </w:p>
    <w:p>
      <w:pPr>
        <w:pStyle w:val="Heading1"/>
      </w:pPr>
      <w:r>
        <w:t xml:space="preserve">V. CORELAȚIA DINTRE LEGI</w:t>
      </w:r>
    </w:p>
    <w:p>
      <w:pPr>
        <w:spacing w:after="110" w:line="276"/>
        <w:jc w:val="both"/>
      </w:pPr>
      <w:r>
        <w:t xml:space="preserve">Legile din pachet nu sunt independente — se susțin reciproc:</w:t>
      </w:r>
    </w:p>
    <w:p>
      <w:pPr>
        <w:spacing w:after="110" w:line="276"/>
        <w:jc w:val="both"/>
      </w:pPr>
      <w:r>
        <w:rPr>
          <w:b/>
          <w:bCs/>
        </w:rPr>
        <w:t xml:space="preserve">• Legea Digitalizării</w:t>
      </w:r>
      <w:r>
        <w:t xml:space="preserve"> este fundamentul: PNI și eID sunt necesare pentru e-AC, e-Transport, e-Contestație, servicii consulare, portal „Unde merg banii”.</w:t>
      </w:r>
    </w:p>
    <w:p>
      <w:pPr>
        <w:spacing w:after="110" w:line="276"/>
        <w:jc w:val="both"/>
      </w:pPr>
      <w:r>
        <w:rPr>
          <w:b/>
          <w:bCs/>
        </w:rPr>
        <w:t xml:space="preserve">• Legea Transparenței</w:t>
      </w:r>
      <w:r>
        <w:t xml:space="preserve"> furnizează standardele de date deschise pentru toate celelalte portale (FRN, FSR, e-Transport, e-Urbanism, evaluare CAMA).</w:t>
      </w:r>
    </w:p>
    <w:p>
      <w:pPr>
        <w:spacing w:after="110" w:line="276"/>
        <w:jc w:val="both"/>
      </w:pPr>
      <w:r>
        <w:rPr>
          <w:b/>
          <w:bCs/>
        </w:rPr>
        <w:t xml:space="preserve">• Reforma Cadastrului</w:t>
      </w:r>
      <w:r>
        <w:t xml:space="preserve"> este condiție prealabilă pentru Impozitul pe Valoarea Terenului și pentru e-Urbanism (nu poți digitaliza PUZ-urile fără cadastru).</w:t>
      </w:r>
    </w:p>
    <w:p>
      <w:pPr>
        <w:spacing w:after="110" w:line="276"/>
        <w:jc w:val="both"/>
      </w:pPr>
      <w:r>
        <w:rPr>
          <w:b/>
          <w:bCs/>
        </w:rPr>
        <w:t xml:space="preserve">• FRN</w:t>
      </w:r>
      <w:r>
        <w:t xml:space="preserve"> finanțează atât drumurile cât și transportul public interurban (rute esențiale) și drumurile comunale.</w:t>
      </w:r>
    </w:p>
    <w:p>
      <w:pPr>
        <w:spacing w:after="110" w:line="276"/>
        <w:jc w:val="both"/>
      </w:pPr>
      <w:r>
        <w:rPr>
          <w:b/>
          <w:bCs/>
        </w:rPr>
        <w:t xml:space="preserve">• Codul Contribuabilului + Tăcerea administrativă pozitivă</w:t>
      </w:r>
      <w:r>
        <w:t xml:space="preserve"> se aplică tuturor celorlalte legi (avize, cereri, contestații).</w:t>
      </w:r>
    </w:p>
    <w:p>
      <w:pPr>
        <w:spacing w:after="110" w:line="276"/>
        <w:jc w:val="both"/>
      </w:pPr>
      <w:r>
        <w:rPr>
          <w:b/>
          <w:bCs/>
        </w:rPr>
        <w:t xml:space="preserve">• Siguranța rutieră</w:t>
      </w:r>
      <w:r>
        <w:t xml:space="preserve"> beneficiază de FRN (infrastructură), digitalizare (e-Contestație) și transparență (portal FSR).</w:t>
      </w:r>
    </w:p>
    <w:p>
      <w:pPr>
        <w:spacing w:before="400"/>
      </w:pPr>
    </w:p>
    <w:p>
      <w:pPr>
        <w:spacing w:after="110" w:line="276"/>
        <w:jc w:val="both"/>
      </w:pPr>
      <w:r>
        <w:rPr>
          <w:b/>
          <w:bCs/>
        </w:rPr>
        <w:t xml:space="preserve">Notă: </w:t>
      </w:r>
      <w:r>
        <w:t xml:space="preserve">Toate sumele sunt estimative, la prețuri constante 2026, și vor necesita actualizare la momentul adoptării fiecărei legi. Estimierile se bazează pe date publice (execuția bugetară 2024, rapoartele ANAF, datele Comisiei Europene) și pe benchmarkuri internaționale. Acest document nu constituie consultanță financiară sau juridică.</w:t>
      </w:r>
    </w:p>
    <w:sectPr>
      <w:headerReference w:type="default" r:id="rId7"/>
      <w:footerReference w:type="default" r:id="rId8"/>
      <w:pgSz w:w="16838" w:h="11906" w:orient="landscape"/>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Analiză Bugetară — Pachet Legislativ de Reformă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2E509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2026-04-03T17:06:14.275Z</dcterms:created>
  <dcterms:modified xsi:type="dcterms:W3CDTF">2026-04-03T17:06:14.275Z</dcterms:modified>
</cp:coreProperties>
</file>

<file path=docProps/custom.xml><?xml version="1.0" encoding="utf-8"?>
<Properties xmlns="http://schemas.openxmlformats.org/officeDocument/2006/custom-properties" xmlns:vt="http://schemas.openxmlformats.org/officeDocument/2006/docPropsVTypes"/>
</file>