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0"/>
          <w:szCs w:val="40"/>
        </w:rPr>
        <w:t xml:space="preserve">PROPUNERE LEGISLATIVĂ</w:t>
      </w:r>
    </w:p>
    <w:p>
      <w:pPr>
        <w:pBdr>
          <w:bottom w:val="single" w:color="1F3864" w:sz="6" w:space="8"/>
        </w:pBdr>
        <w:spacing w:after="100"/>
        <w:jc w:val="center"/>
      </w:pPr>
      <w:r>
        <w:rPr>
          <w:i/>
          <w:iCs/>
          <w:color w:val="555555"/>
          <w:sz w:val="28"/>
          <w:szCs w:val="28"/>
        </w:rPr>
        <w:t xml:space="preserve">Inițiativă Cetățeanească / Proiect de Lege</w:t>
      </w:r>
    </w:p>
    <w:p>
      <w:pPr>
        <w:spacing w:before="600"/>
      </w:pPr>
    </w:p>
    <w:p>
      <w:pPr>
        <w:spacing w:after="300"/>
        <w:jc w:val="center"/>
      </w:pPr>
      <w:r>
        <w:rPr>
          <w:b/>
          <w:bCs/>
          <w:color w:val="1F3864"/>
          <w:sz w:val="48"/>
          <w:szCs w:val="48"/>
        </w:rPr>
        <w:t xml:space="preserve">LEGE</w:t>
      </w:r>
    </w:p>
    <w:p>
      <w:pPr>
        <w:spacing w:after="100"/>
        <w:jc w:val="center"/>
      </w:pPr>
      <w:r>
        <w:rPr>
          <w:sz w:val="32"/>
          <w:szCs w:val="32"/>
        </w:rPr>
        <w:t xml:space="preserve">privind reforma transportului public interurban de persoane,</w:t>
      </w:r>
    </w:p>
    <w:p>
      <w:pPr>
        <w:spacing w:after="100"/>
        <w:jc w:val="center"/>
      </w:pPr>
      <w:r>
        <w:rPr>
          <w:sz w:val="32"/>
          <w:szCs w:val="32"/>
        </w:rPr>
        <w:t xml:space="preserve">obligația de serviciu public și licențierea transparentă</w:t>
      </w:r>
    </w:p>
    <w:p>
      <w:pPr>
        <w:spacing w:after="60"/>
        <w:jc w:val="center"/>
      </w:pPr>
      <w:r>
        <w:rPr>
          <w:b/>
          <w:bCs/>
          <w:i/>
          <w:iCs/>
          <w:color w:val="2E5090"/>
          <w:sz w:val="28"/>
          <w:szCs w:val="28"/>
        </w:rPr>
        <w:t xml:space="preserve">(Legea Transportului Public Interurban)</w:t>
      </w:r>
    </w:p>
    <w:p>
      <w:pPr>
        <w:spacing w:before="1200"/>
      </w:pPr>
    </w:p>
    <w:p>
      <w:pPr>
        <w:spacing w:after="60"/>
        <w:jc w:val="center"/>
      </w:pPr>
      <w:r>
        <w:rPr>
          <w:color w:val="777777"/>
          <w:sz w:val="22"/>
          <w:szCs w:val="22"/>
        </w:rPr>
        <w:t xml:space="preserve">Document de lucru — Aprilie 2026</w:t>
      </w:r>
    </w:p>
    <w:p>
      <w:pPr>
        <w:jc w:val="center"/>
      </w:pPr>
      <w:r>
        <w:rPr>
          <w:color w:val="777777"/>
          <w:sz w:val="22"/>
          <w:szCs w:val="22"/>
        </w:rPr>
        <w:t xml:space="preserve">Versiune pentru consultare cu asociații profesionale și parlamentari</w:t>
      </w:r>
    </w:p>
    <w:p>
      <w:pPr>
        <w:sectPr>
          <w:pgSz w:w="11906" w:h="16838" w:orient="portrait"/>
          <w:pgMar w:top="1440" w:right="1440" w:bottom="1440" w:left="1440" w:header="708" w:footer="708" w:gutter="0"/>
          <w:pgNumType/>
          <w:docGrid w:linePitch="360"/>
        </w:sectPr>
      </w:pPr>
    </w:p>
    <w:p>
      <w:pPr>
        <w:pStyle w:val="Heading1"/>
      </w:pPr>
      <w:r>
        <w:t xml:space="preserve">EXPUNERE DE MOTIVE</w:t>
      </w:r>
    </w:p>
    <w:p>
      <w:pPr>
        <w:pStyle w:val="Heading2"/>
      </w:pPr>
      <w:r>
        <w:t xml:space="preserve">I. Contextul actual</w:t>
      </w:r>
    </w:p>
    <w:p>
      <w:pPr>
        <w:spacing w:after="110" w:line="276"/>
        <w:jc w:val="both"/>
      </w:pPr>
      <w:r>
        <w:t xml:space="preserve">Sistemul de transport public interurban de persoane din România este într-o criză profundă. Licențele de traseu se acordă netransparent, adesea prin negociere directă între operatori și autoritățile județene. Operatorii abandonează rutele neprofitabile fără consecințe contractuale. Sute de localități rurale — unele cu mii de locuitori — nu au niciun serviciu regulat de transport public.</w:t>
      </w:r>
    </w:p>
    <w:p>
      <w:pPr>
        <w:spacing w:after="110" w:line="276"/>
        <w:jc w:val="both"/>
      </w:pPr>
      <w:r>
        <w:t xml:space="preserve">Argumentul că acciza pe combustibil descurajează consumul și încurajează transportul public este inaplicabil în România rurală. Când alternativa la mașina personală nu există, acciza funcționează ca o taxă regresivă care afectează disproporționat comunitățile cu venituri mici.</w:t>
      </w:r>
    </w:p>
    <w:p>
      <w:pPr>
        <w:pStyle w:val="Heading2"/>
      </w:pPr>
      <w:r>
        <w:t xml:space="preserve">II. Amploarea problemei</w:t>
      </w:r>
    </w:p>
    <w:p>
      <w:pPr>
        <w:spacing w:after="110" w:line="276"/>
        <w:jc w:val="both"/>
      </w:pPr>
      <w:r>
        <w:t xml:space="preserve">Conform datelor INS și ale Autorității Rutiere Române (ARR), peste 2.000 de localități din România nu au nicio cursă regulată de transport public interurban. Multe dintre acestea sunt localități cu 500-3.000 de locuitori, cu populație îmbătrânită, fără acces la rețeaua feroviară, ale căror locuitori depind de mașina personală sau de bunavțina vecinilor pentru a ajunge la spital, liceu sau piață.</w:t>
      </w:r>
    </w:p>
    <w:p>
      <w:pPr>
        <w:spacing w:after="110" w:line="276"/>
        <w:jc w:val="both"/>
      </w:pPr>
      <w:r>
        <w:t xml:space="preserve">Flota de transport interurban este învăchită: vârsta medie a autobuzelor depășește 15 ani. Accesibilitatea pentru persoane cu mobilitate redusă este practic inexistentă.</w:t>
      </w:r>
    </w:p>
    <w:p>
      <w:pPr>
        <w:pStyle w:val="Heading2"/>
      </w:pPr>
      <w:r>
        <w:t xml:space="preserve">III. Cauze structurale</w:t>
      </w:r>
    </w:p>
    <w:p>
      <w:pPr>
        <w:spacing w:after="110" w:line="276"/>
        <w:jc w:val="both"/>
      </w:pPr>
      <w:r>
        <w:t xml:space="preserve">Cadrul legislativ actual (L.92/2007 și OG 27/2011) nu impune o obligație de serviciu public (PSO) clară. Consiliile județene sunt teoretic autorități organizatoare, dar nu au nici resurse, nici mecanisme eficiente de a garanta acoperirea teritoriului. Licențierea se face pe baza cererii operatorilor, nu pe baza nevoilor comunităților. Nu există un registru public al rutelor, al orarelor și al gradului de acoperire.</w:t>
      </w:r>
    </w:p>
    <w:p>
      <w:pPr>
        <w:pStyle w:val="Heading2"/>
      </w:pPr>
      <w:r>
        <w:t xml:space="preserve">IV. Modele europene</w:t>
      </w:r>
    </w:p>
    <w:p>
      <w:pPr>
        <w:spacing w:after="110" w:line="276"/>
        <w:jc w:val="both"/>
      </w:pPr>
      <w:r>
        <w:t xml:space="preserve">Regulamentul (CE) 1370/2007 stabilește cadrul UE pentru obligațiile de serviciu public în transportul de persoane. Franța, Germania, Austria, țările nordice operează sisteme în care: orice localitate cu peste un anumit prag de populație are acces garantat la transport public; rutele neprofitabile sunt subvenționate transparent; operatorii sunt selectați prin licitații competitive; și performanța e monitorizată cu indicatori clari.</w:t>
      </w:r>
    </w:p>
    <w:p>
      <w:pPr>
        <w:pStyle w:val="Heading2"/>
      </w:pPr>
      <w:r>
        <w:t xml:space="preserve">V. Soluția propusă</w:t>
      </w:r>
    </w:p>
    <w:p>
      <w:pPr>
        <w:spacing w:after="110" w:line="276"/>
        <w:jc w:val="both"/>
      </w:pPr>
      <w:r>
        <w:t xml:space="preserve">Prezenta lege transformă transportul public interurban dintr-un serviciu lăsat la voia pieței într-un serviciu de interes economic general, cu obligație de acoperire. Creează registrul național al rutelor, impune licențierea transparentă prin licitație, stabilește indicatori de performanță cu consecințe reale, și asigură subvenționarea rutelor esențiale din Fondul Rutier Național.</w:t>
      </w:r>
    </w:p>
    <w:p>
      <w:r>
        <w:br w:type="page"/>
      </w:r>
    </w:p>
    <w:p>
      <w:pPr>
        <w:pStyle w:val="Heading1"/>
      </w:pPr>
      <w:r>
        <w:t xml:space="preserve">TEXTUL PROIECTULUI DE LEGE</w:t>
      </w:r>
    </w:p>
    <w:p>
      <w:pPr>
        <w:spacing w:after="200" w:before="200"/>
        <w:jc w:val="center"/>
      </w:pPr>
      <w:r>
        <w:rPr>
          <w:i/>
          <w:iCs/>
          <w:sz w:val="24"/>
          <w:szCs w:val="24"/>
        </w:rPr>
        <w:t xml:space="preserve">Parlamentul României adoptă prezenta lege:</w:t>
      </w:r>
    </w:p>
    <w:p>
      <w:pPr>
        <w:pStyle w:val="Heading2"/>
      </w:pPr>
      <w:r>
        <w:t xml:space="preserve">CAPITOLUL I — Dispoziții generale și principii</w:t>
      </w:r>
    </w:p>
    <w:p>
      <w:pPr>
        <w:spacing w:after="100" w:before="220" w:line="276"/>
      </w:pPr>
      <w:r>
        <w:rPr>
          <w:b/>
          <w:bCs/>
        </w:rPr>
        <w:t xml:space="preserve">Art. 1. </w:t>
      </w:r>
      <w:r>
        <w:rPr>
          <w:b/>
          <w:bCs/>
        </w:rPr>
        <w:t xml:space="preserve">Obiectul legii</w:t>
      </w:r>
    </w:p>
    <w:p>
      <w:pPr>
        <w:spacing w:after="70" w:line="276"/>
        <w:jc w:val="both"/>
      </w:pPr>
      <w:r>
        <w:rPr>
          <w:b/>
          <w:bCs/>
        </w:rPr>
        <w:t xml:space="preserve">(1) </w:t>
      </w:r>
      <w:r>
        <w:t xml:space="preserve">Prezenta lege reglementează organizarea, licențierea, subvenționarea și monitorizarea transportului public interurban de persoane, în regim de obligație de serviciu public.</w:t>
      </w:r>
    </w:p>
    <w:p>
      <w:pPr>
        <w:spacing w:after="70" w:line="276"/>
        <w:jc w:val="both"/>
      </w:pPr>
      <w:r>
        <w:rPr>
          <w:b/>
          <w:bCs/>
        </w:rPr>
        <w:t xml:space="preserve">(2) </w:t>
      </w:r>
      <w:r>
        <w:t xml:space="preserve">Legea se aplică rutelor de transport public de persoane între localități (interurban), inclusiv rutelor județene și interjudețene. Nu se aplică transportului urban în interiorul unui municipiu.</w:t>
      </w:r>
    </w:p>
    <w:p>
      <w:pPr>
        <w:spacing w:after="100" w:before="220" w:line="276"/>
      </w:pPr>
      <w:r>
        <w:rPr>
          <w:b/>
          <w:bCs/>
        </w:rPr>
        <w:t xml:space="preserve">Art. 2. </w:t>
      </w:r>
      <w:r>
        <w:rPr>
          <w:b/>
          <w:bCs/>
        </w:rPr>
        <w:t xml:space="preserve">Transportul public — serviciu de interes economic general</w:t>
      </w:r>
    </w:p>
    <w:p>
      <w:pPr>
        <w:spacing w:after="70" w:line="276"/>
        <w:jc w:val="both"/>
      </w:pPr>
      <w:r>
        <w:rPr>
          <w:b/>
          <w:bCs/>
        </w:rPr>
        <w:t xml:space="preserve">(1) </w:t>
      </w:r>
      <w:r>
        <w:rPr>
          <w:b/>
          <w:bCs/>
        </w:rPr>
        <w:t xml:space="preserve">Transportul public interurban de persoane este serviciu de interes economic general. Statul garantează accesul la transport public regulat pentru toate localitățile cu peste 500 de locuitori.</w:t>
      </w:r>
    </w:p>
    <w:p>
      <w:pPr>
        <w:spacing w:after="70" w:line="276"/>
        <w:jc w:val="both"/>
      </w:pPr>
      <w:r>
        <w:rPr>
          <w:b/>
          <w:bCs/>
        </w:rPr>
        <w:t xml:space="preserve">(2) </w:t>
      </w:r>
      <w:r>
        <w:t xml:space="preserve">Consiliile județene sunt autoritățile organizatoare responsabile de asigurarea acoperirii teritoriului cu servicii de transport public, în conformitate cu Regulamentul (CE) 1370/2007.</w:t>
      </w:r>
    </w:p>
    <w:p>
      <w:pPr>
        <w:spacing w:after="70" w:line="276"/>
        <w:jc w:val="both"/>
      </w:pPr>
      <w:r>
        <w:rPr>
          <w:b/>
          <w:bCs/>
        </w:rPr>
        <w:t xml:space="preserve">(3) </w:t>
      </w:r>
      <w:r>
        <w:t xml:space="preserve">Autoritatea Rutieră Română (ARR) asigură coordonarea națională, armonizarea interjudețeană și monitorizarea indicatorilor de performanță.</w:t>
      </w:r>
    </w:p>
    <w:p>
      <w:pPr>
        <w:spacing w:after="100" w:before="220" w:line="276"/>
      </w:pPr>
      <w:r>
        <w:rPr>
          <w:b/>
          <w:bCs/>
        </w:rPr>
        <w:t xml:space="preserve">Art. 3. </w:t>
      </w:r>
      <w:r>
        <w:rPr>
          <w:b/>
          <w:bCs/>
        </w:rPr>
        <w:t xml:space="preserve">Definiții</w:t>
      </w:r>
    </w:p>
    <w:p>
      <w:pPr>
        <w:spacing w:after="70" w:line="276"/>
        <w:jc w:val="both"/>
      </w:pPr>
      <w:r>
        <w:rPr>
          <w:b/>
          <w:bCs/>
        </w:rPr>
        <w:t xml:space="preserve">(1) </w:t>
      </w:r>
      <w:r>
        <w:t xml:space="preserve">În sensul prezentei legi:</w:t>
      </w:r>
    </w:p>
    <w:p>
      <w:pPr>
        <w:spacing w:after="50" w:line="276"/>
        <w:ind w:left="720"/>
        <w:jc w:val="both"/>
      </w:pPr>
      <w:r>
        <w:rPr>
          <w:b/>
          <w:bCs/>
        </w:rPr>
        <w:t xml:space="preserve">a) </w:t>
      </w:r>
      <w:r>
        <w:rPr>
          <w:b/>
          <w:bCs/>
        </w:rPr>
        <w:t xml:space="preserve">Rută esențială</w:t>
      </w:r>
      <w:r>
        <w:t xml:space="preserve"> — rută de transport public care deservește localități fără alternativă viabilă de transport, identificată conform criteriilor de la art. 8;</w:t>
      </w:r>
    </w:p>
    <w:p>
      <w:pPr>
        <w:spacing w:after="50" w:line="276"/>
        <w:ind w:left="720"/>
        <w:jc w:val="both"/>
      </w:pPr>
      <w:r>
        <w:rPr>
          <w:b/>
          <w:bCs/>
        </w:rPr>
        <w:t xml:space="preserve">b) </w:t>
      </w:r>
      <w:r>
        <w:rPr>
          <w:b/>
          <w:bCs/>
        </w:rPr>
        <w:t xml:space="preserve">Zonă albă</w:t>
      </w:r>
      <w:r>
        <w:t xml:space="preserve"> — localitate cu peste 500 de locuitori care nu este deservită de nicio cursă regulată de transport public (nici rutier, nici feroviar) cu minim 2 curse/zi pe sens;</w:t>
      </w:r>
    </w:p>
    <w:p>
      <w:pPr>
        <w:spacing w:after="50" w:line="276"/>
        <w:ind w:left="720"/>
        <w:jc w:val="both"/>
      </w:pPr>
      <w:r>
        <w:rPr>
          <w:b/>
          <w:bCs/>
        </w:rPr>
        <w:t xml:space="preserve">c) </w:t>
      </w:r>
      <w:r>
        <w:rPr>
          <w:b/>
          <w:bCs/>
        </w:rPr>
        <w:t xml:space="preserve">Obligație de serviciu public (PSO)</w:t>
      </w:r>
      <w:r>
        <w:t xml:space="preserve"> — cerința impusă unui operator de a presta un serviciu de transport pe rute pe care nu l-ar presta în condiții pur comerciale, în schimbul unei compensații;</w:t>
      </w:r>
    </w:p>
    <w:p>
      <w:pPr>
        <w:spacing w:after="50" w:line="276"/>
        <w:ind w:left="720"/>
        <w:jc w:val="both"/>
      </w:pPr>
      <w:r>
        <w:rPr>
          <w:b/>
          <w:bCs/>
        </w:rPr>
        <w:t xml:space="preserve">d) </w:t>
      </w:r>
      <w:r>
        <w:rPr>
          <w:b/>
          <w:bCs/>
        </w:rPr>
        <w:t xml:space="preserve">Compensație PSO</w:t>
      </w:r>
      <w:r>
        <w:t xml:space="preserve"> — suma plătită operatorului pentru a acoperi diferența între costul real de operare și veniturile din bilete pe ruta esențială;</w:t>
      </w:r>
    </w:p>
    <w:p>
      <w:pPr>
        <w:spacing w:after="50" w:line="276"/>
        <w:ind w:left="720"/>
        <w:jc w:val="both"/>
      </w:pPr>
      <w:r>
        <w:rPr>
          <w:b/>
          <w:bCs/>
        </w:rPr>
        <w:t xml:space="preserve">e) </w:t>
      </w:r>
      <w:r>
        <w:rPr>
          <w:b/>
          <w:bCs/>
        </w:rPr>
        <w:t xml:space="preserve">Autoritate organizatoare</w:t>
      </w:r>
      <w:r>
        <w:t xml:space="preserve"> — consiliul județean sau, în cazul rutelor interjudețene, ARR;</w:t>
      </w:r>
    </w:p>
    <w:p>
      <w:pPr>
        <w:spacing w:after="50" w:line="276"/>
        <w:ind w:left="720"/>
        <w:jc w:val="both"/>
      </w:pPr>
      <w:r>
        <w:rPr>
          <w:b/>
          <w:bCs/>
        </w:rPr>
        <w:t xml:space="preserve">f) </w:t>
      </w:r>
      <w:r>
        <w:rPr>
          <w:b/>
          <w:bCs/>
        </w:rPr>
        <w:t xml:space="preserve">Licență de traseu</w:t>
      </w:r>
      <w:r>
        <w:t xml:space="preserve"> — dreptul de a opera o rută de transport public, acordat prin licitație publică.</w:t>
      </w:r>
    </w:p>
    <w:p>
      <w:pPr>
        <w:pStyle w:val="Heading2"/>
      </w:pPr>
      <w:r>
        <w:t xml:space="preserve">CAPITOLUL II — Registrul Național al Rutelor</w:t>
      </w:r>
    </w:p>
    <w:p>
      <w:pPr>
        <w:spacing w:after="100" w:before="220" w:line="276"/>
      </w:pPr>
      <w:r>
        <w:rPr>
          <w:b/>
          <w:bCs/>
        </w:rPr>
        <w:t xml:space="preserve">Art. 4. </w:t>
      </w:r>
      <w:r>
        <w:rPr>
          <w:b/>
          <w:bCs/>
        </w:rPr>
        <w:t xml:space="preserve">Constituirea registrului</w:t>
      </w:r>
    </w:p>
    <w:p>
      <w:pPr>
        <w:spacing w:after="70" w:line="276"/>
        <w:jc w:val="both"/>
      </w:pPr>
      <w:r>
        <w:rPr>
          <w:b/>
          <w:bCs/>
        </w:rPr>
        <w:t xml:space="preserve">(1) </w:t>
      </w:r>
      <w:r>
        <w:t xml:space="preserve">Se creează Registrul Național al Rutelor de Transport Public Interurban (e-Transport), operat de ARR, ca platformă publică online.</w:t>
      </w:r>
    </w:p>
    <w:p>
      <w:pPr>
        <w:spacing w:after="70" w:line="276"/>
        <w:jc w:val="both"/>
      </w:pPr>
      <w:r>
        <w:rPr>
          <w:b/>
          <w:bCs/>
        </w:rPr>
        <w:t xml:space="preserve">(2) </w:t>
      </w:r>
      <w:r>
        <w:t xml:space="preserve">Registrul conține, pentru fiecare rută licențiată:</w:t>
      </w:r>
    </w:p>
    <w:p>
      <w:pPr>
        <w:spacing w:after="50" w:line="276"/>
        <w:ind w:left="720"/>
        <w:jc w:val="both"/>
      </w:pPr>
      <w:r>
        <w:rPr>
          <w:b/>
          <w:bCs/>
        </w:rPr>
        <w:t xml:space="preserve">a) </w:t>
      </w:r>
      <w:r>
        <w:t xml:space="preserve">traseul (localități deservite, stații, km);</w:t>
      </w:r>
    </w:p>
    <w:p>
      <w:pPr>
        <w:spacing w:after="50" w:line="276"/>
        <w:ind w:left="720"/>
        <w:jc w:val="both"/>
      </w:pPr>
      <w:r>
        <w:rPr>
          <w:b/>
          <w:bCs/>
        </w:rPr>
        <w:t xml:space="preserve">b) </w:t>
      </w:r>
      <w:r>
        <w:t xml:space="preserve">operatorul (denumire, CUI, date de contact);</w:t>
      </w:r>
    </w:p>
    <w:p>
      <w:pPr>
        <w:spacing w:after="50" w:line="276"/>
        <w:ind w:left="720"/>
        <w:jc w:val="both"/>
      </w:pPr>
      <w:r>
        <w:rPr>
          <w:b/>
          <w:bCs/>
        </w:rPr>
        <w:t xml:space="preserve">c) </w:t>
      </w:r>
      <w:r>
        <w:t xml:space="preserve">frecvența (număr curse/zi pe sens, zilele de operare);</w:t>
      </w:r>
    </w:p>
    <w:p>
      <w:pPr>
        <w:spacing w:after="50" w:line="276"/>
        <w:ind w:left="720"/>
        <w:jc w:val="both"/>
      </w:pPr>
      <w:r>
        <w:rPr>
          <w:b/>
          <w:bCs/>
        </w:rPr>
        <w:t xml:space="preserve">d) </w:t>
      </w:r>
      <w:r>
        <w:t xml:space="preserve">orarul actualizat;</w:t>
      </w:r>
    </w:p>
    <w:p>
      <w:pPr>
        <w:spacing w:after="50" w:line="276"/>
        <w:ind w:left="720"/>
        <w:jc w:val="both"/>
      </w:pPr>
      <w:r>
        <w:rPr>
          <w:b/>
          <w:bCs/>
        </w:rPr>
        <w:t xml:space="preserve">e) </w:t>
      </w:r>
      <w:r>
        <w:t xml:space="preserve">tipul vehiculului (capacitate, vârstă, accesibilitate PMR);</w:t>
      </w:r>
    </w:p>
    <w:p>
      <w:pPr>
        <w:spacing w:after="50" w:line="276"/>
        <w:ind w:left="720"/>
        <w:jc w:val="both"/>
      </w:pPr>
      <w:r>
        <w:rPr>
          <w:b/>
          <w:bCs/>
        </w:rPr>
        <w:t xml:space="preserve">f) </w:t>
      </w:r>
      <w:r>
        <w:t xml:space="preserve">tariful practicat;</w:t>
      </w:r>
    </w:p>
    <w:p>
      <w:pPr>
        <w:spacing w:after="50" w:line="276"/>
        <w:ind w:left="720"/>
        <w:jc w:val="both"/>
      </w:pPr>
      <w:r>
        <w:rPr>
          <w:b/>
          <w:bCs/>
        </w:rPr>
        <w:t xml:space="preserve">g) </w:t>
      </w:r>
      <w:r>
        <w:t xml:space="preserve">subvenția PSO primită (dacă este cazul);</w:t>
      </w:r>
    </w:p>
    <w:p>
      <w:pPr>
        <w:spacing w:after="50" w:line="276"/>
        <w:ind w:left="720"/>
        <w:jc w:val="both"/>
      </w:pPr>
      <w:r>
        <w:rPr>
          <w:b/>
          <w:bCs/>
        </w:rPr>
        <w:t xml:space="preserve">h) </w:t>
      </w:r>
      <w:r>
        <w:t xml:space="preserve">indicatorii de performanță ai operatorului (punctualitate, curse anulate, stare flotă);</w:t>
      </w:r>
    </w:p>
    <w:p>
      <w:pPr>
        <w:spacing w:after="50" w:line="276"/>
        <w:ind w:left="720"/>
        <w:jc w:val="both"/>
      </w:pPr>
      <w:r>
        <w:rPr>
          <w:b/>
          <w:bCs/>
        </w:rPr>
        <w:t xml:space="preserve">i) </w:t>
      </w:r>
      <w:r>
        <w:t xml:space="preserve">gradul de ocupare mediu trimestrial.</w:t>
      </w:r>
    </w:p>
    <w:p>
      <w:pPr>
        <w:spacing w:after="100" w:before="220" w:line="276"/>
      </w:pPr>
      <w:r>
        <w:rPr>
          <w:b/>
          <w:bCs/>
        </w:rPr>
        <w:t xml:space="preserve">Art. 5. </w:t>
      </w:r>
      <w:r>
        <w:rPr>
          <w:b/>
          <w:bCs/>
        </w:rPr>
        <w:t xml:space="preserve">Harta zonelor albe</w:t>
      </w:r>
    </w:p>
    <w:p>
      <w:pPr>
        <w:spacing w:after="70" w:line="276"/>
        <w:jc w:val="both"/>
      </w:pPr>
      <w:r>
        <w:rPr>
          <w:b/>
          <w:bCs/>
        </w:rPr>
        <w:t xml:space="preserve">(1) </w:t>
      </w:r>
      <w:r>
        <w:t xml:space="preserve">Registrul include o hartă interactivă a „zonelor albe” — localități cu peste 500 de locuitori fără nicio cursă regulată de transport public.</w:t>
      </w:r>
    </w:p>
    <w:p>
      <w:pPr>
        <w:spacing w:after="70" w:line="276"/>
        <w:jc w:val="both"/>
      </w:pPr>
      <w:r>
        <w:rPr>
          <w:b/>
          <w:bCs/>
        </w:rPr>
        <w:t xml:space="preserve">(2) </w:t>
      </w:r>
      <w:r>
        <w:t xml:space="preserve">Harta se actualizează semestrial de ARR, pe baza datelor de la consiliile județene, operatori și INS.</w:t>
      </w:r>
    </w:p>
    <w:p>
      <w:pPr>
        <w:spacing w:after="70" w:line="276"/>
        <w:jc w:val="both"/>
      </w:pPr>
      <w:r>
        <w:rPr>
          <w:b/>
          <w:bCs/>
        </w:rPr>
        <w:t xml:space="preserve">(3) </w:t>
      </w:r>
      <w:r>
        <w:t xml:space="preserve">Eliminarea zonelor albe este obiectivul principal al prezentei legi. ARR raportează anual Parlamentului evoluția numărului de zone albe.</w:t>
      </w:r>
    </w:p>
    <w:p>
      <w:pPr>
        <w:spacing w:after="100" w:before="220" w:line="276"/>
      </w:pPr>
      <w:r>
        <w:rPr>
          <w:b/>
          <w:bCs/>
        </w:rPr>
        <w:t xml:space="preserve">Art. 6. </w:t>
      </w:r>
      <w:r>
        <w:rPr>
          <w:b/>
          <w:bCs/>
        </w:rPr>
        <w:t xml:space="preserve">Datele în format deschis</w:t>
      </w:r>
    </w:p>
    <w:p>
      <w:pPr>
        <w:spacing w:after="70" w:line="276"/>
        <w:jc w:val="both"/>
      </w:pPr>
      <w:r>
        <w:rPr>
          <w:b/>
          <w:bCs/>
        </w:rPr>
        <w:t xml:space="preserve">(1) </w:t>
      </w:r>
      <w:r>
        <w:t xml:space="preserve">Toate datele din registru se publică în format GTFS (General Transit Feed Specification) și JSON, cu API public, conform Legii Transparenței Publice.</w:t>
      </w:r>
    </w:p>
    <w:p>
      <w:pPr>
        <w:spacing w:after="70" w:line="276"/>
        <w:jc w:val="both"/>
      </w:pPr>
      <w:r>
        <w:rPr>
          <w:b/>
          <w:bCs/>
        </w:rPr>
        <w:t xml:space="preserve">(2) </w:t>
      </w:r>
      <w:r>
        <w:t xml:space="preserve">Orice dezvoltator poate crea aplicații de planificare a călătoriilor pe baza datelor din registru, gratuit.</w:t>
      </w:r>
    </w:p>
    <w:p>
      <w:pPr>
        <w:pStyle w:val="Heading2"/>
      </w:pPr>
      <w:r>
        <w:t xml:space="preserve">CAPITOLUL III — Licențierea transparentă</w:t>
      </w:r>
    </w:p>
    <w:p>
      <w:pPr>
        <w:spacing w:after="100" w:before="220" w:line="276"/>
      </w:pPr>
      <w:r>
        <w:rPr>
          <w:b/>
          <w:bCs/>
        </w:rPr>
        <w:t xml:space="preserve">Art. 7. </w:t>
      </w:r>
      <w:r>
        <w:rPr>
          <w:b/>
          <w:bCs/>
        </w:rPr>
        <w:t xml:space="preserve">Procedura de licențiere</w:t>
      </w:r>
    </w:p>
    <w:p>
      <w:pPr>
        <w:spacing w:after="70" w:line="276"/>
        <w:jc w:val="both"/>
      </w:pPr>
      <w:r>
        <w:rPr>
          <w:b/>
          <w:bCs/>
        </w:rPr>
        <w:t xml:space="preserve">(1) </w:t>
      </w:r>
      <w:r>
        <w:rPr>
          <w:b/>
          <w:bCs/>
        </w:rPr>
        <w:t xml:space="preserve">Licențele de traseu se acordă exclusiv prin licitație publică deschisă, </w:t>
      </w:r>
      <w:r>
        <w:t xml:space="preserve">organizată de autoritatea organizatoare (consiliul județean sau ARR), cu respectarea Regulamentului (CE) 1370/2007.</w:t>
      </w:r>
    </w:p>
    <w:p>
      <w:pPr>
        <w:spacing w:after="70" w:line="276"/>
        <w:jc w:val="both"/>
      </w:pPr>
      <w:r>
        <w:rPr>
          <w:b/>
          <w:bCs/>
        </w:rPr>
        <w:t xml:space="preserve">(2) </w:t>
      </w:r>
      <w:r>
        <w:t xml:space="preserve">Este interzisă acordarea, prelungirea sau modificarea licențelor prin negociere directă, atribuire directă sau orice alt mecanism non-competitiv.</w:t>
      </w:r>
    </w:p>
    <w:p>
      <w:pPr>
        <w:spacing w:after="70" w:line="276"/>
        <w:jc w:val="both"/>
      </w:pPr>
      <w:r>
        <w:rPr>
          <w:b/>
          <w:bCs/>
        </w:rPr>
        <w:t xml:space="preserve">(3) </w:t>
      </w:r>
      <w:r>
        <w:t xml:space="preserve">Excepție: atribuirea directă este permisă doar în situații de urgență (operatorul existent își încetează activitatea brusc), pe o durată maximă de 6 luni, până la finalizarea licitației.</w:t>
      </w:r>
    </w:p>
    <w:p>
      <w:pPr>
        <w:spacing w:after="70" w:line="276"/>
        <w:jc w:val="both"/>
      </w:pPr>
      <w:r>
        <w:rPr>
          <w:b/>
          <w:bCs/>
        </w:rPr>
        <w:t xml:space="preserve">(4) </w:t>
      </w:r>
      <w:r>
        <w:t xml:space="preserve">Criteriile de atribuire se publică în avans, cu minimum 60 de zile înainte de termenul de depunere a ofertelor.</w:t>
      </w:r>
    </w:p>
    <w:p>
      <w:pPr>
        <w:spacing w:after="100" w:before="220" w:line="276"/>
      </w:pPr>
      <w:r>
        <w:rPr>
          <w:b/>
          <w:bCs/>
        </w:rPr>
        <w:t xml:space="preserve">Art. 8. </w:t>
      </w:r>
      <w:r>
        <w:rPr>
          <w:b/>
          <w:bCs/>
        </w:rPr>
        <w:t xml:space="preserve">Criteriul de atribuire</w:t>
      </w:r>
    </w:p>
    <w:p>
      <w:pPr>
        <w:spacing w:after="70" w:line="276"/>
        <w:jc w:val="both"/>
      </w:pPr>
      <w:r>
        <w:rPr>
          <w:b/>
          <w:bCs/>
        </w:rPr>
        <w:t xml:space="preserve">(1) </w:t>
      </w:r>
      <w:r>
        <w:t xml:space="preserve">Criteriul de atribuire este oferta cea mai avantajoasă economic, evaluată pe baza următoarelor componente: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Criteriu</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Pondere</w:t>
            </w:r>
          </w:p>
        </w:tc>
        <w:tc>
          <w:tcPr>
            <w:tcW w:type="dxa" w:w="54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Detalii evaluare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Preț (compensație PSO solicitată / km)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35%</w:t>
            </w:r>
          </w:p>
        </w:tc>
        <w:tc>
          <w:tcPr>
            <w:tcW w:type="dxa" w:w="5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Cel mai mic preț = punctaj maxim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Calitatea flotei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25%</w:t>
            </w:r>
          </w:p>
        </w:tc>
        <w:tc>
          <w:tcPr>
            <w:tcW w:type="dxa" w:w="5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Vârsta medie, norme emisii, AC, WiFi, accesibilitate PMR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Frecvența oferită</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20%</w:t>
            </w:r>
          </w:p>
        </w:tc>
        <w:tc>
          <w:tcPr>
            <w:tcW w:type="dxa" w:w="5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Număr curse/zi peste minimul cerut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Experiența operatorului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w:t>
            </w:r>
          </w:p>
        </w:tc>
        <w:tc>
          <w:tcPr>
            <w:tcW w:type="dxa" w:w="5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Ani de activitate, indicatori din contracte anterioare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Plan de continuitate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w:t>
            </w:r>
          </w:p>
        </w:tc>
        <w:tc>
          <w:tcPr>
            <w:tcW w:type="dxa" w:w="5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Măsuri pentru asigurarea continuării serviciului în situații de criză</w:t>
            </w:r>
          </w:p>
        </w:tc>
      </w:tr>
    </w:tbl>
    <w:p>
      <w:pPr>
        <w:spacing w:after="80"/>
      </w:pPr>
    </w:p>
    <w:p>
      <w:pPr>
        <w:spacing w:after="70" w:line="276"/>
        <w:jc w:val="both"/>
      </w:pPr>
      <w:r>
        <w:rPr>
          <w:b/>
          <w:bCs/>
        </w:rPr>
        <w:t xml:space="preserve">(2) </w:t>
      </w:r>
      <w:r>
        <w:t xml:space="preserve">Durata licenței: 5 ani, cu posibilitate de prelungire cu maximum 2 ani dacă indicatorii de performanță sunt îndepliniți.</w:t>
      </w:r>
    </w:p>
    <w:p>
      <w:pPr>
        <w:spacing w:after="70" w:line="276"/>
        <w:jc w:val="both"/>
      </w:pPr>
      <w:r>
        <w:rPr>
          <w:b/>
          <w:bCs/>
        </w:rPr>
        <w:t xml:space="preserve">(3) </w:t>
      </w:r>
      <w:r>
        <w:t xml:space="preserve">Operatorul nu poate subcontracta operarea ruteai fără acordul autorității organizatoare.</w:t>
      </w:r>
    </w:p>
    <w:p>
      <w:pPr>
        <w:spacing w:after="100" w:before="220" w:line="276"/>
      </w:pPr>
      <w:r>
        <w:rPr>
          <w:b/>
          <w:bCs/>
        </w:rPr>
        <w:t xml:space="preserve">Art. 9. </w:t>
      </w:r>
      <w:r>
        <w:rPr>
          <w:b/>
          <w:bCs/>
        </w:rPr>
        <w:t xml:space="preserve">Transparenița licențierii</w:t>
      </w:r>
    </w:p>
    <w:p>
      <w:pPr>
        <w:spacing w:after="70" w:line="276"/>
        <w:jc w:val="both"/>
      </w:pPr>
      <w:r>
        <w:rPr>
          <w:b/>
          <w:bCs/>
        </w:rPr>
        <w:t xml:space="preserve">(1) </w:t>
      </w:r>
      <w:r>
        <w:t xml:space="preserve">Toate documentele de licitație (caiet de sarcini, oferte depuse — după atribuire, evaluare, decizia de atribuire) se publică pe registrul e-Transport, în termen de 15 zile de la finalizare.</w:t>
      </w:r>
    </w:p>
    <w:p>
      <w:pPr>
        <w:spacing w:after="70" w:line="276"/>
        <w:jc w:val="both"/>
      </w:pPr>
      <w:r>
        <w:rPr>
          <w:b/>
          <w:bCs/>
        </w:rPr>
        <w:t xml:space="preserve">(2) </w:t>
      </w:r>
      <w:r>
        <w:t xml:space="preserve">Orice operator nemulțumit poate contesta atribuirea la Consiliul Național de Soluționare a Contestațiilor (CNSC) în termen de 10 zile.</w:t>
      </w:r>
    </w:p>
    <w:p>
      <w:pPr>
        <w:pStyle w:val="Heading2"/>
      </w:pPr>
      <w:r>
        <w:t xml:space="preserve">CAPITOLUL IV — Rutele esențiale și subvenționarea</w:t>
      </w:r>
    </w:p>
    <w:p>
      <w:pPr>
        <w:spacing w:after="100" w:before="220" w:line="276"/>
      </w:pPr>
      <w:r>
        <w:rPr>
          <w:b/>
          <w:bCs/>
        </w:rPr>
        <w:t xml:space="preserve">Art. 10. </w:t>
      </w:r>
      <w:r>
        <w:rPr>
          <w:b/>
          <w:bCs/>
        </w:rPr>
        <w:t xml:space="preserve">Identificarea rutelor esențiale</w:t>
      </w:r>
    </w:p>
    <w:p>
      <w:pPr>
        <w:spacing w:after="70" w:line="276"/>
        <w:jc w:val="both"/>
      </w:pPr>
      <w:r>
        <w:rPr>
          <w:b/>
          <w:bCs/>
        </w:rPr>
        <w:t xml:space="preserve">(1) </w:t>
      </w:r>
      <w:r>
        <w:t xml:space="preserve">Autoritatea organizatoare, cu asistența tehnică a ARR, identifică anual lista rutelor esențiale, pe baza următoarelor criterii cumulative:</w:t>
      </w:r>
    </w:p>
    <w:p>
      <w:pPr>
        <w:spacing w:after="50" w:line="276"/>
        <w:ind w:left="720"/>
        <w:jc w:val="both"/>
      </w:pPr>
      <w:r>
        <w:rPr>
          <w:b/>
          <w:bCs/>
        </w:rPr>
        <w:t xml:space="preserve">a) </w:t>
      </w:r>
      <w:r>
        <w:rPr>
          <w:b/>
          <w:bCs/>
        </w:rPr>
        <w:t xml:space="preserve">Lipsa accesului feroviar:</w:t>
      </w:r>
      <w:r>
        <w:t xml:space="preserve"> localitatea de origine sau destinație nu este deservită de o gară/haltă feroviară cu minimum 2 opriri/zi pe sens (atenție: se iau în calcul doar gările funcționale, nu cele cu trafic suspendat);</w:t>
      </w:r>
    </w:p>
    <w:p>
      <w:pPr>
        <w:spacing w:after="50" w:line="276"/>
        <w:ind w:left="720"/>
        <w:jc w:val="both"/>
      </w:pPr>
      <w:r>
        <w:rPr>
          <w:b/>
          <w:bCs/>
        </w:rPr>
        <w:t xml:space="preserve">b) </w:t>
      </w:r>
      <w:r>
        <w:rPr>
          <w:b/>
          <w:bCs/>
        </w:rPr>
        <w:t xml:space="preserve">Populație:</w:t>
      </w:r>
      <w:r>
        <w:t xml:space="preserve"> cel puțin una dintre localitățile de pe rută are peste 500 de locuitori conform ultimului recensământ INS;</w:t>
      </w:r>
    </w:p>
    <w:p>
      <w:pPr>
        <w:spacing w:after="50" w:line="276"/>
        <w:ind w:left="720"/>
        <w:jc w:val="both"/>
      </w:pPr>
      <w:r>
        <w:rPr>
          <w:b/>
          <w:bCs/>
        </w:rPr>
        <w:t xml:space="preserve">c) </w:t>
      </w:r>
      <w:r>
        <w:rPr>
          <w:b/>
          <w:bCs/>
        </w:rPr>
        <w:t xml:space="preserve">Acces la servicii esențiale:</w:t>
      </w:r>
      <w:r>
        <w:t xml:space="preserve"> ruta asigură legătura cu cel mai apropiat centru urban care are: spital (minimum ambulatoriu permanent), liceu și piață/centru comercial;</w:t>
      </w:r>
    </w:p>
    <w:p>
      <w:pPr>
        <w:spacing w:after="50" w:line="276"/>
        <w:ind w:left="720"/>
        <w:jc w:val="both"/>
      </w:pPr>
      <w:r>
        <w:rPr>
          <w:b/>
          <w:bCs/>
        </w:rPr>
        <w:t xml:space="preserve">d) </w:t>
      </w:r>
      <w:r>
        <w:rPr>
          <w:b/>
          <w:bCs/>
        </w:rPr>
        <w:t xml:space="preserve">Lipsa viabilității comerciale:</w:t>
      </w:r>
      <w:r>
        <w:t xml:space="preserve"> nu există operator privat care să opereze ruta cu frecvența minimă de 2 curse/zi pe sens, fără subvenție, în ultimele 12 luni.</w:t>
      </w:r>
    </w:p>
    <w:p>
      <w:pPr>
        <w:spacing w:after="70" w:line="276"/>
        <w:jc w:val="both"/>
      </w:pPr>
      <w:r>
        <w:rPr>
          <w:b/>
          <w:bCs/>
        </w:rPr>
        <w:t xml:space="preserve">(2) </w:t>
      </w:r>
      <w:r>
        <w:t xml:space="preserve">Lista rutelor esențiale se aprobă până la 1 octombrie și se publică pe registrul e-Transport sub forma unei hărți interactive.</w:t>
      </w:r>
    </w:p>
    <w:p>
      <w:pPr>
        <w:spacing w:after="100" w:before="220" w:line="276"/>
      </w:pPr>
      <w:r>
        <w:rPr>
          <w:b/>
          <w:bCs/>
        </w:rPr>
        <w:t xml:space="preserve">Art. 11. </w:t>
      </w:r>
      <w:r>
        <w:rPr>
          <w:b/>
          <w:bCs/>
        </w:rPr>
        <w:t xml:space="preserve">Compensația PSO</w:t>
      </w:r>
    </w:p>
    <w:p>
      <w:pPr>
        <w:spacing w:after="70" w:line="276"/>
        <w:jc w:val="both"/>
      </w:pPr>
      <w:r>
        <w:rPr>
          <w:b/>
          <w:bCs/>
        </w:rPr>
        <w:t xml:space="preserve">(1) </w:t>
      </w:r>
      <w:r>
        <w:t xml:space="preserve">Rutele esențiale sunt subvenționate prin compensație PSO, finanțată din:</w:t>
      </w:r>
    </w:p>
    <w:p>
      <w:pPr>
        <w:spacing w:after="50" w:line="276"/>
        <w:ind w:left="720"/>
        <w:jc w:val="both"/>
      </w:pPr>
      <w:r>
        <w:rPr>
          <w:b/>
          <w:bCs/>
        </w:rPr>
        <w:t xml:space="preserve">a) </w:t>
      </w:r>
      <w:r>
        <w:t xml:space="preserve">Fondul Rutier Național (conform art. 6 lit. b din Legea FRN) — minim 15% din bugetul anual FRN;</w:t>
      </w:r>
    </w:p>
    <w:p>
      <w:pPr>
        <w:spacing w:after="50" w:line="276"/>
        <w:ind w:left="720"/>
        <w:jc w:val="both"/>
      </w:pPr>
      <w:r>
        <w:rPr>
          <w:b/>
          <w:bCs/>
        </w:rPr>
        <w:t xml:space="preserve">b) </w:t>
      </w:r>
      <w:r>
        <w:t xml:space="preserve">bugetele consiliilor județene — cofinanțare minim 10% din valoarea compensației.</w:t>
      </w:r>
    </w:p>
    <w:p>
      <w:pPr>
        <w:spacing w:after="70" w:line="276"/>
        <w:jc w:val="both"/>
      </w:pPr>
      <w:r>
        <w:rPr>
          <w:b/>
          <w:bCs/>
        </w:rPr>
        <w:t xml:space="preserve">(2) </w:t>
      </w:r>
      <w:r>
        <w:t xml:space="preserve">Compensația acoperă diferența între costul real de operare (verificat trimestrial de ARR pe baza datelor contabile) și veniturile din bilete. Include o marjă de profit rezonabil de maximum 5%.</w:t>
      </w:r>
    </w:p>
    <w:p>
      <w:pPr>
        <w:spacing w:after="70" w:line="276"/>
        <w:jc w:val="both"/>
      </w:pPr>
      <w:r>
        <w:rPr>
          <w:b/>
          <w:bCs/>
        </w:rPr>
        <w:t xml:space="preserve">(3) </w:t>
      </w:r>
      <w:r>
        <w:t xml:space="preserve">Compensația nu se calculează pe baza declarațiilor neauditate ale operatorului. ARR verifică costurile pe baza unui model de cost standard (preț/km pe categorii de vehicul), publicat anual.</w:t>
      </w:r>
    </w:p>
    <w:p>
      <w:pPr>
        <w:spacing w:after="100" w:before="220" w:line="276"/>
      </w:pPr>
      <w:r>
        <w:rPr>
          <w:b/>
          <w:bCs/>
        </w:rPr>
        <w:t xml:space="preserve">Art. 12. </w:t>
      </w:r>
      <w:r>
        <w:rPr>
          <w:b/>
          <w:bCs/>
        </w:rPr>
        <w:t xml:space="preserve">Calendarul de subvenționare</w:t>
      </w:r>
    </w:p>
    <w:p>
      <w:pPr>
        <w:spacing w:after="70" w:line="276"/>
        <w:jc w:val="both"/>
      </w:pPr>
      <w:r>
        <w:rPr>
          <w:b/>
          <w:bCs/>
        </w:rPr>
        <w:t xml:space="preserve">(1) </w:t>
      </w:r>
      <w:r>
        <w:t xml:space="preserve">Ciclul anual de subvenționare:</w:t>
      </w:r>
    </w:p>
    <w:p>
      <w:pPr>
        <w:spacing w:after="50" w:line="276"/>
        <w:ind w:left="720"/>
        <w:jc w:val="both"/>
      </w:pPr>
      <w:r>
        <w:rPr>
          <w:b/>
          <w:bCs/>
        </w:rPr>
        <w:t xml:space="preserve">a) </w:t>
      </w:r>
      <w:r>
        <w:t xml:space="preserve">1 august: ARR finalizează studiul de acoperire și lista rutelor esențiale propuse;</w:t>
      </w:r>
    </w:p>
    <w:p>
      <w:pPr>
        <w:spacing w:after="50" w:line="276"/>
        <w:ind w:left="720"/>
        <w:jc w:val="both"/>
      </w:pPr>
      <w:r>
        <w:rPr>
          <w:b/>
          <w:bCs/>
        </w:rPr>
        <w:t xml:space="preserve">b) </w:t>
      </w:r>
      <w:r>
        <w:t xml:space="preserve">1 octombrie: lista se aprobă de consiliile județene;</w:t>
      </w:r>
    </w:p>
    <w:p>
      <w:pPr>
        <w:spacing w:after="50" w:line="276"/>
        <w:ind w:left="720"/>
        <w:jc w:val="both"/>
      </w:pPr>
      <w:r>
        <w:rPr>
          <w:b/>
          <w:bCs/>
        </w:rPr>
        <w:t xml:space="preserve">c) </w:t>
      </w:r>
      <w:r>
        <w:t xml:space="preserve">1-31 octombrie: publicarea anunțurilor de licitație;</w:t>
      </w:r>
    </w:p>
    <w:p>
      <w:pPr>
        <w:spacing w:after="50" w:line="276"/>
        <w:ind w:left="720"/>
        <w:jc w:val="both"/>
      </w:pPr>
      <w:r>
        <w:rPr>
          <w:b/>
          <w:bCs/>
        </w:rPr>
        <w:t xml:space="preserve">d) </w:t>
      </w:r>
      <w:r>
        <w:t xml:space="preserve">1-30 noiembrie: depunerea ofertelor;</w:t>
      </w:r>
    </w:p>
    <w:p>
      <w:pPr>
        <w:spacing w:after="50" w:line="276"/>
        <w:ind w:left="720"/>
        <w:jc w:val="both"/>
      </w:pPr>
      <w:r>
        <w:rPr>
          <w:b/>
          <w:bCs/>
        </w:rPr>
        <w:t xml:space="preserve">e) </w:t>
      </w:r>
      <w:r>
        <w:t xml:space="preserve">1-15 decembrie: evaluarea și atribuirea;</w:t>
      </w:r>
    </w:p>
    <w:p>
      <w:pPr>
        <w:spacing w:after="50" w:line="276"/>
        <w:ind w:left="720"/>
        <w:jc w:val="both"/>
      </w:pPr>
      <w:r>
        <w:rPr>
          <w:b/>
          <w:bCs/>
        </w:rPr>
        <w:t xml:space="preserve">f) </w:t>
      </w:r>
      <w:r>
        <w:t xml:space="preserve">1 ianuarie: începerea operării.</w:t>
      </w:r>
    </w:p>
    <w:p>
      <w:pPr>
        <w:spacing w:after="70" w:line="276"/>
        <w:jc w:val="both"/>
      </w:pPr>
      <w:r>
        <w:rPr>
          <w:b/>
          <w:bCs/>
        </w:rPr>
        <w:t xml:space="preserve">(2) </w:t>
      </w:r>
      <w:r>
        <w:t xml:space="preserve">Contractele de compensație PSO se încheie pe 3 ani, cu posibilitate de prelungire cu 2 ani dacă indicatorii sunt îndepliniți.</w:t>
      </w:r>
    </w:p>
    <w:p>
      <w:pPr>
        <w:pStyle w:val="Heading2"/>
      </w:pPr>
      <w:r>
        <w:t xml:space="preserve">CAPITOLUL V — Indicatori de performanță și monitorizare</w:t>
      </w:r>
    </w:p>
    <w:p>
      <w:pPr>
        <w:spacing w:after="100" w:before="220" w:line="276"/>
      </w:pPr>
      <w:r>
        <w:rPr>
          <w:b/>
          <w:bCs/>
        </w:rPr>
        <w:t xml:space="preserve">Art. 13. </w:t>
      </w:r>
      <w:r>
        <w:rPr>
          <w:b/>
          <w:bCs/>
        </w:rPr>
        <w:t xml:space="preserve">Indicatori obligatorii</w:t>
      </w:r>
    </w:p>
    <w:p>
      <w:pPr>
        <w:spacing w:after="70" w:line="276"/>
        <w:jc w:val="both"/>
      </w:pPr>
      <w:r>
        <w:rPr>
          <w:b/>
          <w:bCs/>
        </w:rPr>
        <w:t xml:space="preserve">(1) </w:t>
      </w:r>
      <w:r>
        <w:t xml:space="preserve">Fiecare operator licențiat (indiferent dacă primește subvenție sau nu) respectă următorii indicatori de performanță: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Indicator</w:t>
            </w:r>
          </w:p>
        </w:tc>
        <w:tc>
          <w:tcPr>
            <w:tcW w:type="dxa" w:w="3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Standard minim</w:t>
            </w:r>
          </w:p>
        </w:tc>
        <w:tc>
          <w:tcPr>
            <w:tcW w:type="dxa" w:w="34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Măsurare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Punctualitate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85% din curse cu întârziere sub 15 minute</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GPS tracking automat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Curse anulate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Maximum 5% pe lună</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Raportări automate către ARR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Stare flotă</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Vârsta medie sub 12 ani; ITP valid</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Inspecții trimestriale ARR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Curățenie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Nota minimă 7/10 la inspecții</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Inspecții trimestriale ARR + feedback călători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Accesibilitate PMR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Minim 1 vehicul accesibil pe rută în 3 ani</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Verificare anuală</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Informarea călătorilor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Orare publicate online, GPS tracking public</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Verificare trimestrială</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Operare weekend/sărbători</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Minim 1 cursă/zi pe sens</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Raportări automate</w:t>
            </w:r>
          </w:p>
        </w:tc>
      </w:tr>
    </w:tbl>
    <w:p>
      <w:pPr>
        <w:spacing w:after="80"/>
      </w:pPr>
    </w:p>
    <w:p>
      <w:pPr>
        <w:spacing w:after="70" w:line="276"/>
        <w:jc w:val="both"/>
      </w:pPr>
      <w:r>
        <w:rPr>
          <w:b/>
          <w:bCs/>
        </w:rPr>
        <w:t xml:space="preserve">(2) </w:t>
      </w:r>
      <w:r>
        <w:t xml:space="preserve">Indicatorii se monitorizează de ARR prin platforma digitală e-Transport, cu date transmise automat de la sistemele GPS ale operatorilor.</w:t>
      </w:r>
    </w:p>
    <w:p>
      <w:pPr>
        <w:spacing w:after="70" w:line="276"/>
        <w:jc w:val="both"/>
      </w:pPr>
      <w:r>
        <w:rPr>
          <w:b/>
          <w:bCs/>
        </w:rPr>
        <w:t xml:space="preserve">(3) </w:t>
      </w:r>
      <w:r>
        <w:t xml:space="preserve">Operatorii sunt obligați să echipeze toate vehiculele cu GPS și să transmită date în timp real către e-Transport.</w:t>
      </w:r>
    </w:p>
    <w:p>
      <w:pPr>
        <w:spacing w:after="100" w:before="220" w:line="276"/>
      </w:pPr>
      <w:r>
        <w:rPr>
          <w:b/>
          <w:bCs/>
        </w:rPr>
        <w:t xml:space="preserve">Art. 14. </w:t>
      </w:r>
      <w:r>
        <w:rPr>
          <w:b/>
          <w:bCs/>
        </w:rPr>
        <w:t xml:space="preserve">Consecințele neperformanței</w:t>
      </w:r>
    </w:p>
    <w:p>
      <w:pPr>
        <w:spacing w:after="70" w:line="276"/>
        <w:jc w:val="both"/>
      </w:pPr>
      <w:r>
        <w:rPr>
          <w:b/>
          <w:bCs/>
        </w:rPr>
        <w:t xml:space="preserve">(1) </w:t>
      </w:r>
      <w:r>
        <w:t xml:space="preserve">Neîndeplinirea indicatorilor se sancționează progresiv:</w:t>
      </w:r>
    </w:p>
    <w:p>
      <w:pPr>
        <w:spacing w:after="50" w:line="276"/>
        <w:ind w:left="720"/>
        <w:jc w:val="both"/>
      </w:pPr>
      <w:r>
        <w:rPr>
          <w:b/>
          <w:bCs/>
        </w:rPr>
        <w:t xml:space="preserve">a) </w:t>
      </w:r>
      <w:r>
        <w:t xml:space="preserve">1 trimestru sub standard: avertisment scris + plan de remediere în 30 de zile;</w:t>
      </w:r>
    </w:p>
    <w:p>
      <w:pPr>
        <w:spacing w:after="50" w:line="276"/>
        <w:ind w:left="720"/>
        <w:jc w:val="both"/>
      </w:pPr>
      <w:r>
        <w:rPr>
          <w:b/>
          <w:bCs/>
        </w:rPr>
        <w:t xml:space="preserve">b) </w:t>
      </w:r>
      <w:r>
        <w:t xml:space="preserve">2 trimestre consecutive sub standard: reducerea compensației PSO cu 20% pentru trimestrul următor;</w:t>
      </w:r>
    </w:p>
    <w:p>
      <w:pPr>
        <w:spacing w:after="50" w:line="276"/>
        <w:ind w:left="720"/>
        <w:jc w:val="both"/>
      </w:pPr>
      <w:r>
        <w:rPr>
          <w:b/>
          <w:bCs/>
        </w:rPr>
        <w:t xml:space="preserve">c) </w:t>
      </w:r>
      <w:r>
        <w:t xml:space="preserve">3 trimestre consecutive: retragerea licenței și organizarea unei noi licitații;</w:t>
      </w:r>
    </w:p>
    <w:p>
      <w:pPr>
        <w:spacing w:after="50" w:line="276"/>
        <w:ind w:left="720"/>
        <w:jc w:val="both"/>
      </w:pPr>
      <w:r>
        <w:rPr>
          <w:b/>
          <w:bCs/>
        </w:rPr>
        <w:t xml:space="preserve">d) </w:t>
      </w:r>
      <w:r>
        <w:t xml:space="preserve">abandon de rută (oprirea totală a serviciului fără notificare): retragere imediată a licenței + interdicție de participare la licitații pe 3 ani + obligația de plată a daunelor.</w:t>
      </w:r>
    </w:p>
    <w:p>
      <w:pPr>
        <w:spacing w:after="70" w:line="276"/>
        <w:jc w:val="both"/>
      </w:pPr>
      <w:r>
        <w:rPr>
          <w:b/>
          <w:bCs/>
        </w:rPr>
        <w:t xml:space="preserve">(2) </w:t>
      </w:r>
      <w:r>
        <w:t xml:space="preserve">Pe durata vacanței rutei (până la atribuirea unei noi licențe), autoritatea organizatoare poate desemna temporar un operator prin atribuire directă, pe maximum 6 luni.</w:t>
      </w:r>
    </w:p>
    <w:p>
      <w:pPr>
        <w:spacing w:after="100" w:before="220" w:line="276"/>
      </w:pPr>
      <w:r>
        <w:rPr>
          <w:b/>
          <w:bCs/>
        </w:rPr>
        <w:t xml:space="preserve">Art. 15. </w:t>
      </w:r>
      <w:r>
        <w:rPr>
          <w:b/>
          <w:bCs/>
        </w:rPr>
        <w:t xml:space="preserve">Feedback-ul călătorilor</w:t>
      </w:r>
    </w:p>
    <w:p>
      <w:pPr>
        <w:spacing w:after="70" w:line="276"/>
        <w:jc w:val="both"/>
      </w:pPr>
      <w:r>
        <w:rPr>
          <w:b/>
          <w:bCs/>
        </w:rPr>
        <w:t xml:space="preserve">(1) </w:t>
      </w:r>
      <w:r>
        <w:t xml:space="preserve">Registrul e-Transport include un mecanism de feedback al călătorilor: orice persoană poate evalua o cursă (punctualitate, curățenie, atitudine șofer) prin aplicație mobilă sau SMS.</w:t>
      </w:r>
    </w:p>
    <w:p>
      <w:pPr>
        <w:spacing w:after="70" w:line="276"/>
        <w:jc w:val="both"/>
      </w:pPr>
      <w:r>
        <w:rPr>
          <w:b/>
          <w:bCs/>
        </w:rPr>
        <w:t xml:space="preserve">(2) </w:t>
      </w:r>
      <w:r>
        <w:t xml:space="preserve">Evaluarea agregată se publică trimestrial pe registru, pe operator și pe rută.</w:t>
      </w:r>
    </w:p>
    <w:p>
      <w:pPr>
        <w:spacing w:after="70" w:line="276"/>
        <w:jc w:val="both"/>
      </w:pPr>
      <w:r>
        <w:rPr>
          <w:b/>
          <w:bCs/>
        </w:rPr>
        <w:t xml:space="preserve">(3) </w:t>
      </w:r>
      <w:r>
        <w:t xml:space="preserve">Operatorii cu rating sub 3/5 pe 2 trimestre consecutive primesc inspecție ARR obligatorie.</w:t>
      </w:r>
    </w:p>
    <w:p>
      <w:pPr>
        <w:pStyle w:val="Heading2"/>
      </w:pPr>
      <w:r>
        <w:t xml:space="preserve">CAPITOLUL VI — Tarife și bilete</w:t>
      </w:r>
    </w:p>
    <w:p>
      <w:pPr>
        <w:spacing w:after="100" w:before="220" w:line="276"/>
      </w:pPr>
      <w:r>
        <w:rPr>
          <w:b/>
          <w:bCs/>
        </w:rPr>
        <w:t xml:space="preserve">Art. 16. </w:t>
      </w:r>
      <w:r>
        <w:rPr>
          <w:b/>
          <w:bCs/>
        </w:rPr>
        <w:t xml:space="preserve">Plafoane tarifare</w:t>
      </w:r>
    </w:p>
    <w:p>
      <w:pPr>
        <w:spacing w:after="70" w:line="276"/>
        <w:jc w:val="both"/>
      </w:pPr>
      <w:r>
        <w:rPr>
          <w:b/>
          <w:bCs/>
        </w:rPr>
        <w:t xml:space="preserve">(1) </w:t>
      </w:r>
      <w:r>
        <w:t xml:space="preserve">Tariful maxim pe rutele esențiale subvenționate se stabilește anual de ARR, prin ordin, la un nivel care să asigure accesibilitatea financiară: maximum 0,15 lei/km (cu indexare anuală cu IPC).</w:t>
      </w:r>
    </w:p>
    <w:p>
      <w:pPr>
        <w:spacing w:after="70" w:line="276"/>
        <w:jc w:val="both"/>
      </w:pPr>
      <w:r>
        <w:rPr>
          <w:b/>
          <w:bCs/>
        </w:rPr>
        <w:t xml:space="preserve">(2) </w:t>
      </w:r>
      <w:r>
        <w:t xml:space="preserve">Pe rutele comerciale (nesubvenționate), tariful este liber, dar operatorul trebuie să-l publice pe e-Transport cu minimum 30 de zile înainte de aplicare.</w:t>
      </w:r>
    </w:p>
    <w:p>
      <w:pPr>
        <w:spacing w:after="100" w:before="220" w:line="276"/>
      </w:pPr>
      <w:r>
        <w:rPr>
          <w:b/>
          <w:bCs/>
        </w:rPr>
        <w:t xml:space="preserve">Art. 17. </w:t>
      </w:r>
      <w:r>
        <w:rPr>
          <w:b/>
          <w:bCs/>
        </w:rPr>
        <w:t xml:space="preserve">Bilet unic și integrare tarifară</w:t>
      </w:r>
    </w:p>
    <w:p>
      <w:pPr>
        <w:spacing w:after="70" w:line="276"/>
        <w:jc w:val="both"/>
      </w:pPr>
      <w:r>
        <w:rPr>
          <w:b/>
          <w:bCs/>
        </w:rPr>
        <w:t xml:space="preserve">(1) </w:t>
      </w:r>
      <w:r>
        <w:t xml:space="preserve">ARR coordonează, în termen de 24 de luni de la publicarea legii, implementarea unui sistem de bilet unic digital (card contactless sau aplicație mobilă) care să permită călătorii combinate (autobuz interurban + urban + tren) cu un singur bilet.</w:t>
      </w:r>
    </w:p>
    <w:p>
      <w:pPr>
        <w:spacing w:after="70" w:line="276"/>
        <w:jc w:val="both"/>
      </w:pPr>
      <w:r>
        <w:rPr>
          <w:b/>
          <w:bCs/>
        </w:rPr>
        <w:t xml:space="preserve">(2) </w:t>
      </w:r>
      <w:r>
        <w:t xml:space="preserve">Sistemul se implementează progresiv, începând cu județele care au deja sisteme de ticketing electronic.</w:t>
      </w:r>
    </w:p>
    <w:p>
      <w:r>
        <w:br w:type="page"/>
      </w:r>
    </w:p>
    <w:p>
      <w:pPr>
        <w:pStyle w:val="Heading2"/>
      </w:pPr>
      <w:r>
        <w:t xml:space="preserve">CAPITOLUL VII — Răspunderea personală</w:t>
      </w:r>
    </w:p>
    <w:p>
      <w:pPr>
        <w:spacing w:after="100" w:before="220" w:line="276"/>
      </w:pPr>
      <w:r>
        <w:rPr>
          <w:b/>
          <w:bCs/>
        </w:rPr>
        <w:t xml:space="preserve">Art. 18. </w:t>
      </w:r>
      <w:r>
        <w:rPr>
          <w:b/>
          <w:bCs/>
        </w:rPr>
        <w:t xml:space="preserve">Principiul răspunderii personale</w:t>
      </w:r>
    </w:p>
    <w:p>
      <w:pPr>
        <w:spacing w:after="70" w:line="276"/>
        <w:jc w:val="both"/>
      </w:pPr>
      <w:r>
        <w:rPr>
          <w:b/>
          <w:bCs/>
        </w:rPr>
        <w:t xml:space="preserve">(1) </w:t>
      </w:r>
      <w:r>
        <w:rPr>
          <w:b/>
          <w:bCs/>
        </w:rPr>
        <w:t xml:space="preserve">Sancțiunile pentru neîndeplinirea obligațiilor din prezenta lege se aplică persoanelor fizice responsabile, nu instituțiilor.</w:t>
      </w:r>
    </w:p>
    <w:p>
      <w:pPr>
        <w:spacing w:after="100" w:before="220" w:line="276"/>
      </w:pPr>
      <w:r>
        <w:rPr>
          <w:b/>
          <w:bCs/>
        </w:rPr>
        <w:t xml:space="preserve">Art. 19. </w:t>
      </w:r>
      <w:r>
        <w:rPr>
          <w:b/>
          <w:bCs/>
        </w:rPr>
        <w:t xml:space="preserve">Abateri și sancțiuni</w:t>
      </w:r>
    </w:p>
    <w:p>
      <w:pPr>
        <w:spacing w:after="70" w:line="276"/>
        <w:jc w:val="both"/>
      </w:pPr>
      <w:r>
        <w:rPr>
          <w:b/>
          <w:bCs/>
        </w:rPr>
        <w:t xml:space="preserve">(1) </w:t>
      </w:r>
      <w:r>
        <w:t xml:space="preserve">Constituie abateri:</w:t>
      </w:r>
    </w:p>
    <w:p>
      <w:pPr>
        <w:spacing w:after="50" w:line="276"/>
        <w:ind w:left="720"/>
        <w:jc w:val="both"/>
      </w:pPr>
      <w:r>
        <w:rPr>
          <w:b/>
          <w:bCs/>
        </w:rPr>
        <w:t xml:space="preserve">a) </w:t>
      </w:r>
      <w:r>
        <w:rPr>
          <w:b/>
          <w:bCs/>
        </w:rPr>
        <w:t xml:space="preserve">Acordarea unei licențe fără licitație</w:t>
      </w:r>
      <w:r>
        <w:t xml:space="preserve"> (art. 7): funcționarul și conducătorul autorității organizatoare — suspendare din funcție 6 luni + sesizare DNA dacă există indicii de corupție;</w:t>
      </w:r>
    </w:p>
    <w:p>
      <w:pPr>
        <w:spacing w:after="50" w:line="276"/>
        <w:ind w:left="720"/>
        <w:jc w:val="both"/>
      </w:pPr>
      <w:r>
        <w:rPr>
          <w:b/>
          <w:bCs/>
        </w:rPr>
        <w:t xml:space="preserve">b) </w:t>
      </w:r>
      <w:r>
        <w:rPr>
          <w:b/>
          <w:bCs/>
        </w:rPr>
        <w:t xml:space="preserve">Nepublicarea datelor pe e-Transport</w:t>
      </w:r>
      <w:r>
        <w:t xml:space="preserve"> (art. 4): responsabilul ARR/CJ — avertisment la prima abatere, diminuare salariu 10% la repetare;</w:t>
      </w:r>
    </w:p>
    <w:p>
      <w:pPr>
        <w:spacing w:after="50" w:line="276"/>
        <w:ind w:left="720"/>
        <w:jc w:val="both"/>
      </w:pPr>
      <w:r>
        <w:rPr>
          <w:b/>
          <w:bCs/>
        </w:rPr>
        <w:t xml:space="preserve">c) </w:t>
      </w:r>
      <w:r>
        <w:rPr>
          <w:b/>
          <w:bCs/>
        </w:rPr>
        <w:t xml:space="preserve">Neidentificarea rutelor esențiale</w:t>
      </w:r>
      <w:r>
        <w:t xml:space="preserve"> (art. 10): conducătorul autorității organizatoare — diminuare salariu 15% / 6 luni dacă zona albă persistă peste 12 luni de la operarea legii;</w:t>
      </w:r>
    </w:p>
    <w:p>
      <w:pPr>
        <w:spacing w:after="50" w:line="276"/>
        <w:ind w:left="720"/>
        <w:jc w:val="both"/>
      </w:pPr>
      <w:r>
        <w:rPr>
          <w:b/>
          <w:bCs/>
        </w:rPr>
        <w:t xml:space="preserve">d) </w:t>
      </w:r>
      <w:r>
        <w:rPr>
          <w:b/>
          <w:bCs/>
        </w:rPr>
        <w:t xml:space="preserve">Plata compensației fără verificarea costurilor</w:t>
      </w:r>
      <w:r>
        <w:t xml:space="preserve"> (art. 11): funcționarul care aprobă plata — răspundere patrimonială personală + sancțiune disciplinară.</w:t>
      </w:r>
    </w:p>
    <w:p>
      <w:pPr>
        <w:pStyle w:val="Heading2"/>
      </w:pPr>
      <w:r>
        <w:t xml:space="preserve">CAPITOLUL VIII — Dispoziții tranzitorii și finale</w:t>
      </w:r>
    </w:p>
    <w:p>
      <w:pPr>
        <w:spacing w:after="100" w:before="220" w:line="276"/>
      </w:pPr>
      <w:r>
        <w:rPr>
          <w:b/>
          <w:bCs/>
        </w:rPr>
        <w:t xml:space="preserve">Art. 20. </w:t>
      </w:r>
      <w:r>
        <w:rPr>
          <w:b/>
          <w:bCs/>
        </w:rPr>
        <w:t xml:space="preserve">Calendarul de implementare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326"/>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5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3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legii în Monitorul Oficial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Normele metodologice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Registrul e-Transport operațional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Harta zonelor albe publicată</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 + INS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Prima listă de rute esențiale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Consilii județene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Primele licitații pentru rute esențiale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Consilii județene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Primele rute esențiale operaționale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Operatori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Model de cost standard publicat de ARR</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Toate licențele existente reevaluate conform noii legi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 + CJ</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Sistem de bilet unic digital (fază pilot)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Reducerea zonelor albe cu minim 30%</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 + CJ</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Bilet unic extins național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Evaluare completă a impactului legii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 + MT</w:t>
            </w:r>
          </w:p>
        </w:tc>
      </w:tr>
    </w:tbl>
    <w:p>
      <w:pPr>
        <w:spacing w:after="80"/>
      </w:pPr>
    </w:p>
    <w:p>
      <w:pPr>
        <w:spacing w:after="100" w:before="220" w:line="276"/>
      </w:pPr>
      <w:r>
        <w:rPr>
          <w:b/>
          <w:bCs/>
        </w:rPr>
        <w:t xml:space="preserve">Art. 21. </w:t>
      </w:r>
      <w:r>
        <w:rPr>
          <w:b/>
          <w:bCs/>
        </w:rPr>
        <w:t xml:space="preserve">Tranziția licențelor existente</w:t>
      </w:r>
    </w:p>
    <w:p>
      <w:pPr>
        <w:spacing w:after="70" w:line="276"/>
        <w:jc w:val="both"/>
      </w:pPr>
      <w:r>
        <w:rPr>
          <w:b/>
          <w:bCs/>
        </w:rPr>
        <w:t xml:space="preserve">(1) </w:t>
      </w:r>
      <w:r>
        <w:t xml:space="preserve">Licențele de traseu existente la data intrării în vigoare rămân valabile până la expirare, dar nu mai mult de 18 luni de la publicarea legii.</w:t>
      </w:r>
    </w:p>
    <w:p>
      <w:pPr>
        <w:spacing w:after="70" w:line="276"/>
        <w:jc w:val="both"/>
      </w:pPr>
      <w:r>
        <w:rPr>
          <w:b/>
          <w:bCs/>
        </w:rPr>
        <w:t xml:space="preserve">(2) </w:t>
      </w:r>
      <w:r>
        <w:t xml:space="preserve">La expirare, toate rutele intră în noul sistem de licitație.</w:t>
      </w:r>
    </w:p>
    <w:p>
      <w:pPr>
        <w:spacing w:after="70" w:line="276"/>
        <w:jc w:val="both"/>
      </w:pPr>
      <w:r>
        <w:rPr>
          <w:b/>
          <w:bCs/>
        </w:rPr>
        <w:t xml:space="preserve">(3) </w:t>
      </w:r>
      <w:r>
        <w:t xml:space="preserve">Operatorii existenți pot participa la noile licitații în condiții egale cu orice alt competitor.</w:t>
      </w:r>
    </w:p>
    <w:p>
      <w:pPr>
        <w:spacing w:after="100" w:before="220" w:line="276"/>
      </w:pPr>
      <w:r>
        <w:rPr>
          <w:b/>
          <w:bCs/>
        </w:rPr>
        <w:t xml:space="preserve">Art. 22. </w:t>
      </w:r>
      <w:r>
        <w:rPr>
          <w:b/>
          <w:bCs/>
        </w:rPr>
        <w:t xml:space="preserve">Raportarea către Parlament</w:t>
      </w:r>
    </w:p>
    <w:p>
      <w:pPr>
        <w:spacing w:after="70" w:line="276"/>
        <w:jc w:val="both"/>
      </w:pPr>
      <w:r>
        <w:rPr>
          <w:b/>
          <w:bCs/>
        </w:rPr>
        <w:t xml:space="preserve">(1) </w:t>
      </w:r>
      <w:r>
        <w:t xml:space="preserve">ARR prezintă anual comisiei de Transporturi un raport cu: evoluția zonelor albe, numărul de rute esențiale operaționale, compensațiile plătite, indicatorii de performanță agregați, și numărul de călători.</w:t>
      </w:r>
    </w:p>
    <w:p>
      <w:pPr>
        <w:spacing w:after="100" w:before="220" w:line="276"/>
      </w:pPr>
      <w:r>
        <w:rPr>
          <w:b/>
          <w:bCs/>
        </w:rPr>
        <w:t xml:space="preserve">Art. 23. </w:t>
      </w:r>
      <w:r>
        <w:rPr>
          <w:b/>
          <w:bCs/>
        </w:rPr>
        <w:t xml:space="preserve">Modificări ale legislației</w:t>
      </w:r>
    </w:p>
    <w:p>
      <w:pPr>
        <w:spacing w:after="70" w:line="276"/>
        <w:jc w:val="both"/>
      </w:pPr>
      <w:r>
        <w:rPr>
          <w:b/>
          <w:bCs/>
        </w:rPr>
        <w:t xml:space="preserve">(1) </w:t>
      </w:r>
      <w:r>
        <w:t xml:space="preserve">Se modifică corespunzător:</w:t>
      </w:r>
    </w:p>
    <w:p>
      <w:pPr>
        <w:spacing w:after="50" w:line="276"/>
        <w:ind w:left="720"/>
        <w:jc w:val="both"/>
      </w:pPr>
      <w:r>
        <w:rPr>
          <w:b/>
          <w:bCs/>
        </w:rPr>
        <w:t xml:space="preserve">a) </w:t>
      </w:r>
      <w:r>
        <w:t xml:space="preserve">L.92/2007 privind serviciile publice de transport local;</w:t>
      </w:r>
    </w:p>
    <w:p>
      <w:pPr>
        <w:spacing w:after="50" w:line="276"/>
        <w:ind w:left="720"/>
        <w:jc w:val="both"/>
      </w:pPr>
      <w:r>
        <w:rPr>
          <w:b/>
          <w:bCs/>
        </w:rPr>
        <w:t xml:space="preserve">b) </w:t>
      </w:r>
      <w:r>
        <w:t xml:space="preserve">OG 27/2011 privind transporturile rutiere;</w:t>
      </w:r>
    </w:p>
    <w:p>
      <w:pPr>
        <w:spacing w:after="50" w:line="276"/>
        <w:ind w:left="720"/>
        <w:jc w:val="both"/>
      </w:pPr>
      <w:r>
        <w:rPr>
          <w:b/>
          <w:bCs/>
        </w:rPr>
        <w:t xml:space="preserve">c) </w:t>
      </w:r>
      <w:r>
        <w:t xml:space="preserve">Legea Fondului Rutier Național (art. 6 și art. 9).</w:t>
      </w:r>
    </w:p>
    <w:p>
      <w:pPr>
        <w:spacing w:after="100" w:before="220" w:line="276"/>
      </w:pPr>
      <w:r>
        <w:rPr>
          <w:b/>
          <w:bCs/>
        </w:rPr>
        <w:t xml:space="preserve">Art. 24. </w:t>
      </w:r>
      <w:r>
        <w:rPr>
          <w:b/>
          <w:bCs/>
        </w:rPr>
        <w:t xml:space="preserve">Dispoziții finale</w:t>
      </w:r>
    </w:p>
    <w:p>
      <w:pPr>
        <w:spacing w:after="70" w:line="276"/>
        <w:jc w:val="both"/>
      </w:pPr>
      <w:r>
        <w:rPr>
          <w:b/>
          <w:bCs/>
        </w:rPr>
        <w:t xml:space="preserve">(1) </w:t>
      </w:r>
      <w:r>
        <w:t xml:space="preserve">Prezenta lege intră în vigoare la 60 de zile de la publicare.</w:t>
      </w:r>
    </w:p>
    <w:p>
      <w:pPr>
        <w:spacing w:after="70" w:line="276"/>
        <w:jc w:val="both"/>
      </w:pPr>
      <w:r>
        <w:rPr>
          <w:b/>
          <w:bCs/>
        </w:rPr>
        <w:t xml:space="preserve">(2) </w:t>
      </w:r>
      <w:r>
        <w:t xml:space="preserve">Normele metodologice se adoptă în 90 de zile.</w:t>
      </w:r>
    </w:p>
    <w:p>
      <w:pPr>
        <w:spacing w:after="70" w:line="276"/>
        <w:jc w:val="both"/>
      </w:pPr>
      <w:r>
        <w:rPr>
          <w:b/>
          <w:bCs/>
        </w:rPr>
        <w:t xml:space="preserve">(3) </w:t>
      </w:r>
      <w:r>
        <w:t xml:space="preserve">Orice dispoziții contrare se abrogă.</w:t>
      </w:r>
    </w:p>
    <w:p>
      <w:pPr>
        <w:spacing w:before="600"/>
      </w:pPr>
    </w:p>
    <w:p>
      <w:pPr>
        <w:spacing w:after="110" w:line="276"/>
        <w:jc w:val="center"/>
      </w:pPr>
      <w:r>
        <w:rPr>
          <w:i/>
          <w:iCs/>
        </w:rPr>
        <w:t xml:space="preserve">Această lege a fost adoptată de Parlamentul României, cu respectarea prevederilor art. 75 și ale art. 76 alin. (1) din Constituția României, republicată.</w:t>
      </w:r>
    </w:p>
    <w:p>
      <w:r>
        <w:br w:type="page"/>
      </w:r>
    </w:p>
    <w:p>
      <w:pPr>
        <w:pStyle w:val="Heading1"/>
      </w:pPr>
      <w:r>
        <w:t xml:space="preserve">NOTĂ</w:t>
      </w:r>
    </w:p>
    <w:p>
      <w:pPr>
        <w:spacing w:after="110" w:line="276"/>
        <w:jc w:val="both"/>
      </w:pPr>
      <w:r>
        <w:rPr>
          <w:b/>
          <w:bCs/>
        </w:rPr>
        <w:t xml:space="preserve">Acest document este un draft de lucru și nu constituie consultanță juridică. </w:t>
      </w:r>
      <w:r>
        <w:t xml:space="preserve">Înainte de depunerea formală, se recomandă revizuirea de către un jurist specializat în dreptul transporturilor și drept administrativ.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Legea Transportului Public Interurban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2026-04-03T16:58:44.757Z</dcterms:created>
  <dcterms:modified xsi:type="dcterms:W3CDTF">2026-04-03T16:58:44.759Z</dcterms:modified>
</cp:coreProperties>
</file>

<file path=docProps/custom.xml><?xml version="1.0" encoding="utf-8"?>
<Properties xmlns="http://schemas.openxmlformats.org/officeDocument/2006/custom-properties" xmlns:vt="http://schemas.openxmlformats.org/officeDocument/2006/docPropsVTypes"/>
</file>