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GUVERNUL ROMÂNIEI</w:t>
      </w:r>
    </w:p>
    <w:p>
      <w:pPr>
        <w:pBdr>
          <w:bottom w:val="single" w:color="1F3864" w:sz="4" w:space="8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Hotărâre de Guvern</w:t>
      </w:r>
    </w:p>
    <w:p>
      <w:pPr>
        <w:spacing w:before="400"/>
      </w:pP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NORME METODOLOGICE</w:t>
      </w:r>
    </w:p>
    <w:p>
      <w:pPr>
        <w:spacing w:after="80"/>
        <w:jc w:val="center"/>
      </w:pPr>
      <w:r>
        <w:rPr>
          <w:sz w:val="28"/>
          <w:szCs w:val="28"/>
        </w:rPr>
        <w:t xml:space="preserve">de aplicare a Legii Digitalizării României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(Anexă la HG nr. .../2026)</w:t>
      </w:r>
    </w:p>
    <w:p>
      <w:pPr>
        <w:spacing w:before="1200"/>
      </w:pPr>
    </w:p>
    <w:p>
      <w:pPr>
        <w:jc w:val="center"/>
      </w:pPr>
      <w:r>
        <w:rPr>
          <w:color w:val="777777"/>
          <w:sz w:val="20"/>
          <w:szCs w:val="20"/>
        </w:rPr>
        <w:t xml:space="preserve">Document de lucru — Aprilie 2026</w:t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NORME METODOLOGICE</w:t>
      </w:r>
    </w:p>
    <w:p>
      <w:pPr>
        <w:pStyle w:val="Heading1"/>
      </w:pPr>
      <w:r>
        <w:t xml:space="preserve">de aplicare a Legii Digitalizării României</w:t>
      </w:r>
    </w:p>
    <w:p>
      <w:pPr>
        <w:pStyle w:val="Heading2"/>
      </w:pPr>
      <w:r>
        <w:t xml:space="preserve">CAPITOLUL I — Inventarul serviciilor publice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Realizarea inventarului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ADR transmite tuturor instituțiilor un formular standardizat în 30 zile de la publicare. Fiecare instituție completează și returnează în 60 zile. ADR consolidează și publică în luna 6.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Formularul conține: denumirea serviciului, baza legală, documentele necesare, termenul legal, numărul mediu cereri/an, stadiul digitalizării, Responsabilul cu Digitalizarea.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Serviciile se clasifică: Prioritate 1 (&gt;10.000 cereri/an, digitalizare 12 luni), Prioritate 2 (1.000-10.000, 18 luni), Prioritate 3 (&lt;1.000, 24-36 luni).</w:t>
      </w:r>
    </w:p>
    <w:p>
      <w:pPr>
        <w:pStyle w:val="Heading2"/>
      </w:pPr>
      <w:r>
        <w:t xml:space="preserve">CAPITOLUL II — Specificații tehnice PNI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Arhitectura PNI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Principii tehnice: descentralizare logică (fiecare instituție își menține baza), API REST conform OpenAPI 3.0, criptare TLS 1.3, certificate X.509 de la STS, logging centralizat cu păstrare 5 ani, SLA 99,9% pe 2 centre de date.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Standarde de integrare: JSON cu JSON Schema, OAuth 2.0 cu certificate client, răspuns sub 500ms la 95-percentilă, versionare SemVer, documentație Swagger.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Procedura de conectare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6 etape: (1) Analiză — 2 săpt., (2) Adaptare API — 4-8 săpt., (3) Testare sandbox — 2-4 săpt., (4) Audit securitate STS — 2 săpt., (5) Conectare producție — 1 săpt., (6) Monitorizare permanentă. Total: 3-5 luni per registru.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ADR publică PNI Developer Guide în luna 6, cu sandbox de testare gratuit.</w:t>
      </w:r>
    </w:p>
    <w:p>
      <w:pPr>
        <w:pStyle w:val="Heading2"/>
      </w:pPr>
      <w:r>
        <w:t xml:space="preserve">CAPITOLUL III — Procedura de obținere eID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Procedura standard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Cetățeanul se prezintă la evidența populației cu CI validă, verificare biometrică, activare eID pe mobil, emitere semnătură electronică gratuită. Durată: 30 minute.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Procedura consulară (diaspora)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3 variante: (a) la consulat cu programare în 10 zile; (b) la distanță prin videoconferință + NFC pașaport biometric; (c) servicii consulare mobile trimestriale în orașe &gt;10.000 români.</w:t>
      </w:r>
    </w:p>
    <w:p>
      <w:pPr>
        <w:pStyle w:val="Heading2"/>
      </w:pPr>
      <w:r>
        <w:t xml:space="preserve">CAPITOLUL IV — Principiul „doar o dată”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Lista documentelor nesolicitate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ADR publică în luna 9 lista completă. Include: extras CF (ANCPI), cazier fiscal (ANAF), cazier judiciar (MAI), adeverință venit (ANAF), certificat stare civilă, adeverință domiciliu (DEPABD), dovada plății impozitelor locale, certificat înmatriculare auto, adeverință CNAS, adeverință CNPP.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Lista se actualizează automat la fiecare conectare nouă la PNI.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Procedura de consimțământ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Notificare pe eID: „Instituția X solicită acces la datele dvs. din registrul Y pentru scopul Z. Aprobați?” Aprobare cu un click, specifică pe instituție/registru/scop.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Excepții fără consimțământ: anchete penale, executare silită, control fiscal cu decizie emisă, ordin judecătoresc.</w:t>
      </w:r>
    </w:p>
    <w:p>
      <w:pPr>
        <w:pStyle w:val="Heading2"/>
      </w:pPr>
      <w:r>
        <w:t xml:space="preserve">CAPITOLUL V — Digitalizarea primăriilor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Pachetul de digitalizare comunală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ADR furnizează: software registratură electronică (open-source), modul e-plată taxe locale, modul gestionare cereri, formare 2-3 funcționari (3 zile gratuit), suport tehnic 12 luni.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Cofinanțare echipamente: 90% ADR pentru comune sub 3.000 loc., 80% pentru cele peste 3.000.</w:t>
      </w:r>
    </w:p>
    <w:p>
      <w:pPr>
        <w:spacing w:after="100" w:before="220" w:line="276"/>
      </w:pPr>
      <w:r>
        <w:rPr>
          <w:b/>
          <w:bCs/>
        </w:rPr>
        <w:t xml:space="preserve">Art. 9. </w:t>
      </w:r>
      <w:r>
        <w:rPr>
          <w:b/>
          <w:bCs/>
        </w:rPr>
        <w:t xml:space="preserve">Ghișeul fizic de asistență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Fiecare primărie: minimum 1 calculator conectat, funcționar instruit, program L-V 8-16, afișaj servicii online.</w:t>
      </w:r>
    </w:p>
    <w:p>
      <w:pPr>
        <w:pStyle w:val="Heading2"/>
      </w:pPr>
      <w:r>
        <w:t xml:space="preserve">CAPITOLUL VI — Procedura de sancționare personală</w:t>
      </w:r>
    </w:p>
    <w:p>
      <w:pPr>
        <w:spacing w:after="100" w:before="220" w:line="276"/>
      </w:pPr>
      <w:r>
        <w:rPr>
          <w:b/>
          <w:bCs/>
        </w:rPr>
        <w:t xml:space="preserve">Art. 10. </w:t>
      </w:r>
      <w:r>
        <w:rPr>
          <w:b/>
          <w:bCs/>
        </w:rPr>
        <w:t xml:space="preserve">Constatarea abaterii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Prin: sesizare cetățean (formular online, nr. unic), raport trimestrial ADR, audit Avocatul Poporului, sesizări interne. ADR investighează în 30 zile, transmite comisiei de disciplină care soluționează în 30 zile.</w:t>
      </w:r>
    </w:p>
    <w:p>
      <w:pPr>
        <w:spacing w:after="100" w:before="220" w:line="276"/>
      </w:pPr>
      <w:r>
        <w:rPr>
          <w:b/>
          <w:bCs/>
        </w:rPr>
        <w:t xml:space="preserve">Art. 11. </w:t>
      </w:r>
      <w:r>
        <w:rPr>
          <w:b/>
          <w:bCs/>
        </w:rPr>
        <w:t xml:space="preserve">Registrul public al sancțiunilor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ADR ține registru online: instituția, funcția (nu numele), abaterea, sancțiunea, data. Actualizare trimestrială, format deschis.</w:t>
      </w:r>
    </w:p>
    <w:p>
      <w:pPr>
        <w:pStyle w:val="Heading2"/>
      </w:pPr>
      <w:r>
        <w:t xml:space="preserve">CAPITOLUL VII — Calendarul detaliat</w:t>
      </w:r>
    </w:p>
    <w:p>
      <w:pPr>
        <w:spacing w:after="100" w:before="220" w:line="276"/>
      </w:pPr>
      <w:r>
        <w:rPr>
          <w:b/>
          <w:bCs/>
        </w:rPr>
        <w:t xml:space="preserve">Art. 12. </w:t>
      </w:r>
      <w:r>
        <w:rPr>
          <w:b/>
          <w:bCs/>
        </w:rPr>
        <w:t xml:space="preserve">Calendar pe luni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Luna 1-3: norme publicate, formulare transmise. Luna 3-6: inventar finalizat, lista nesolicitate faza 1. Luna 6-12: primele 4 registre PNI, instituții centrale digitalizate. Luna 12-18: platformă consulară, EUDI Wallet. Luna 18-24: primării municipiu digitalizate, toate registrele PNI. Luna 24-36: primării comună digitalizate.</w:t>
      </w:r>
    </w:p>
    <w:p>
      <w:pPr>
        <w:spacing w:after="100" w:before="220" w:line="276"/>
      </w:pPr>
      <w:r>
        <w:rPr>
          <w:b/>
          <w:bCs/>
        </w:rPr>
        <w:t xml:space="preserve">Art. 13. </w:t>
      </w:r>
      <w:r>
        <w:rPr>
          <w:b/>
          <w:bCs/>
        </w:rPr>
        <w:t xml:space="preserve">Indicatori de performanță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ADR monitorizează lunar: % servicii digitalizate, nr. interogări PNI, nr. utilizatori eID, timp mediu soluționare, nr. sesizări „doar o dată”, nr. sancțiuni. Publicare lunară, format deschis.</w:t>
      </w:r>
    </w:p>
    <w:p>
      <w:pPr>
        <w:spacing w:after="100" w:before="220" w:line="276"/>
      </w:pPr>
      <w:r>
        <w:rPr>
          <w:b/>
          <w:bCs/>
        </w:rPr>
        <w:t xml:space="preserve">Art. 14.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Prezentele norme intră în vigoare la data publicării.</w:t>
      </w:r>
    </w:p>
    <w:p>
      <w:pPr>
        <w:spacing w:after="100" w:line="276"/>
        <w:jc w:val="both"/>
      </w:pPr>
      <w:r>
        <w:rPr>
          <w:b/>
          <w:bCs/>
        </w:rPr>
        <w:t xml:space="preserve">Notă: </w:t>
      </w:r>
      <w:r>
        <w:t xml:space="preserve">Draft de lucru, nu constituie consultanță juridică.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Pagina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Norme metodologice — Legea Digitalizării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2026-04-03T16:58:45.872Z</dcterms:created>
  <dcterms:modified xsi:type="dcterms:W3CDTF">2026-04-03T16:58:45.873Z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