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GUVERNUL ROMÂNIEI</w:t>
      </w:r>
    </w:p>
    <w:p>
      <w:pPr>
        <w:pBdr>
          <w:bottom w:val="single" w:color="1F3864" w:sz="4" w:space="8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Hotărâre de Guvern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NORME METODOLOGICE</w:t>
      </w:r>
    </w:p>
    <w:p>
      <w:pPr>
        <w:spacing w:after="80"/>
        <w:jc w:val="center"/>
      </w:pPr>
      <w:r>
        <w:rPr>
          <w:sz w:val="28"/>
          <w:szCs w:val="28"/>
        </w:rPr>
        <w:t xml:space="preserve">de aplicare a Legii Dezvoltării Rurale Integrate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(Anexă la HG)</w:t>
      </w:r>
    </w:p>
    <w:p>
      <w:pPr>
        <w:spacing w:before="1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 de lucru — Aprilie 2026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NORME METODOLOGICE</w:t>
      </w:r>
    </w:p>
    <w:p>
      <w:pPr>
        <w:pStyle w:val="Heading1"/>
      </w:pPr>
      <w:r>
        <w:t xml:space="preserve">de aplicare a Legii Dezvoltării Rurale Integrate</w:t>
      </w:r>
    </w:p>
    <w:p>
      <w:pPr>
        <w:pStyle w:val="Heading2"/>
      </w:pPr>
      <w:r>
        <w:t xml:space="preserve">CAPITOLUL I — Sub-fondul drumuri comunale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Formula de alocare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Alocare = 0,4 × (km_nepavat_comună / km_nepavat_total) + 0,3 × (pop_comună / pop_total_rural) + 0,3 × (1 — IDR_comună / IDR_max). Datele: km drumuri — de la primării (verificate satelitar de CNAIR), populație — INS, IDR — calculat de UIP-FRN. Publicare anuală pe portalul FRN, per comună, în format deschis.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Virarea: trimestrial, automată, după aprobarea planului anual. Neutilizare 2 ani = realocare în județ.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Procedura de monitorizare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Primăria raportează trimestrial: km modernizat, sume cheltuite, contracte, fotografii georeferențiate înainte/după. Inspecții aleatorii ISC. Primar responsabil personal: nedepunere raport = suspendare virări; utilizare în alt scop = suspendare funcție + Curtea de Conturi.</w:t>
      </w:r>
    </w:p>
    <w:p>
      <w:pPr>
        <w:pStyle w:val="Heading2"/>
      </w:pPr>
      <w:r>
        <w:t xml:space="preserve">CAPITOLUL II — Broadband rural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Procedura zone albe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ANCOM cartografiază în 6 luni zonele albe digitale (&lt;30 Mbps). Hartă GIS publică, actualizată semestrial. Licitații pe loturi județene: preț 50%, calitate 30%, termen 20%. Termen execuție: 24 luni. Acces wholesale obligatoriu. Tarif max reglementat. Subvenție 50% abonament pentru venituri sub salariul minim.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Fondul de Conectivitate Rurală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Alimentat din 10% taxe spectru radio + FEDR + buget stat (dacă necesar). Finanțează: fibră optică, stații FWA, echipamente CPE (max 500 lei/gospodărie). Administrare: ANCOM.</w:t>
      </w:r>
    </w:p>
    <w:p>
      <w:pPr>
        <w:pStyle w:val="Heading2"/>
      </w:pPr>
      <w:r>
        <w:t xml:space="preserve">CAPITOLUL III — Prosumatori rurali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Procedura simplificată de racordare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Cerere online pe platforma ANRE. Termen 30 zile (aprobare tacită la depășire). Taxă racordare zero. Contract-tip ANRE cu compensare netă 10 ani. Fără AC sub 10 kW (doar notificare e-AC). Subvenție Casa Verde max 20.000 lei (cerere online, răspuns 30 zile). Scutire impozit clădire 20 ani. Credit subvenționat max 3%.</w:t>
      </w:r>
    </w:p>
    <w:p>
      <w:pPr>
        <w:pStyle w:val="Heading2"/>
      </w:pPr>
      <w:r>
        <w:t xml:space="preserve">CAPITOLUL IV — Fondul Verde Comunal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Procedura de finanțare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Cerere online de la primărie cu audit energetic simplificat. Termen aprobare 60 zile. Cofinanțare 90% FVC / 10% buget local (95%/5% pentru cat. I subdezvoltare). Prioritizare: consum energetic actual (cele mai risipitoare = prioritate max). Destinații: izolație termică min 50%, fotovoltaice min 25%, LED max 15%, încălzire eficientă max 10%.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Monitorizare: contoare inteligente 5 ani post-reabilitare, date consum înainte/după publicate pe portal FVC.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Calendar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6: hartă zone albe + sub-fond drumuri + contract-tip prosumator. Luna 9: primele alocări drumuri + FVC operațional. Luna 12: licitații broadband + 1.000 prosumatori + 100 clădiri FVC. Luna 24: 30% zone albe acoperite + 3.000 km asfaltat. Luna 36: 60% zone albe + 100.000 prosumatori. Dec 2028: broadband complet.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Norme în vigoare la publicare.</w:t>
      </w:r>
    </w:p>
    <w:p>
      <w:pPr>
        <w:spacing w:after="100" w:line="276"/>
        <w:jc w:val="both"/>
      </w:pPr>
      <w:r>
        <w:rPr>
          <w:b/>
          <w:bCs/>
        </w:rPr>
        <w:t xml:space="preserve">Notă: </w:t>
      </w:r>
      <w:r>
        <w:t xml:space="preserve">Draft de lucru.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Pagina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Norme metodologice — Dezvoltarea Rurală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2026-04-03T17:06:15.058Z</dcterms:created>
  <dcterms:modified xsi:type="dcterms:W3CDTF">2026-04-03T17:06:15.058Z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