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GUVERNUL ROMÂNIEI</w:t>
      </w:r>
    </w:p>
    <w:p>
      <w:pPr>
        <w:pBdr>
          <w:bottom w:val="single" w:color="1F3864" w:sz="4" w:space="8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Hotărâre de Guvern</w:t>
      </w:r>
    </w:p>
    <w:p>
      <w:pPr>
        <w:spacing w:before="400"/>
      </w:pP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NORME METODOLOGICE</w:t>
      </w:r>
    </w:p>
    <w:p>
      <w:pPr>
        <w:spacing w:after="80"/>
        <w:jc w:val="center"/>
      </w:pPr>
      <w:r>
        <w:rPr>
          <w:sz w:val="28"/>
          <w:szCs w:val="28"/>
        </w:rPr>
        <w:t xml:space="preserve">de aplicare a Legii Siguranței Rutiere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(Anexă la HG)</w:t>
      </w:r>
    </w:p>
    <w:p>
      <w:pPr>
        <w:spacing w:before="1200"/>
      </w:pPr>
    </w:p>
    <w:p>
      <w:pPr>
        <w:jc w:val="center"/>
      </w:pPr>
      <w:r>
        <w:rPr>
          <w:color w:val="777777"/>
          <w:sz w:val="20"/>
          <w:szCs w:val="20"/>
        </w:rPr>
        <w:t xml:space="preserve">Document de lucru — Aprilie 2026</w:t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NORME METODOLOGICE</w:t>
      </w:r>
    </w:p>
    <w:p>
      <w:pPr>
        <w:pStyle w:val="Heading1"/>
      </w:pPr>
      <w:r>
        <w:t xml:space="preserve">de aplicare a Legii Siguranței Rutiere</w:t>
      </w:r>
    </w:p>
    <w:p>
      <w:pPr>
        <w:pStyle w:val="Heading2"/>
      </w:pPr>
      <w:r>
        <w:t xml:space="preserve">CAPITOLUL I — Specificații tehnice SNSVR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Tipuri de camere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SNSVR utilizează: (a) camere radar fixe (viteză instantanee) — la intersecții periculoase și zone școlare; (b) camere pe secțiune (viteză medie între 2 puncte, model Tutor) — pe autostrăzi și drumuri expres; (c) camere AI (telefon, centură) — la intersecții cu trafic intens; (d) camere ANPR (recunoaștere număr) — la toate punctele.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Specificații minime: rezoluție 4K la zi / 2K la noapte, IR pentru noapte, rata de recunoaștere ANPR &gt;98%, stocare locală 30 zile + cloud backup criptat, alimentare electrică redundantă (rețea + UPS 4h).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Procedura de sancționare automată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Fluxul: (1) camera detectează contravenția și capturează dovada; (2) sistemul identifică numărul de înmatriculare prin ANPR; (3) interogare automată DRPCIV pentru proprietar; (4) pentru detecții AI (telefon, centură): un operator uman verifică dovada în 24h; (5) generare automată PV; (6) comunicare electronică (email/eID/SMS) în 48h, subsidiar scrisoare recomandată în 10 zile.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PV-ul include obligatoriu: fotografia/secvența video (link securizat accesibil 90 zile), data/ora/loc exact, viteza măsurată vs. limita, cuantum amendă + puncte, instrucțiuni contestare cu link e-Contestație.</w:t>
      </w:r>
    </w:p>
    <w:p>
      <w:pPr>
        <w:spacing w:after="70" w:line="276"/>
        <w:jc w:val="both"/>
      </w:pPr>
      <w:r>
        <w:rPr>
          <w:b/>
          <w:bCs/>
        </w:rPr>
        <w:t xml:space="preserve">(3) </w:t>
      </w:r>
      <w:r>
        <w:t xml:space="preserve">Declararea șoferului real: proprietarul declară online în 30 zile identitatea șoferului, cu semnătură electronică ambilor.</w:t>
      </w:r>
    </w:p>
    <w:p>
      <w:pPr>
        <w:pStyle w:val="Heading2"/>
      </w:pPr>
      <w:r>
        <w:t xml:space="preserve">CAPITOLUL II — FSR: virarea și utilizarea fondurilor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Procedura de virare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ANAF determină lunar veniturile din amenzi rutiere (exclusiv parcare). MF virează 50% în contul FSR la Trezorerie în 10 zile lucrătoare. Raport lunar publicat pe portalul FSR.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Prioritizarea proiectelor FSR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Proiectele FSR se prioritizează pe baza: (a) numărul de accidente grave pe sector în ultimii 5 ani (40%); (b) volumul de trafic (20%); (c) costul intervenției vs. beneficiul estimat (20%); (d) stadiul de pregătire tehnică (20%). Poliția Rutieră actualizează anual lista top 500 puncte negre.</w:t>
      </w:r>
    </w:p>
    <w:p>
      <w:pPr>
        <w:pStyle w:val="Heading2"/>
      </w:pPr>
      <w:r>
        <w:t xml:space="preserve">CAPITOLUL III — Parcare ilegală: procedură locală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Implementare de către primării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Primăriile optează între: (a) camere fixe pe trotuare/zone critice; (b) vehicule de patrulare cu camere 360°; (c) combinație. Amenda se trimite automat proprietarului prin ANPR+DRPCIV. Escaladare pe vehicul (nu pe proprietar): I=500 lei, II=1.000 lei, III=1.500+ridicare.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Veniturile earmarked: 40% trotuare, 20% piste biciclete, 10% accesibilitate PMR, 30% parcaje. Raport anual public.</w:t>
      </w:r>
    </w:p>
    <w:p>
      <w:pPr>
        <w:pStyle w:val="Heading2"/>
      </w:pPr>
      <w:r>
        <w:t xml:space="preserve">CAPITOLUL IV — Garanții GDPR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Proceduri de protecție date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Ștergere automată 30 zile imagini fără contravenție (verificare automată de sistem). Păstrare pnă la soluționare definitivă + 90 zile. Logging complet: identitate operator, scop, data/ora. Interzicere recunoaștere facială (audit ANSPDCP anual pe firmware camere). Raport audit public pe site ANSPDCP.</w:t>
      </w:r>
    </w:p>
    <w:p>
      <w:pPr>
        <w:pStyle w:val="Heading2"/>
      </w:pPr>
      <w:r>
        <w:t xml:space="preserve">CAPITOLUL V — Platforma e-Contestație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Specificații funcționale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Autentificare eID sau alternativă (pașaport+selfie). Funcționalități: vizualizare dovezi poliție, upload dovezi proprii, depunere contestație cu semnătură electronică, audiere videoconferință, decizie în 60 zile, plată/restituire online. Dosarul integral digital (zero hârtie). Accesibil din străinătate.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Calendar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Luna 6: specificații tehnice + licitații camere. Luna 9: FSR operațional. Luna 12: e-Contestație + portal FSR. Luna 18: SNSVR autostrăzi. Luna 24: SNSVR top 500 puncte negre + audit ANSPDCP. Luna 36: extindere zone școlare + evaluare impact mortalitate.</w:t>
      </w:r>
    </w:p>
    <w:p>
      <w:pPr>
        <w:spacing w:after="100" w:before="220" w:line="276"/>
      </w:pPr>
      <w:r>
        <w:rPr>
          <w:b/>
          <w:bCs/>
        </w:rPr>
        <w:t xml:space="preserve">Art. 9.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Prezentele norme intră în vigoare la data publicării.</w:t>
      </w:r>
    </w:p>
    <w:p>
      <w:pPr>
        <w:spacing w:after="100" w:line="276"/>
        <w:jc w:val="both"/>
      </w:pPr>
      <w:r>
        <w:rPr>
          <w:b/>
          <w:bCs/>
        </w:rPr>
        <w:t xml:space="preserve">Notă: </w:t>
      </w:r>
      <w:r>
        <w:t xml:space="preserve">Draft de lucru.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Pagina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Norme metodologice — Siguranța Rutieră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2026-04-03T16:58:46.218Z</dcterms:created>
  <dcterms:modified xsi:type="dcterms:W3CDTF">2026-04-03T16:58:46.219Z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