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NORME METODOLOGICE
de aplicare a Legii Urbanismului Digital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Hotărâre de Guvern nr. ___ /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 — Dispoziții generale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Obiect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metodologice reglementează modul de aplicare a prevederilor legii privind Urbanism Digital.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Definiții suplimentare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În completarea definițiilor din lege, se folosesc următoarele definiții suplimentare aplicabile normelor.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 — Proceduri de implementare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Etapele implementării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Implementarea se realizează în următoarele etape: (a) etapa pregătitoare — 3 luni; (b) etapa pilot — 6 luni; (c) etapa de extindere națională — 12 luni.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Responsabilități instituționale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Ministerul de resort coordonează implementarea. ANCPI, ANAF sau instituția de specialitate relevantă asigură suportul tehnic.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Sistemul informatic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Platforma informatică se dezvoltă conform specificațiilor tehnice din Anexa 1, cu respectarea principiului interoperabilității și a standardelor de securitate.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III — Monitorizare și raportare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Indicatori de performanță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stabilesc următorii indicatori de performanță pentru evaluarea implementării, raportați trimestrial.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Raportarea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Instituțiile responsabile transmit rapoarte trimestriale Guvernului și comisiei parlamentare de specialitate.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IV — Dispoziții finale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Intrare în vigoare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intră în vigoare la data publicării în Monitorul Oficial al României.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Normele metodologice complete sunt disponibile la: https://florindumitru22.github.io/reforme-romania/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Norme Metodologice — Urbanism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2026-05-05T22:07:44.193Z</dcterms:created>
  <dcterms:modified xsi:type="dcterms:W3CDTF">2026-05-05T22:07:44.193Z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