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A5276"/>
          <w:sz w:val="36"/>
          <w:szCs w:val="36"/>
        </w:rPr>
        <w:t xml:space="preserve">PROIECT DE LEGE
privind înființarea Fondului Rutier Național</w:t>
      </w:r>
    </w:p>
    <w:p>
      <w:pPr>
        <w:spacing w:after="100"/>
        <w:jc w:val="center"/>
      </w:pPr>
      <w:r>
        <w:rPr>
          <w:rFonts w:ascii="Arial" w:cs="Arial" w:eastAsia="Arial" w:hAnsi="Arial"/>
          <w:color w:val="2C3E50"/>
          <w:sz w:val="24"/>
          <w:szCs w:val="24"/>
        </w:rPr>
        <w:t xml:space="preserve">Legea nr. ___ / 2026</w:t>
      </w:r>
    </w:p>
    <w:p>
      <w:pPr>
        <w:spacing w:after="400"/>
        <w:jc w:val="center"/>
      </w:pPr>
      <w:r>
        <w:rPr>
          <w:rFonts w:ascii="Arial" w:cs="Arial" w:eastAsia="Arial" w:hAnsi="Arial"/>
          <w:color w:val="999999"/>
          <w:sz w:val="20"/>
          <w:szCs w:val="20"/>
        </w:rPr>
        <w:t xml:space="preserve">Versiunea 1.0 | Aprilie 2026</w:t>
      </w:r>
    </w:p>
    <w:p>
      <w:pPr>
        <w:pStyle w:val="Heading2"/>
        <w:spacing w:after="120" w:before="240"/>
      </w:pPr>
      <w:r>
        <w:rPr>
          <w:rFonts w:ascii="Arial" w:cs="Arial" w:eastAsia="Arial" w:hAnsi="Arial"/>
          <w:b/>
          <w:bCs/>
          <w:color w:val="2C3E50"/>
          <w:sz w:val="26"/>
          <w:szCs w:val="26"/>
        </w:rPr>
        <w:t xml:space="preserve">CAPITOLUL I — Dispoziții generale</w:t>
      </w:r>
    </w:p>
    <w:p>
      <w:pPr>
        <w:spacing w:after="60" w:before="200"/>
      </w:pPr>
      <w:r>
        <w:rPr>
          <w:rFonts w:ascii="Arial" w:cs="Arial" w:eastAsia="Arial" w:hAnsi="Arial"/>
          <w:b/>
          <w:bCs/>
          <w:color w:val="1A5276"/>
          <w:sz w:val="22"/>
          <w:szCs w:val="22"/>
        </w:rPr>
        <w:t xml:space="preserve">Art. 1. </w:t>
      </w:r>
      <w:r>
        <w:rPr>
          <w:rFonts w:ascii="Arial" w:cs="Arial" w:eastAsia="Arial" w:hAnsi="Arial"/>
          <w:b/>
          <w:bCs/>
          <w:sz w:val="22"/>
          <w:szCs w:val="22"/>
        </w:rPr>
        <w:t xml:space="preserve">Obiectul legii</w:t>
      </w:r>
    </w:p>
    <w:p>
      <w:pPr>
        <w:spacing w:after="100" w:line="276"/>
      </w:pPr>
      <w:r>
        <w:rPr>
          <w:rFonts w:ascii="Arial" w:cs="Arial" w:eastAsia="Arial" w:hAnsi="Arial"/>
          <w:sz w:val="22"/>
          <w:szCs w:val="22"/>
        </w:rPr>
        <w:t xml:space="preserve">Prezenta lege reglementează înființarea, organizarea și funcționarea Fondului Rutier Național, denumit în continuare FRN, ca mecanism de finanțare dedicat infrastructurii rutiere din România.</w:t>
      </w:r>
    </w:p>
    <w:p>
      <w:pPr>
        <w:spacing w:after="60" w:before="200"/>
      </w:pPr>
      <w:r>
        <w:rPr>
          <w:rFonts w:ascii="Arial" w:cs="Arial" w:eastAsia="Arial" w:hAnsi="Arial"/>
          <w:b/>
          <w:bCs/>
          <w:color w:val="1A5276"/>
          <w:sz w:val="22"/>
          <w:szCs w:val="22"/>
        </w:rPr>
        <w:t xml:space="preserve">Art. 2. </w:t>
      </w:r>
      <w:r>
        <w:rPr>
          <w:rFonts w:ascii="Arial" w:cs="Arial" w:eastAsia="Arial" w:hAnsi="Arial"/>
          <w:b/>
          <w:bCs/>
          <w:sz w:val="22"/>
          <w:szCs w:val="22"/>
        </w:rPr>
        <w:t xml:space="preserve">Definiții</w:t>
      </w:r>
    </w:p>
    <w:p>
      <w:pPr>
        <w:spacing w:after="100" w:line="276"/>
      </w:pPr>
      <w:r>
        <w:rPr>
          <w:rFonts w:ascii="Arial" w:cs="Arial" w:eastAsia="Arial" w:hAnsi="Arial"/>
          <w:sz w:val="22"/>
          <w:szCs w:val="22"/>
        </w:rPr>
        <w:t xml:space="preserve">În sensul prezentei legi, termenii și expresiile de mai jos au următoarele semnificații:</w:t>
      </w:r>
    </w:p>
    <w:p>
      <w:pPr>
        <w:spacing w:after="100" w:line="276"/>
      </w:pPr>
      <w:r>
        <w:rPr>
          <w:rFonts w:ascii="Arial" w:cs="Arial" w:eastAsia="Arial" w:hAnsi="Arial"/>
          <w:sz w:val="22"/>
          <w:szCs w:val="22"/>
        </w:rPr>
        <w:t xml:space="preserve">(a) earmarking — direcționarea unui procent din veniturile fiscale colectate exclusiv către un scop predeterminat;</w:t>
      </w:r>
    </w:p>
    <w:p>
      <w:pPr>
        <w:spacing w:after="100" w:line="276"/>
      </w:pPr>
      <w:r>
        <w:rPr>
          <w:rFonts w:ascii="Arial" w:cs="Arial" w:eastAsia="Arial" w:hAnsi="Arial"/>
          <w:sz w:val="22"/>
          <w:szCs w:val="22"/>
        </w:rPr>
        <w:t xml:space="preserve">(b) fond dedicat — fond bugetar cu destinație specială, protejat de realocări discreționare;</w:t>
      </w:r>
    </w:p>
    <w:p>
      <w:pPr>
        <w:spacing w:after="100" w:line="276"/>
      </w:pPr>
      <w:r>
        <w:rPr>
          <w:rFonts w:ascii="Arial" w:cs="Arial" w:eastAsia="Arial" w:hAnsi="Arial"/>
          <w:sz w:val="22"/>
          <w:szCs w:val="22"/>
        </w:rPr>
        <w:t xml:space="preserve">(c) portal de transparență — platformă digitală publică pentru monitorizarea în timp real a cheltuielilor fondului.</w:t>
      </w:r>
    </w:p>
    <w:p>
      <w:pPr>
        <w:spacing w:after="60" w:before="200"/>
      </w:pPr>
      <w:r>
        <w:rPr>
          <w:rFonts w:ascii="Arial" w:cs="Arial" w:eastAsia="Arial" w:hAnsi="Arial"/>
          <w:b/>
          <w:bCs/>
          <w:color w:val="1A5276"/>
          <w:sz w:val="22"/>
          <w:szCs w:val="22"/>
        </w:rPr>
        <w:t xml:space="preserve">Art. 3. </w:t>
      </w:r>
      <w:r>
        <w:rPr>
          <w:rFonts w:ascii="Arial" w:cs="Arial" w:eastAsia="Arial" w:hAnsi="Arial"/>
          <w:b/>
          <w:bCs/>
          <w:sz w:val="22"/>
          <w:szCs w:val="22"/>
        </w:rPr>
        <w:t xml:space="preserve">Principii</w:t>
      </w:r>
    </w:p>
    <w:p>
      <w:pPr>
        <w:spacing w:after="100" w:line="276"/>
      </w:pPr>
      <w:r>
        <w:rPr>
          <w:rFonts w:ascii="Arial" w:cs="Arial" w:eastAsia="Arial" w:hAnsi="Arial"/>
          <w:sz w:val="22"/>
          <w:szCs w:val="22"/>
        </w:rPr>
        <w:t xml:space="preserve">FRN funcționează pe baza următoarelor principii: (a) earmarking-ul accizelor pe combustibil; (b) transparența completă a cheltuielilor; (c) guvernanța mixtă stat-privat-societate civilă; (d) planificarea pe termen lung a investițiilor; (e) auditarea independentă anuală.</w:t>
      </w:r>
    </w:p>
    <w:p>
      <w:pPr>
        <w:pStyle w:val="Heading2"/>
        <w:spacing w:after="120" w:before="240"/>
      </w:pPr>
      <w:r>
        <w:rPr>
          <w:rFonts w:ascii="Arial" w:cs="Arial" w:eastAsia="Arial" w:hAnsi="Arial"/>
          <w:b/>
          <w:bCs/>
          <w:color w:val="2C3E50"/>
          <w:sz w:val="26"/>
          <w:szCs w:val="26"/>
        </w:rPr>
        <w:t xml:space="preserve">CAPITOLUL II — Surse de finanțare</w:t>
      </w:r>
    </w:p>
    <w:p>
      <w:pPr>
        <w:spacing w:after="60" w:before="200"/>
      </w:pPr>
      <w:r>
        <w:rPr>
          <w:rFonts w:ascii="Arial" w:cs="Arial" w:eastAsia="Arial" w:hAnsi="Arial"/>
          <w:b/>
          <w:bCs/>
          <w:color w:val="1A5276"/>
          <w:sz w:val="22"/>
          <w:szCs w:val="22"/>
        </w:rPr>
        <w:t xml:space="preserve">Art. 4. </w:t>
      </w:r>
      <w:r>
        <w:rPr>
          <w:rFonts w:ascii="Arial" w:cs="Arial" w:eastAsia="Arial" w:hAnsi="Arial"/>
          <w:b/>
          <w:bCs/>
          <w:sz w:val="22"/>
          <w:szCs w:val="22"/>
        </w:rPr>
        <w:t xml:space="preserve">Sursele FRN</w:t>
      </w:r>
    </w:p>
    <w:p>
      <w:pPr>
        <w:spacing w:after="100" w:line="276"/>
      </w:pPr>
      <w:r>
        <w:rPr>
          <w:rFonts w:ascii="Arial" w:cs="Arial" w:eastAsia="Arial" w:hAnsi="Arial"/>
          <w:sz w:val="22"/>
          <w:szCs w:val="22"/>
        </w:rPr>
        <w:t xml:space="preserve">FRN se alimentează din: (a) 40% din accizele pe combustibil colectate conform Codului Fiscal; (b) 50% din amenzile rutiere colectate; (c) venituri din concesiuni și tarife rutiere; (d) finanțări europene atrase; (e) donații și sponsorizări.</w:t>
      </w:r>
    </w:p>
    <w:p>
      <w:pPr>
        <w:spacing w:after="100" w:line="276"/>
      </w:pPr>
      <w:r>
        <w:rPr>
          <w:rFonts w:ascii="Arial" w:cs="Arial" w:eastAsia="Arial" w:hAnsi="Arial"/>
          <w:sz w:val="22"/>
          <w:szCs w:val="22"/>
        </w:rPr>
        <w:t xml:space="preserve">Procentul de la alin. (1) lit. (a) se aplică asupra accizelor colectate efectiv, nu asupra celor estimate.</w:t>
      </w:r>
    </w:p>
    <w:p>
      <w:pPr>
        <w:spacing w:after="60" w:before="200"/>
      </w:pPr>
      <w:r>
        <w:rPr>
          <w:rFonts w:ascii="Arial" w:cs="Arial" w:eastAsia="Arial" w:hAnsi="Arial"/>
          <w:b/>
          <w:bCs/>
          <w:color w:val="1A5276"/>
          <w:sz w:val="22"/>
          <w:szCs w:val="22"/>
        </w:rPr>
        <w:t xml:space="preserve">Art. 5. </w:t>
      </w:r>
      <w:r>
        <w:rPr>
          <w:rFonts w:ascii="Arial" w:cs="Arial" w:eastAsia="Arial" w:hAnsi="Arial"/>
          <w:b/>
          <w:bCs/>
          <w:sz w:val="22"/>
          <w:szCs w:val="22"/>
        </w:rPr>
        <w:t xml:space="preserve">Mecanismul de transfer</w:t>
      </w:r>
    </w:p>
    <w:p>
      <w:pPr>
        <w:spacing w:after="100" w:line="276"/>
      </w:pPr>
      <w:r>
        <w:rPr>
          <w:rFonts w:ascii="Arial" w:cs="Arial" w:eastAsia="Arial" w:hAnsi="Arial"/>
          <w:sz w:val="22"/>
          <w:szCs w:val="22"/>
        </w:rPr>
        <w:t xml:space="preserve">Transferul sumelor din accize se face automat, lunar, din contul Trezoreriei Statului în contul FRN, în termen de 5 zile lucrătoare de la închiderea lunii.</w:t>
      </w:r>
    </w:p>
    <w:p>
      <w:pPr>
        <w:spacing w:after="100" w:line="276"/>
      </w:pPr>
      <w:r>
        <w:rPr>
          <w:rFonts w:ascii="Arial" w:cs="Arial" w:eastAsia="Arial" w:hAnsi="Arial"/>
          <w:sz w:val="22"/>
          <w:szCs w:val="22"/>
        </w:rPr>
        <w:t xml:space="preserve">Orice întârziere se penalizează cu dobânda de referință a BNR aplicată pro rata temporis.</w:t>
      </w:r>
    </w:p>
    <w:p>
      <w:pPr>
        <w:pStyle w:val="Heading2"/>
        <w:spacing w:after="120" w:before="240"/>
      </w:pPr>
      <w:r>
        <w:rPr>
          <w:rFonts w:ascii="Arial" w:cs="Arial" w:eastAsia="Arial" w:hAnsi="Arial"/>
          <w:b/>
          <w:bCs/>
          <w:color w:val="2C3E50"/>
          <w:sz w:val="26"/>
          <w:szCs w:val="26"/>
        </w:rPr>
        <w:t xml:space="preserve">CAPITOLUL III — Organizare și conducere</w:t>
      </w:r>
    </w:p>
    <w:p>
      <w:pPr>
        <w:spacing w:after="60" w:before="200"/>
      </w:pPr>
      <w:r>
        <w:rPr>
          <w:rFonts w:ascii="Arial" w:cs="Arial" w:eastAsia="Arial" w:hAnsi="Arial"/>
          <w:b/>
          <w:bCs/>
          <w:color w:val="1A5276"/>
          <w:sz w:val="22"/>
          <w:szCs w:val="22"/>
        </w:rPr>
        <w:t xml:space="preserve">Art. 6. </w:t>
      </w:r>
      <w:r>
        <w:rPr>
          <w:rFonts w:ascii="Arial" w:cs="Arial" w:eastAsia="Arial" w:hAnsi="Arial"/>
          <w:b/>
          <w:bCs/>
          <w:sz w:val="22"/>
          <w:szCs w:val="22"/>
        </w:rPr>
        <w:t xml:space="preserve">Consiliul de Administrare</w:t>
      </w:r>
    </w:p>
    <w:p>
      <w:pPr>
        <w:spacing w:after="100" w:line="276"/>
      </w:pPr>
      <w:r>
        <w:rPr>
          <w:rFonts w:ascii="Arial" w:cs="Arial" w:eastAsia="Arial" w:hAnsi="Arial"/>
          <w:sz w:val="22"/>
          <w:szCs w:val="22"/>
        </w:rPr>
        <w:t xml:space="preserve">FRN este condus de un Consiliu de Administrare format din 9 membri: (a) 3 reprezentanți ai Ministerului Transporturilor; (b) 2 reprezentanți ai patronatelor de transport rutier (UNTRR, ARTRI); (c) 2 reprezentanți ai societății civile (ProInfrastructură, AADR); (d) 1 reprezentant al Curții de Conturi; (e) 1 expert independent în infrastructură, selectat prin concurs public.</w:t>
      </w:r>
    </w:p>
    <w:p>
      <w:pPr>
        <w:spacing w:after="60" w:before="200"/>
      </w:pPr>
      <w:r>
        <w:rPr>
          <w:rFonts w:ascii="Arial" w:cs="Arial" w:eastAsia="Arial" w:hAnsi="Arial"/>
          <w:b/>
          <w:bCs/>
          <w:color w:val="1A5276"/>
          <w:sz w:val="22"/>
          <w:szCs w:val="22"/>
        </w:rPr>
        <w:t xml:space="preserve">Art. 7. </w:t>
      </w:r>
      <w:r>
        <w:rPr>
          <w:rFonts w:ascii="Arial" w:cs="Arial" w:eastAsia="Arial" w:hAnsi="Arial"/>
          <w:b/>
          <w:bCs/>
          <w:sz w:val="22"/>
          <w:szCs w:val="22"/>
        </w:rPr>
        <w:t xml:space="preserve">Mandatul membrilor</w:t>
      </w:r>
    </w:p>
    <w:p>
      <w:pPr>
        <w:spacing w:after="100" w:line="276"/>
      </w:pPr>
      <w:r>
        <w:rPr>
          <w:rFonts w:ascii="Arial" w:cs="Arial" w:eastAsia="Arial" w:hAnsi="Arial"/>
          <w:sz w:val="22"/>
          <w:szCs w:val="22"/>
        </w:rPr>
        <w:t xml:space="preserve">Mandatul membrilor Consiliului este de 4 ani, cu posibilitatea reînnoirii o singură dată. Revocarea se face prin decizie motivată a Guvernului, cu avizul comisiei parlamentare de specialitate.</w:t>
      </w:r>
    </w:p>
    <w:p>
      <w:pPr>
        <w:spacing w:after="60" w:before="200"/>
      </w:pPr>
      <w:r>
        <w:rPr>
          <w:rFonts w:ascii="Arial" w:cs="Arial" w:eastAsia="Arial" w:hAnsi="Arial"/>
          <w:b/>
          <w:bCs/>
          <w:color w:val="1A5276"/>
          <w:sz w:val="22"/>
          <w:szCs w:val="22"/>
        </w:rPr>
        <w:t xml:space="preserve">Art. 8. </w:t>
      </w:r>
      <w:r>
        <w:rPr>
          <w:rFonts w:ascii="Arial" w:cs="Arial" w:eastAsia="Arial" w:hAnsi="Arial"/>
          <w:b/>
          <w:bCs/>
          <w:sz w:val="22"/>
          <w:szCs w:val="22"/>
        </w:rPr>
        <w:t xml:space="preserve">Directorul executiv</w:t>
      </w:r>
    </w:p>
    <w:p>
      <w:pPr>
        <w:spacing w:after="100" w:line="276"/>
      </w:pPr>
      <w:r>
        <w:rPr>
          <w:rFonts w:ascii="Arial" w:cs="Arial" w:eastAsia="Arial" w:hAnsi="Arial"/>
          <w:sz w:val="22"/>
          <w:szCs w:val="22"/>
        </w:rPr>
        <w:t xml:space="preserve">Directorul executiv al FRN este selectat prin concurs public organizat de Consiliul de Administrare. Mandatul este de 5 ani, fără posibilitate de reînnoire consecutivă.</w:t>
      </w:r>
    </w:p>
    <w:p>
      <w:pPr>
        <w:pStyle w:val="Heading2"/>
        <w:spacing w:after="120" w:before="240"/>
      </w:pPr>
      <w:r>
        <w:rPr>
          <w:rFonts w:ascii="Arial" w:cs="Arial" w:eastAsia="Arial" w:hAnsi="Arial"/>
          <w:b/>
          <w:bCs/>
          <w:color w:val="2C3E50"/>
          <w:sz w:val="26"/>
          <w:szCs w:val="26"/>
        </w:rPr>
        <w:t xml:space="preserve">CAPITOLUL IV — Utilizarea fondurilor</w:t>
      </w:r>
    </w:p>
    <w:p>
      <w:pPr>
        <w:spacing w:after="60" w:before="200"/>
      </w:pPr>
      <w:r>
        <w:rPr>
          <w:rFonts w:ascii="Arial" w:cs="Arial" w:eastAsia="Arial" w:hAnsi="Arial"/>
          <w:b/>
          <w:bCs/>
          <w:color w:val="1A5276"/>
          <w:sz w:val="22"/>
          <w:szCs w:val="22"/>
        </w:rPr>
        <w:t xml:space="preserve">Art. 9. </w:t>
      </w:r>
      <w:r>
        <w:rPr>
          <w:rFonts w:ascii="Arial" w:cs="Arial" w:eastAsia="Arial" w:hAnsi="Arial"/>
          <w:b/>
          <w:bCs/>
          <w:sz w:val="22"/>
          <w:szCs w:val="22"/>
        </w:rPr>
        <w:t xml:space="preserve">Destinația cheltuielilor</w:t>
      </w:r>
    </w:p>
    <w:p>
      <w:pPr>
        <w:spacing w:after="100" w:line="276"/>
      </w:pPr>
      <w:r>
        <w:rPr>
          <w:rFonts w:ascii="Arial" w:cs="Arial" w:eastAsia="Arial" w:hAnsi="Arial"/>
          <w:sz w:val="22"/>
          <w:szCs w:val="22"/>
        </w:rPr>
        <w:t xml:space="preserve">Fondurile FRN se utilizează exclusiv pentru: (a) construcția și modernizarea drumurilor naționale și autostrăzilor (minimum 50%); (b) întreținerea și reparația rețelei rutiere existente (maximum 30%); (c) siguranța rutieră (minimum 10%); (d) cheltuieli de administrare (maximum 5%); (e) cercetare și inovație în transporturi (maximum 5%).</w:t>
      </w:r>
    </w:p>
    <w:p>
      <w:pPr>
        <w:spacing w:after="60" w:before="200"/>
      </w:pPr>
      <w:r>
        <w:rPr>
          <w:rFonts w:ascii="Arial" w:cs="Arial" w:eastAsia="Arial" w:hAnsi="Arial"/>
          <w:b/>
          <w:bCs/>
          <w:color w:val="1A5276"/>
          <w:sz w:val="22"/>
          <w:szCs w:val="22"/>
        </w:rPr>
        <w:t xml:space="preserve">Art. 10. </w:t>
      </w:r>
      <w:r>
        <w:rPr>
          <w:rFonts w:ascii="Arial" w:cs="Arial" w:eastAsia="Arial" w:hAnsi="Arial"/>
          <w:b/>
          <w:bCs/>
          <w:sz w:val="22"/>
          <w:szCs w:val="22"/>
        </w:rPr>
        <w:t xml:space="preserve">Planul multianual</w:t>
      </w:r>
    </w:p>
    <w:p>
      <w:pPr>
        <w:spacing w:after="100" w:line="276"/>
      </w:pPr>
      <w:r>
        <w:rPr>
          <w:rFonts w:ascii="Arial" w:cs="Arial" w:eastAsia="Arial" w:hAnsi="Arial"/>
          <w:sz w:val="22"/>
          <w:szCs w:val="22"/>
        </w:rPr>
        <w:t xml:space="preserve">Consiliul de Administrare aprobă un Plan Rutier Național pe 10 ani, actualizat la fiecare 2 ani, care stabilește prioritățile de investiție pe baza: (a) analizei cost-beneficiu; (b) volumului de trafic; (c) stării tehnice a infrastructurii; (d) impactului economic regional; (e) angajamentelor europene.</w:t>
      </w:r>
    </w:p>
    <w:p>
      <w:pPr>
        <w:pStyle w:val="Heading2"/>
        <w:spacing w:after="120" w:before="240"/>
      </w:pPr>
      <w:r>
        <w:rPr>
          <w:rFonts w:ascii="Arial" w:cs="Arial" w:eastAsia="Arial" w:hAnsi="Arial"/>
          <w:b/>
          <w:bCs/>
          <w:color w:val="2C3E50"/>
          <w:sz w:val="26"/>
          <w:szCs w:val="26"/>
        </w:rPr>
        <w:t xml:space="preserve">CAPITOLUL V — Transparență și control</w:t>
      </w:r>
    </w:p>
    <w:p>
      <w:pPr>
        <w:spacing w:after="60" w:before="200"/>
      </w:pPr>
      <w:r>
        <w:rPr>
          <w:rFonts w:ascii="Arial" w:cs="Arial" w:eastAsia="Arial" w:hAnsi="Arial"/>
          <w:b/>
          <w:bCs/>
          <w:color w:val="1A5276"/>
          <w:sz w:val="22"/>
          <w:szCs w:val="22"/>
        </w:rPr>
        <w:t xml:space="preserve">Art. 11. </w:t>
      </w:r>
      <w:r>
        <w:rPr>
          <w:rFonts w:ascii="Arial" w:cs="Arial" w:eastAsia="Arial" w:hAnsi="Arial"/>
          <w:b/>
          <w:bCs/>
          <w:sz w:val="22"/>
          <w:szCs w:val="22"/>
        </w:rPr>
        <w:t xml:space="preserve">Portalul de transparență</w:t>
      </w:r>
    </w:p>
    <w:p>
      <w:pPr>
        <w:spacing w:after="100" w:line="276"/>
      </w:pPr>
      <w:r>
        <w:rPr>
          <w:rFonts w:ascii="Arial" w:cs="Arial" w:eastAsia="Arial" w:hAnsi="Arial"/>
          <w:sz w:val="22"/>
          <w:szCs w:val="22"/>
        </w:rPr>
        <w:t xml:space="preserve">FRN publică în timp real, pe portalul fond-rutier.ro: (a) toate contractele de achiziție; (b) stadiul lucrărilor; (c) cheltuielile detaliate pe categorii; (d) indicatori de performanță; (e) rapoarte de audit.</w:t>
      </w:r>
    </w:p>
    <w:p>
      <w:pPr>
        <w:spacing w:after="100" w:line="276"/>
      </w:pPr>
      <w:r>
        <w:rPr>
          <w:rFonts w:ascii="Arial" w:cs="Arial" w:eastAsia="Arial" w:hAnsi="Arial"/>
          <w:sz w:val="22"/>
          <w:szCs w:val="22"/>
        </w:rPr>
        <w:t xml:space="preserve">Datele sunt disponibile în format mașină-citibil (CSV, JSON, API).</w:t>
      </w:r>
    </w:p>
    <w:p>
      <w:pPr>
        <w:spacing w:after="60" w:before="200"/>
      </w:pPr>
      <w:r>
        <w:rPr>
          <w:rFonts w:ascii="Arial" w:cs="Arial" w:eastAsia="Arial" w:hAnsi="Arial"/>
          <w:b/>
          <w:bCs/>
          <w:color w:val="1A5276"/>
          <w:sz w:val="22"/>
          <w:szCs w:val="22"/>
        </w:rPr>
        <w:t xml:space="preserve">Art. 12. </w:t>
      </w:r>
      <w:r>
        <w:rPr>
          <w:rFonts w:ascii="Arial" w:cs="Arial" w:eastAsia="Arial" w:hAnsi="Arial"/>
          <w:b/>
          <w:bCs/>
          <w:sz w:val="22"/>
          <w:szCs w:val="22"/>
        </w:rPr>
        <w:t xml:space="preserve">Auditul independent</w:t>
      </w:r>
    </w:p>
    <w:p>
      <w:pPr>
        <w:spacing w:after="100" w:line="276"/>
      </w:pPr>
      <w:r>
        <w:rPr>
          <w:rFonts w:ascii="Arial" w:cs="Arial" w:eastAsia="Arial" w:hAnsi="Arial"/>
          <w:sz w:val="22"/>
          <w:szCs w:val="22"/>
        </w:rPr>
        <w:t xml:space="preserve">FRN este auditat anual de Curtea de Conturi și de un auditor extern independent selectat prin licitație publică. Raportul de audit se publică pe portalul de transparență în termen de 30 de zile de la finalizare.</w:t>
      </w:r>
    </w:p>
    <w:p>
      <w:pPr>
        <w:pStyle w:val="Heading2"/>
        <w:spacing w:after="120" w:before="240"/>
      </w:pPr>
      <w:r>
        <w:rPr>
          <w:rFonts w:ascii="Arial" w:cs="Arial" w:eastAsia="Arial" w:hAnsi="Arial"/>
          <w:b/>
          <w:bCs/>
          <w:color w:val="2C3E50"/>
          <w:sz w:val="26"/>
          <w:szCs w:val="26"/>
        </w:rPr>
        <w:t xml:space="preserve">CAPITOLUL VI — Dispoziții finale</w:t>
      </w:r>
    </w:p>
    <w:p>
      <w:pPr>
        <w:spacing w:after="60" w:before="200"/>
      </w:pPr>
      <w:r>
        <w:rPr>
          <w:rFonts w:ascii="Arial" w:cs="Arial" w:eastAsia="Arial" w:hAnsi="Arial"/>
          <w:b/>
          <w:bCs/>
          <w:color w:val="1A5276"/>
          <w:sz w:val="22"/>
          <w:szCs w:val="22"/>
        </w:rPr>
        <w:t xml:space="preserve">Art. 13. </w:t>
      </w:r>
      <w:r>
        <w:rPr>
          <w:rFonts w:ascii="Arial" w:cs="Arial" w:eastAsia="Arial" w:hAnsi="Arial"/>
          <w:b/>
          <w:bCs/>
          <w:sz w:val="22"/>
          <w:szCs w:val="22"/>
        </w:rPr>
        <w:t xml:space="preserve">Sancțiuni</w:t>
      </w:r>
    </w:p>
    <w:p>
      <w:pPr>
        <w:spacing w:after="100" w:line="276"/>
      </w:pPr>
      <w:r>
        <w:rPr>
          <w:rFonts w:ascii="Arial" w:cs="Arial" w:eastAsia="Arial" w:hAnsi="Arial"/>
          <w:sz w:val="22"/>
          <w:szCs w:val="22"/>
        </w:rPr>
        <w:t xml:space="preserve">Încălcarea obligațiilor de transparență prevăzute la art. 11 constituie abatere disciplinară gravă și se sancționează cu amendă de la 10.000 lei la 50.000 lei, aplicată personal funcționarului responsabil.</w:t>
      </w:r>
    </w:p>
    <w:p>
      <w:pPr>
        <w:spacing w:after="60" w:before="200"/>
      </w:pPr>
      <w:r>
        <w:rPr>
          <w:rFonts w:ascii="Arial" w:cs="Arial" w:eastAsia="Arial" w:hAnsi="Arial"/>
          <w:b/>
          <w:bCs/>
          <w:color w:val="1A5276"/>
          <w:sz w:val="22"/>
          <w:szCs w:val="22"/>
        </w:rPr>
        <w:t xml:space="preserve">Art. 14. </w:t>
      </w:r>
      <w:r>
        <w:rPr>
          <w:rFonts w:ascii="Arial" w:cs="Arial" w:eastAsia="Arial" w:hAnsi="Arial"/>
          <w:b/>
          <w:bCs/>
          <w:sz w:val="22"/>
          <w:szCs w:val="22"/>
        </w:rPr>
        <w:t xml:space="preserve">Dispoziții tranzitorii</w:t>
      </w:r>
    </w:p>
    <w:p>
      <w:pPr>
        <w:spacing w:after="100" w:line="276"/>
      </w:pPr>
      <w:r>
        <w:rPr>
          <w:rFonts w:ascii="Arial" w:cs="Arial" w:eastAsia="Arial" w:hAnsi="Arial"/>
          <w:sz w:val="22"/>
          <w:szCs w:val="22"/>
        </w:rPr>
        <w:t xml:space="preserve">FRN devine operațional în termen de 6 luni de la publicarea prezentei legi în Monitorul Oficial. Consiliul de Administrare se constituie în termen de 90 de zile.</w:t>
      </w:r>
    </w:p>
    <w:p>
      <w:pPr>
        <w:spacing w:after="60" w:before="200"/>
      </w:pPr>
      <w:r>
        <w:rPr>
          <w:rFonts w:ascii="Arial" w:cs="Arial" w:eastAsia="Arial" w:hAnsi="Arial"/>
          <w:b/>
          <w:bCs/>
          <w:color w:val="1A5276"/>
          <w:sz w:val="22"/>
          <w:szCs w:val="22"/>
        </w:rPr>
        <w:t xml:space="preserve">Art. 15. </w:t>
      </w:r>
      <w:r>
        <w:rPr>
          <w:rFonts w:ascii="Arial" w:cs="Arial" w:eastAsia="Arial" w:hAnsi="Arial"/>
          <w:b/>
          <w:bCs/>
          <w:sz w:val="22"/>
          <w:szCs w:val="22"/>
        </w:rPr>
        <w:t xml:space="preserve">Modificări legislative</w:t>
      </w:r>
    </w:p>
    <w:p>
      <w:pPr>
        <w:spacing w:after="100" w:line="276"/>
      </w:pPr>
      <w:r>
        <w:rPr>
          <w:rFonts w:ascii="Arial" w:cs="Arial" w:eastAsia="Arial" w:hAnsi="Arial"/>
          <w:sz w:val="22"/>
          <w:szCs w:val="22"/>
        </w:rPr>
        <w:t xml:space="preserve">La data intrării în vigoare, se modifică Codul Fiscal — Titlul VIII, prin introducerea mecanismului de earmarking prevăzut la art. 4 alin. (1) lit. (a).</w:t>
      </w:r>
    </w:p>
    <w:p>
      <w:pPr>
        <w:spacing w:after="60" w:before="200"/>
      </w:pPr>
      <w:r>
        <w:rPr>
          <w:rFonts w:ascii="Arial" w:cs="Arial" w:eastAsia="Arial" w:hAnsi="Arial"/>
          <w:b/>
          <w:bCs/>
          <w:color w:val="1A5276"/>
          <w:sz w:val="22"/>
          <w:szCs w:val="22"/>
        </w:rPr>
        <w:t xml:space="preserve">Art. 16. </w:t>
      </w:r>
      <w:r>
        <w:rPr>
          <w:rFonts w:ascii="Arial" w:cs="Arial" w:eastAsia="Arial" w:hAnsi="Arial"/>
          <w:b/>
          <w:bCs/>
          <w:sz w:val="22"/>
          <w:szCs w:val="22"/>
        </w:rPr>
        <w:t xml:space="preserve">Clauza de revizuire</w:t>
      </w:r>
    </w:p>
    <w:p>
      <w:pPr>
        <w:spacing w:after="100" w:line="276"/>
      </w:pPr>
      <w:r>
        <w:rPr>
          <w:rFonts w:ascii="Arial" w:cs="Arial" w:eastAsia="Arial" w:hAnsi="Arial"/>
          <w:sz w:val="22"/>
          <w:szCs w:val="22"/>
        </w:rPr>
        <w:t xml:space="preserve">La 3 ani de la intrare în vigoare, Guvernul prezintă Parlamentului un raport de evaluare a impactului FRN, însoțit de propuneri de ajustare.</w:t>
      </w:r>
    </w:p>
    <w:p>
      <w:pPr>
        <w:spacing w:after="60" w:before="200"/>
      </w:pPr>
      <w:r>
        <w:rPr>
          <w:rFonts w:ascii="Arial" w:cs="Arial" w:eastAsia="Arial" w:hAnsi="Arial"/>
          <w:b/>
          <w:bCs/>
          <w:color w:val="1A5276"/>
          <w:sz w:val="22"/>
          <w:szCs w:val="22"/>
        </w:rPr>
        <w:t xml:space="preserve">Art. 17. </w:t>
      </w:r>
      <w:r>
        <w:rPr>
          <w:rFonts w:ascii="Arial" w:cs="Arial" w:eastAsia="Arial" w:hAnsi="Arial"/>
          <w:b/>
          <w:bCs/>
          <w:sz w:val="22"/>
          <w:szCs w:val="22"/>
        </w:rPr>
        <w:t xml:space="preserve">Intrare în vigoare</w:t>
      </w:r>
    </w:p>
    <w:p>
      <w:pPr>
        <w:spacing w:after="100" w:line="276"/>
      </w:pPr>
      <w:r>
        <w:rPr>
          <w:rFonts w:ascii="Arial" w:cs="Arial" w:eastAsia="Arial" w:hAnsi="Arial"/>
          <w:sz w:val="22"/>
          <w:szCs w:val="22"/>
        </w:rPr>
        <w:t xml:space="preserve">Prezenta lege intră în vigoare la 30 de zile de la publicarea în Monitorul Oficial al României.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Florin Dumitru | florindumitruconstanta@gmail.com | 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Proiect Lege — Fondul Rutier Național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2026-05-05T22:07:43.535Z</dcterms:created>
  <dcterms:modified xsi:type="dcterms:W3CDTF">2026-05-05T22:07:43.536Z</dcterms:modified>
</cp:coreProperties>
</file>

<file path=docProps/custom.xml><?xml version="1.0" encoding="utf-8"?>
<Properties xmlns="http://schemas.openxmlformats.org/officeDocument/2006/custom-properties" xmlns:vt="http://schemas.openxmlformats.org/officeDocument/2006/docPropsVTypes"/>
</file>