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1F3864"/>
          <w:sz w:val="28"/>
          <w:szCs w:val="28"/>
        </w:rPr>
        <w:t xml:space="preserve">GUVERNUL ROMÂNIEI</w:t>
      </w:r>
    </w:p>
    <w:p>
      <w:pPr>
        <w:pBdr>
          <w:bottom w:val="single" w:color="1F3864" w:sz="4" w:space="8"/>
        </w:pBd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Hotărâre de Guvern</w:t>
      </w:r>
    </w:p>
    <w:p>
      <w:pPr>
        <w:spacing w:before="400"/>
      </w:pPr>
    </w:p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NORME METODOLOGICE</w:t>
      </w:r>
    </w:p>
    <w:p>
      <w:pPr>
        <w:spacing w:after="80"/>
        <w:jc w:val="center"/>
      </w:pPr>
      <w:r>
        <w:rPr>
          <w:sz w:val="28"/>
          <w:szCs w:val="28"/>
        </w:rPr>
        <w:t xml:space="preserve">de aplicare a Legii Transparenței Publice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(Anexă la HG nr. .../2026)</w:t>
      </w:r>
    </w:p>
    <w:p>
      <w:pPr>
        <w:spacing w:before="1200"/>
      </w:pPr>
    </w:p>
    <w:p>
      <w:pPr>
        <w:jc w:val="center"/>
      </w:pPr>
      <w:r>
        <w:rPr>
          <w:color w:val="777777"/>
          <w:sz w:val="20"/>
          <w:szCs w:val="20"/>
        </w:rPr>
        <w:t xml:space="preserve">Document de lucru — Aprilie 2026</w:t>
      </w:r>
    </w:p>
    <w:p>
      <w:pPr>
        <w:sectPr>
          <w:pgSz w:w="11906" w:h="16838" w:orient="portrait"/>
          <w:pgMar w:top="1440" w:right="1300" w:bottom="1440" w:left="13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NORME METODOLOGICE</w:t>
      </w:r>
    </w:p>
    <w:p>
      <w:pPr>
        <w:pStyle w:val="Heading1"/>
      </w:pPr>
      <w:r>
        <w:t xml:space="preserve">de aplicare a Legii Transparenței Publice</w:t>
      </w:r>
    </w:p>
    <w:p>
      <w:pPr>
        <w:pStyle w:val="Heading2"/>
      </w:pPr>
      <w:r>
        <w:t xml:space="preserve">CAPITOLUL I — Publicarea datelor deschise</w:t>
      </w:r>
    </w:p>
    <w:p>
      <w:pPr>
        <w:spacing w:after="100" w:before="220" w:line="276"/>
      </w:pPr>
      <w:r>
        <w:rPr>
          <w:b/>
          <w:bCs/>
        </w:rPr>
        <w:t xml:space="preserve">Art. 1. </w:t>
      </w:r>
      <w:r>
        <w:rPr>
          <w:b/>
          <w:bCs/>
        </w:rPr>
        <w:t xml:space="preserve">Calendarul pe categorie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Luna 6: execuție bugetară, calitate aer, meteo, electorale. Luna 9: contracte (RNCP pilot), ONRC API, plăți. Luna 12: cadastru, transport GTFS, apă, sănătate. Luna 18: cadastru forestier. Formate: JSON cu schema documentată + CSV alternativ. Licență: CC BY 4.0.</w:t>
      </w:r>
    </w:p>
    <w:p>
      <w:pPr>
        <w:spacing w:after="100" w:before="220" w:line="276"/>
      </w:pPr>
      <w:r>
        <w:rPr>
          <w:b/>
          <w:bCs/>
        </w:rPr>
        <w:t xml:space="preserve">Art. 2. </w:t>
      </w:r>
      <w:r>
        <w:rPr>
          <w:b/>
          <w:bCs/>
        </w:rPr>
        <w:t xml:space="preserve">Procedura RDD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RDD identifică seturi publicabile, transformă în JSON/CSV cu unelte ADR, încarcă pe data.gov.ro, completează metadate DCAT-AP, validează cu validatorul automat.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ADR furnizează gratuit: convertor Excel→JSON, validator format, Ghidul RDD, sesiuni formare trimestriale online.</w:t>
      </w:r>
    </w:p>
    <w:p>
      <w:pPr>
        <w:spacing w:after="100" w:before="220" w:line="276"/>
      </w:pPr>
      <w:r>
        <w:rPr>
          <w:b/>
          <w:bCs/>
        </w:rPr>
        <w:t xml:space="preserve">Art. 3. </w:t>
      </w:r>
      <w:r>
        <w:rPr>
          <w:b/>
          <w:bCs/>
        </w:rPr>
        <w:t xml:space="preserve">Interdicii de format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NU sunt acceptate: PDF (inclusiv text selectabil), imagini scanate, documente Word, tabele HTML nestructurate. Portalul marchează automat „⚠ Format non-standard”.</w:t>
      </w:r>
    </w:p>
    <w:p>
      <w:pPr>
        <w:pStyle w:val="Heading2"/>
      </w:pPr>
      <w:r>
        <w:t xml:space="preserve">CAPITOLUL II — Specificații RNCP</w:t>
      </w:r>
    </w:p>
    <w:p>
      <w:pPr>
        <w:spacing w:after="100" w:before="220" w:line="276"/>
      </w:pPr>
      <w:r>
        <w:rPr>
          <w:b/>
          <w:bCs/>
        </w:rPr>
        <w:t xml:space="preserve">Art. 4. </w:t>
      </w:r>
      <w:r>
        <w:rPr>
          <w:b/>
          <w:bCs/>
        </w:rPr>
        <w:t xml:space="preserve">Structura datelor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Câmpuri obligatorii per contract: ID unic, autoritate contractantă + CUI, contractor + CUI, obiect, valoare inițială, valoare cu acte adiționale, dată semnare, termen finalizare, stadiu fizic %, total plăți, document PDF, subcontractori, penalități, fotografii geo-etichetate.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Plăți individuale: dată, sumă, nr. factură, descriere. API public REST OpenAPI 3.0 cu căutare, bulk download, webhooks.</w:t>
      </w:r>
    </w:p>
    <w:p>
      <w:pPr>
        <w:spacing w:after="100" w:before="220" w:line="276"/>
      </w:pPr>
      <w:r>
        <w:rPr>
          <w:b/>
          <w:bCs/>
        </w:rPr>
        <w:t xml:space="preserve">Art. 5. </w:t>
      </w:r>
      <w:r>
        <w:rPr>
          <w:b/>
          <w:bCs/>
        </w:rPr>
        <w:t xml:space="preserve">Procedura publicare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Contract semnat → funcționar încarcă PDF + câmpuri în 15 zile. La fiecare plată: înregistrare în 10 zile. Trimestrial: actualizare stadiu + fotografii. Contracte clasificate: redactare info sensibile dar cu valoare/durată/obiect vizibile.</w:t>
      </w:r>
    </w:p>
    <w:p>
      <w:pPr>
        <w:pStyle w:val="Heading2"/>
      </w:pPr>
      <w:r>
        <w:t xml:space="preserve">CAPITOLUL III — Indicele de Transparență (ITA)</w:t>
      </w:r>
    </w:p>
    <w:p>
      <w:pPr>
        <w:spacing w:after="100" w:before="220" w:line="276"/>
      </w:pPr>
      <w:r>
        <w:rPr>
          <w:b/>
          <w:bCs/>
        </w:rPr>
        <w:t xml:space="preserve">Art. 6. </w:t>
      </w:r>
      <w:r>
        <w:rPr>
          <w:b/>
          <w:bCs/>
        </w:rPr>
        <w:t xml:space="preserve">Calculul ITA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6 criterii: contracte publicate în termen (30%), completitudine date (25%), acte adiționale raportate (15%), fotografii lucrări (10%), răspuns sesizări (10%), diferență valoare inițială/finală (10%). Scor 0-100: verde &gt;75, galben 50-75, roșu &lt;50. Roșu = audit automat Curtea de Conturi.</w:t>
      </w:r>
    </w:p>
    <w:p>
      <w:pPr>
        <w:pStyle w:val="Heading2"/>
      </w:pPr>
      <w:r>
        <w:t xml:space="preserve">CAPITOLUL IV — Portal „Unde merg banii tăi”</w:t>
      </w:r>
    </w:p>
    <w:p>
      <w:pPr>
        <w:spacing w:after="100" w:before="220" w:line="276"/>
      </w:pPr>
      <w:r>
        <w:rPr>
          <w:b/>
          <w:bCs/>
        </w:rPr>
        <w:t xml:space="preserve">Art. 7. </w:t>
      </w:r>
      <w:r>
        <w:rPr>
          <w:b/>
          <w:bCs/>
        </w:rPr>
        <w:t xml:space="preserve">Specificații funcționale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Mod anonim (introduce venit brut, calcul estimativ) + Mod autentificat eID (date exacte din ANAF/PNI). 15 domenii: sănătate, educație, apărare, ordine publică, transporturi, protecție socială pensii, protecție socială altele, agricultură, mediu, cultură, justiție, cercetare, administrație, datorie publică, altele.</w:t>
      </w:r>
    </w:p>
    <w:p>
      <w:pPr>
        <w:spacing w:after="70" w:line="276"/>
        <w:jc w:val="both"/>
      </w:pPr>
      <w:r>
        <w:rPr>
          <w:b/>
          <w:bCs/>
        </w:rPr>
        <w:t xml:space="preserve">(2) </w:t>
      </w:r>
      <w:r>
        <w:t xml:space="preserve">Fiecare domeniu clickable: sub-categorii, comparație UE, evoluție 5 ani, link contracte RNCP. Actualizare trimestrială.</w:t>
      </w:r>
    </w:p>
    <w:p>
      <w:pPr>
        <w:spacing w:after="100" w:before="220" w:line="276"/>
      </w:pPr>
      <w:r>
        <w:rPr>
          <w:b/>
          <w:bCs/>
        </w:rPr>
        <w:t xml:space="preserve">Art. 8. </w:t>
      </w:r>
      <w:r>
        <w:rPr>
          <w:b/>
          <w:bCs/>
        </w:rPr>
        <w:t xml:space="preserve">Transparență locală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MF furnizează widget HTML embeddable: grafic buget pe categorii, execuție trimestrială, top 10 contracte cu link RNCP, proiecte investiții cu stadiu. Condiționalitate: nepublicare până la 31 dec anul 2 = blocare transferuri buget stat.</w:t>
      </w:r>
    </w:p>
    <w:p>
      <w:pPr>
        <w:pStyle w:val="Heading2"/>
      </w:pPr>
      <w:r>
        <w:t xml:space="preserve">CAPITOLUL V — Monitorizarea ștampilei</w:t>
      </w:r>
    </w:p>
    <w:p>
      <w:pPr>
        <w:spacing w:after="100" w:before="220" w:line="276"/>
      </w:pPr>
      <w:r>
        <w:rPr>
          <w:b/>
          <w:bCs/>
        </w:rPr>
        <w:t xml:space="preserve">Art. 9. </w:t>
      </w:r>
      <w:r>
        <w:rPr>
          <w:b/>
          <w:bCs/>
        </w:rPr>
        <w:t xml:space="preserve">Procedura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ADR monitorizează trimestrial: sondaje telefonice mystery shopping, analiză sesizări, verificare formulare online. Instituții încălcătoare: notificare publică portal ADR + sancțiune personală funcționar.</w:t>
      </w:r>
    </w:p>
    <w:p>
      <w:pPr>
        <w:pStyle w:val="Heading2"/>
      </w:pPr>
      <w:r>
        <w:t xml:space="preserve">CAPITOLUL VI — Calendar detaliat</w:t>
      </w:r>
    </w:p>
    <w:p>
      <w:pPr>
        <w:spacing w:after="100" w:before="220" w:line="276"/>
      </w:pPr>
      <w:r>
        <w:rPr>
          <w:b/>
          <w:bCs/>
        </w:rPr>
        <w:t xml:space="preserve">Art. 10. </w:t>
      </w:r>
      <w:r>
        <w:rPr>
          <w:b/>
          <w:bCs/>
        </w:rPr>
        <w:t xml:space="preserve">Calendar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Luna 3: RDD desemnați. Luna 4: Ghid RDD. Luna 6: primele 4 categorii + specificații RNCP. Luna 9: RNCP pilot + ONRC API. Luna 12: portal data.gov.ro modernizat + RNCP integral + toate 12 categorii. Luna 15: format vizual local. Luna 18: portal „Unde merg banii”. Luna 24: transparență locală + ITA + condiționalitate.</w:t>
      </w:r>
    </w:p>
    <w:p>
      <w:pPr>
        <w:spacing w:after="100" w:before="220" w:line="276"/>
      </w:pPr>
      <w:r>
        <w:rPr>
          <w:b/>
          <w:bCs/>
        </w:rPr>
        <w:t xml:space="preserve">Art. 11. </w:t>
      </w:r>
      <w:r>
        <w:rPr>
          <w:b/>
          <w:bCs/>
        </w:rPr>
        <w:t xml:space="preserve">Dispoziții finale</w:t>
      </w:r>
    </w:p>
    <w:p>
      <w:pPr>
        <w:spacing w:after="70" w:line="276"/>
        <w:jc w:val="both"/>
      </w:pPr>
      <w:r>
        <w:rPr>
          <w:b/>
          <w:bCs/>
        </w:rPr>
        <w:t xml:space="preserve">(1) </w:t>
      </w:r>
      <w:r>
        <w:t xml:space="preserve">Prezentele norme intră în vigoare la data publicării.</w:t>
      </w:r>
    </w:p>
    <w:p>
      <w:pPr>
        <w:spacing w:after="100" w:line="276"/>
        <w:jc w:val="both"/>
      </w:pPr>
      <w:r>
        <w:rPr>
          <w:b/>
          <w:bCs/>
        </w:rPr>
        <w:t xml:space="preserve">Notă: </w:t>
      </w:r>
      <w:r>
        <w:t xml:space="preserve">Draft de lucru, nu constituie consultanță juridică.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7"/>
        <w:szCs w:val="17"/>
      </w:rPr>
      <w:t xml:space="preserve">Pagina </w:t>
    </w:r>
    <w:r>
      <w:rPr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7"/>
        <w:szCs w:val="17"/>
      </w:rPr>
      <w:t xml:space="preserve">Norme metodologice — Legea Transparenței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Times New Roman" w:cs="Times New Roman" w:eastAsia="Times New Roman" w:hAnsi="Times New Roman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2026-04-03T16:58:46.055Z</dcterms:created>
  <dcterms:modified xsi:type="dcterms:W3CDTF">2026-04-03T16:58:46.055Z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