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b/>
          <w:bCs/>
          <w:color w:val="1F3864"/>
          <w:sz w:val="28"/>
          <w:szCs w:val="28"/>
        </w:rPr>
        <w:t xml:space="preserve">GUVERNUL ROMÂNIEI</w:t>
      </w:r>
    </w:p>
    <w:p>
      <w:pPr>
        <w:pBdr>
          <w:bottom w:val="single" w:color="1F3864" w:sz="4" w:space="8"/>
        </w:pBdr>
        <w:spacing w:after="400"/>
        <w:jc w:val="center"/>
      </w:pPr>
      <w:r>
        <w:rPr>
          <w:i/>
          <w:iCs/>
          <w:color w:val="555555"/>
          <w:sz w:val="24"/>
          <w:szCs w:val="24"/>
        </w:rPr>
        <w:t xml:space="preserve">Hotărâre de Guvern</w:t>
      </w:r>
    </w:p>
    <w:p>
      <w:pPr>
        <w:spacing w:before="400"/>
      </w:pP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NORME METODOLOGICE</w:t>
      </w:r>
    </w:p>
    <w:p>
      <w:pPr>
        <w:spacing w:after="80"/>
        <w:jc w:val="center"/>
      </w:pPr>
      <w:r>
        <w:rPr>
          <w:sz w:val="28"/>
          <w:szCs w:val="28"/>
        </w:rPr>
        <w:t xml:space="preserve">de aplicare a Legii Urbanismului Digital</w:t>
      </w:r>
    </w:p>
    <w:p>
      <w:pPr>
        <w:spacing w:after="300"/>
        <w:jc w:val="center"/>
      </w:pPr>
      <w:r>
        <w:rPr>
          <w:i/>
          <w:iCs/>
          <w:color w:val="555555"/>
          <w:sz w:val="24"/>
          <w:szCs w:val="24"/>
        </w:rPr>
        <w:t xml:space="preserve">(Anexă la HG)</w:t>
      </w:r>
    </w:p>
    <w:p>
      <w:pPr>
        <w:spacing w:before="1200"/>
      </w:pPr>
    </w:p>
    <w:p>
      <w:pPr>
        <w:jc w:val="center"/>
      </w:pPr>
      <w:r>
        <w:rPr>
          <w:color w:val="777777"/>
          <w:sz w:val="20"/>
          <w:szCs w:val="20"/>
        </w:rPr>
        <w:t xml:space="preserve">Document de lucru — Aprilie 2026</w:t>
      </w:r>
    </w:p>
    <w:p>
      <w:pPr>
        <w:sectPr>
          <w:pgSz w:w="11906" w:h="16838" w:orient="portrait"/>
          <w:pgMar w:top="1440" w:right="1300" w:bottom="1440" w:left="130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NORME METODOLOGICE</w:t>
      </w:r>
    </w:p>
    <w:p>
      <w:pPr>
        <w:pStyle w:val="Heading1"/>
      </w:pPr>
      <w:r>
        <w:t xml:space="preserve">de aplicare a Legii Urbanismului Digital</w:t>
      </w:r>
    </w:p>
    <w:p>
      <w:pPr>
        <w:pStyle w:val="Heading2"/>
      </w:pPr>
      <w:r>
        <w:t xml:space="preserve">CAPITOLUL I — Platforma e-AC</w:t>
      </w:r>
    </w:p>
    <w:p>
      <w:pPr>
        <w:spacing w:after="100" w:before="220" w:line="276"/>
      </w:pPr>
      <w:r>
        <w:rPr>
          <w:b/>
          <w:bCs/>
        </w:rPr>
        <w:t xml:space="preserve">Art. 1. </w:t>
      </w:r>
      <w:r>
        <w:rPr>
          <w:b/>
          <w:bCs/>
        </w:rPr>
        <w:t xml:space="preserve">Specificații tehnice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e-AC: platformă web accesibilă cu eID/semnătură electronică. Funcționalități: depunere cerere unică, distribuție automată către avizatori pe baza locației și tipului construcție, urmărire stadiu în timp real per aviz, notificări automate la fiecare etapă, emitere AC cu semnătură electronică.</w:t>
      </w:r>
    </w:p>
    <w:p>
      <w:pPr>
        <w:spacing w:after="70" w:line="276"/>
        <w:jc w:val="both"/>
      </w:pPr>
      <w:r>
        <w:rPr>
          <w:b/>
          <w:bCs/>
        </w:rPr>
        <w:t xml:space="preserve">(2) </w:t>
      </w:r>
      <w:r>
        <w:t xml:space="preserve">Formate acceptate pentru proiect tehnic: PDF (max 100MB), DWG/DXF, IFC (pentru BIM). Verificare automată conformitate cu e-Urbanism la depunere.</w:t>
      </w:r>
    </w:p>
    <w:p>
      <w:pPr>
        <w:spacing w:after="100" w:before="220" w:line="276"/>
      </w:pPr>
      <w:r>
        <w:rPr>
          <w:b/>
          <w:bCs/>
        </w:rPr>
        <w:t xml:space="preserve">Art. 2. </w:t>
      </w:r>
      <w:r>
        <w:rPr>
          <w:b/>
          <w:bCs/>
        </w:rPr>
        <w:t xml:space="preserve">Fluxul de avizare simultană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La depunere, e-AC identifică automat avizatorii necesari pe baza: coordonatelor GPS, destinației construcției, regimului de înălțime, proximității de zone protejate/aeroporturi/rețele. Toate cererile de aviz se transmit simultan (în paralel). Fiecare avizator răspunde direct pe platformă.</w:t>
      </w:r>
    </w:p>
    <w:p>
      <w:pPr>
        <w:spacing w:after="70" w:line="276"/>
        <w:jc w:val="both"/>
      </w:pPr>
      <w:r>
        <w:rPr>
          <w:b/>
          <w:bCs/>
        </w:rPr>
        <w:t xml:space="preserve">(2) </w:t>
      </w:r>
      <w:r>
        <w:t xml:space="preserve">Termene: CU 15 zile, avize ISU/mediu/DSP 10-15 zile (conform art. 3 din lege), completări max 1 dată în 5 zile (suspendare max 10 zile), AC 15 zile după avize. Total max 60 zile.</w:t>
      </w:r>
    </w:p>
    <w:p>
      <w:pPr>
        <w:spacing w:after="100" w:before="220" w:line="276"/>
      </w:pPr>
      <w:r>
        <w:rPr>
          <w:b/>
          <w:bCs/>
        </w:rPr>
        <w:t xml:space="preserve">Art. 3. </w:t>
      </w:r>
      <w:r>
        <w:rPr>
          <w:b/>
          <w:bCs/>
        </w:rPr>
        <w:t xml:space="preserve">Aprobarea tacită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La expirare termen fără răspuns: e-AC generează automat notificare solicitant („aviz favorabil tacit”) + notificare funcționar + înregistrare în registrul de performanță. Excepții: mediu impact semnificativ, ISU clădiri &gt;3 etaje/publice, patrimoniu zone protejate.</w:t>
      </w:r>
    </w:p>
    <w:p>
      <w:pPr>
        <w:pStyle w:val="Heading2"/>
      </w:pPr>
      <w:r>
        <w:t xml:space="preserve">CAPITOLUL II — Registrul e-Urbanism</w:t>
      </w:r>
    </w:p>
    <w:p>
      <w:pPr>
        <w:spacing w:after="100" w:before="220" w:line="276"/>
      </w:pPr>
      <w:r>
        <w:rPr>
          <w:b/>
          <w:bCs/>
        </w:rPr>
        <w:t xml:space="preserve">Art. 4. </w:t>
      </w:r>
      <w:r>
        <w:rPr>
          <w:b/>
          <w:bCs/>
        </w:rPr>
        <w:t xml:space="preserve">Specificații GIS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Platformă GIS bazată pe date georeferențiate. Straturi (layers): limite zone urbanistice, destinație, POT/CUT/regim înălțime/retrageri, zone protejate, zone inundabile, culoar zbor, rețele utilități. Formate: WMS/WFS/GeoJSON. API public pentru dezvoltatori.</w:t>
      </w:r>
    </w:p>
    <w:p>
      <w:pPr>
        <w:spacing w:after="70" w:line="276"/>
        <w:jc w:val="both"/>
      </w:pPr>
      <w:r>
        <w:rPr>
          <w:b/>
          <w:bCs/>
        </w:rPr>
        <w:t xml:space="preserve">(2) </w:t>
      </w:r>
      <w:r>
        <w:t xml:space="preserve">Primăriile încarcă PUG/PUZ în format vectorial (SHP/GeoJSON). MDLPA furnizează gratuit unealtă de conversie din DWG/PDF în format vectorial + asistență tehnică pentru comune.</w:t>
      </w:r>
    </w:p>
    <w:p>
      <w:pPr>
        <w:spacing w:after="100" w:before="220" w:line="276"/>
      </w:pPr>
      <w:r>
        <w:rPr>
          <w:b/>
          <w:bCs/>
        </w:rPr>
        <w:t xml:space="preserve">Art. 5. </w:t>
      </w:r>
      <w:r>
        <w:rPr>
          <w:b/>
          <w:bCs/>
        </w:rPr>
        <w:t xml:space="preserve">Certificatul de urbanism digital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Solicitantul introduce coordonate GPS sau număr cadastral. e-AC generează automat din e-Urbanism: destinația permisă, POT/CUT max, regim înălțime, retrageri, condiții speciale. Primăria verifică și confirmă în 15 zile. Dacă date complete + fără situații speciale = emitere automată.</w:t>
      </w:r>
    </w:p>
    <w:p>
      <w:pPr>
        <w:pStyle w:val="Heading2"/>
      </w:pPr>
      <w:r>
        <w:t xml:space="preserve">CAPITOLUL III — Procedura simplificată</w:t>
      </w:r>
    </w:p>
    <w:p>
      <w:pPr>
        <w:spacing w:after="100" w:before="220" w:line="276"/>
      </w:pPr>
      <w:r>
        <w:rPr>
          <w:b/>
          <w:bCs/>
        </w:rPr>
        <w:t xml:space="preserve">Art. 6. </w:t>
      </w:r>
      <w:r>
        <w:rPr>
          <w:b/>
          <w:bCs/>
        </w:rPr>
        <w:t xml:space="preserve">Case individuale mici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Parter/mansardă, sub 250 m², pe teren propriu, în zona rezidențială: doar CU + aviz ISU (dacă e cazul) + aviz utilități (simultan). AC simplificat în 15 zile după avize. Termen total: 30 zile.</w:t>
      </w:r>
    </w:p>
    <w:p>
      <w:pPr>
        <w:spacing w:after="70" w:line="276"/>
        <w:jc w:val="both"/>
      </w:pPr>
      <w:r>
        <w:rPr>
          <w:b/>
          <w:bCs/>
        </w:rPr>
        <w:t xml:space="preserve">(2) </w:t>
      </w:r>
      <w:r>
        <w:t xml:space="preserve">Prosumatori sub 10 kW: doar notificare pe e-AC, fără AC. Garduri sub 2m, sere sub 50 m²: notificare.</w:t>
      </w:r>
    </w:p>
    <w:p>
      <w:pPr>
        <w:pStyle w:val="Heading2"/>
      </w:pPr>
      <w:r>
        <w:t xml:space="preserve">CAPITOLUL IV — Sancțiuni personale</w:t>
      </w:r>
    </w:p>
    <w:p>
      <w:pPr>
        <w:spacing w:after="100" w:before="220" w:line="276"/>
      </w:pPr>
      <w:r>
        <w:rPr>
          <w:b/>
          <w:bCs/>
        </w:rPr>
        <w:t xml:space="preserve">Art. 7. </w:t>
      </w:r>
      <w:r>
        <w:rPr>
          <w:b/>
          <w:bCs/>
        </w:rPr>
        <w:t xml:space="preserve">Procedura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Depășire termen aviz: avertisment prima dată, diminuare salariu 10% la repetare. Depășiri sistemice &gt;20%: conducător 15%/6 luni. Refuz e-AC: 20%/6 luni. Neîncărcare PUG: avertisment, apoi diminuare. Neactualizare PUG: condiționalitate fonduri. AC fără verificare: suspendare 3 luni + răspundere civilă.</w:t>
      </w:r>
    </w:p>
    <w:p>
      <w:pPr>
        <w:spacing w:after="70" w:line="276"/>
        <w:jc w:val="both"/>
      </w:pPr>
      <w:r>
        <w:rPr>
          <w:b/>
          <w:bCs/>
        </w:rPr>
        <w:t xml:space="preserve">(2) </w:t>
      </w:r>
      <w:r>
        <w:t xml:space="preserve">Solicitantul prejudiciat: despăgubiri = dobândă la valoarea investiției × perioada întârzierii.</w:t>
      </w:r>
    </w:p>
    <w:p>
      <w:pPr>
        <w:spacing w:after="100" w:before="220" w:line="276"/>
      </w:pPr>
      <w:r>
        <w:rPr>
          <w:b/>
          <w:bCs/>
        </w:rPr>
        <w:t xml:space="preserve">Art. 8. </w:t>
      </w:r>
      <w:r>
        <w:rPr>
          <w:b/>
          <w:bCs/>
        </w:rPr>
        <w:t xml:space="preserve">Calendar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Luna 6: specificații tehnice. Luna 12: e-Urbanism pilot 10 județe + regulament-cadru. Luna 18: e-AC central + e-Urbanism național. Luna 24: e-AC complet + toate PUG/PUZ încărcate. Luna 30: procedură simplificată operațională. Luna 36: evaluare impact.</w:t>
      </w:r>
    </w:p>
    <w:p>
      <w:pPr>
        <w:spacing w:after="100" w:before="220" w:line="276"/>
      </w:pPr>
      <w:r>
        <w:rPr>
          <w:b/>
          <w:bCs/>
        </w:rPr>
        <w:t xml:space="preserve">Art. 9. </w:t>
      </w:r>
      <w:r>
        <w:rPr>
          <w:b/>
          <w:bCs/>
        </w:rPr>
        <w:t xml:space="preserve">Dispoziții finale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Norme în vigoare la publicare.</w:t>
      </w:r>
    </w:p>
    <w:p>
      <w:pPr>
        <w:spacing w:after="100" w:line="276"/>
        <w:jc w:val="both"/>
      </w:pPr>
      <w:r>
        <w:rPr>
          <w:b/>
          <w:bCs/>
        </w:rPr>
        <w:t xml:space="preserve">Notă: </w:t>
      </w:r>
      <w:r>
        <w:t xml:space="preserve">Draft de lucru.</w:t>
      </w:r>
    </w:p>
    <w:sectPr>
      <w:headerReference w:type="default" r:id="rId7"/>
      <w:footerReference w:type="default" r:id="rId8"/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7"/>
        <w:szCs w:val="17"/>
      </w:rPr>
      <w:t xml:space="preserve">Pagina </w:t>
    </w:r>
    <w:r>
      <w:rPr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7"/>
        <w:szCs w:val="17"/>
      </w:rPr>
      <w:t xml:space="preserve">Norme metodologice — Urbanismul Digital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jc w:val="center"/>
      <w:outlineLvl w:val="0"/>
    </w:pPr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Times New Roman" w:cs="Times New Roman" w:eastAsia="Times New Roman" w:hAnsi="Times New Roman"/>
      <w:b/>
      <w:bCs/>
      <w:color w:val="2E509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2026-04-03T17:06:14.982Z</dcterms:created>
  <dcterms:modified xsi:type="dcterms:W3CDTF">2026-04-03T17:06:14.982Z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