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center"/>
      </w:pPr>
      <w:r>
        <w:rPr>
          <w:b/>
          <w:bCs/>
          <w:color w:val="1F3864"/>
          <w:sz w:val="28"/>
          <w:szCs w:val="28"/>
        </w:rPr>
        <w:t xml:space="preserve">GUVERNUL ROMÂNIEI</w:t>
      </w:r>
    </w:p>
    <w:p>
      <w:pPr>
        <w:pBdr>
          <w:bottom w:val="single" w:color="1F3864" w:sz="4" w:space="8"/>
        </w:pBdr>
        <w:spacing w:after="400"/>
        <w:jc w:val="center"/>
      </w:pPr>
      <w:r>
        <w:rPr>
          <w:i/>
          <w:iCs/>
          <w:color w:val="555555"/>
          <w:sz w:val="24"/>
          <w:szCs w:val="24"/>
        </w:rPr>
        <w:t xml:space="preserve">Hotărâre de Guvern</w:t>
      </w:r>
    </w:p>
    <w:p>
      <w:pPr>
        <w:spacing w:before="400"/>
      </w:pPr>
    </w:p>
    <w:p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NORME METODOLOGICE</w:t>
      </w:r>
    </w:p>
    <w:p>
      <w:pPr>
        <w:spacing w:after="80"/>
        <w:jc w:val="center"/>
      </w:pPr>
      <w:r>
        <w:rPr>
          <w:sz w:val="28"/>
          <w:szCs w:val="28"/>
        </w:rPr>
        <w:t xml:space="preserve">de aplicare a Codului Drepturilor Contribuabilului</w:t>
      </w:r>
    </w:p>
    <w:p>
      <w:pPr>
        <w:spacing w:after="300"/>
        <w:jc w:val="center"/>
      </w:pPr>
      <w:r>
        <w:rPr>
          <w:i/>
          <w:iCs/>
          <w:color w:val="555555"/>
          <w:sz w:val="24"/>
          <w:szCs w:val="24"/>
        </w:rPr>
        <w:t xml:space="preserve">(Anexă la HG nr. .../2026)</w:t>
      </w:r>
    </w:p>
    <w:p>
      <w:pPr>
        <w:spacing w:before="1200"/>
      </w:pPr>
    </w:p>
    <w:p>
      <w:pPr>
        <w:jc w:val="center"/>
      </w:pPr>
      <w:r>
        <w:rPr>
          <w:color w:val="777777"/>
          <w:sz w:val="20"/>
          <w:szCs w:val="20"/>
        </w:rPr>
        <w:t xml:space="preserve">Document de lucru — Aprilie 2026</w:t>
      </w:r>
    </w:p>
    <w:p>
      <w:pPr>
        <w:sectPr>
          <w:pgSz w:w="11906" w:h="16838" w:orient="portrait"/>
          <w:pgMar w:top="1440" w:right="1300" w:bottom="1440" w:left="130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NORME METODOLOGICE</w:t>
      </w:r>
    </w:p>
    <w:p>
      <w:pPr>
        <w:pStyle w:val="Heading1"/>
      </w:pPr>
      <w:r>
        <w:t xml:space="preserve">de aplicare a Codului Drepturilor Contribuabilului</w:t>
      </w:r>
    </w:p>
    <w:p>
      <w:pPr>
        <w:pStyle w:val="Heading2"/>
      </w:pPr>
      <w:r>
        <w:t xml:space="preserve">CAPITOLUL I — Reformularea comunicărilor fiscale</w:t>
      </w:r>
    </w:p>
    <w:p>
      <w:pPr>
        <w:spacing w:after="100" w:before="220" w:line="276"/>
      </w:pPr>
      <w:r>
        <w:rPr>
          <w:b/>
          <w:bCs/>
        </w:rPr>
        <w:t xml:space="preserve">Art. 1. </w:t>
      </w:r>
      <w:r>
        <w:rPr>
          <w:b/>
          <w:bCs/>
        </w:rPr>
        <w:t xml:space="preserve">Comitetul de reformulare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ANAF constituie în 60 zile un Comitet: 2 ANAF (juridic+comunicare), 1 AC, 1 specialist limbaj simplu, 2 contribuabili voluntari. Reconfigurează toate modelele-tip în 9 luni.</w:t>
      </w:r>
    </w:p>
    <w:p>
      <w:pPr>
        <w:spacing w:after="100" w:before="220" w:line="276"/>
      </w:pPr>
      <w:r>
        <w:rPr>
          <w:b/>
          <w:bCs/>
        </w:rPr>
        <w:t xml:space="preserve">Art. 2. </w:t>
      </w:r>
      <w:r>
        <w:rPr>
          <w:b/>
          <w:bCs/>
        </w:rPr>
        <w:t xml:space="preserve">Structura standard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Fiecare comunicare: (a) chenar rezumat 3 rânduri pe prima pagină, font 14pt; (b) Secț.1 detalii max 2 pag.; (c) Secț.2 calcul defalcat; (d) Secț.3 drepturi și căi de atac; (e) footer cu date funcționar. Maximum 4 pagini total.</w:t>
      </w:r>
    </w:p>
    <w:p>
      <w:pPr>
        <w:spacing w:after="100" w:before="220" w:line="276"/>
      </w:pPr>
      <w:r>
        <w:rPr>
          <w:b/>
          <w:bCs/>
        </w:rPr>
        <w:t xml:space="preserve">Art. 3. </w:t>
      </w:r>
      <w:r>
        <w:rPr>
          <w:b/>
          <w:bCs/>
        </w:rPr>
        <w:t xml:space="preserve">Testarea comunicărilor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Panel 20 contribuabili (10 PF, 10 PFA/firme mici). Scor minim aprobare: 80% înțeleg ce trebuie să facă, până când, și găsesc contactul.</w:t>
      </w:r>
    </w:p>
    <w:p>
      <w:pPr>
        <w:pStyle w:val="Heading2"/>
      </w:pPr>
      <w:r>
        <w:t xml:space="preserve">CAPITOLUL II — Funcționarea Avocatului Contribuabilului</w:t>
      </w:r>
    </w:p>
    <w:p>
      <w:pPr>
        <w:spacing w:after="100" w:before="220" w:line="276"/>
      </w:pPr>
      <w:r>
        <w:rPr>
          <w:b/>
          <w:bCs/>
        </w:rPr>
        <w:t xml:space="preserve">Art. 4. </w:t>
      </w:r>
      <w:r>
        <w:rPr>
          <w:b/>
          <w:bCs/>
        </w:rPr>
        <w:t xml:space="preserve">Sesizarea AC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Prin: formular online (accesibil și din străinătate), telefon gratuit (inclusiv VoIP internațional), scrisoare, email securizat. Confirmare în 24h cu număr unic. Triaj în 5 zile: urgență ridicată (executare silită) = 48h; medie = 15 zile; standard = 30 zile.</w:t>
      </w:r>
    </w:p>
    <w:p>
      <w:pPr>
        <w:spacing w:after="100" w:before="220" w:line="276"/>
      </w:pPr>
      <w:r>
        <w:rPr>
          <w:b/>
          <w:bCs/>
        </w:rPr>
        <w:t xml:space="preserve">Art. 5. </w:t>
      </w:r>
      <w:r>
        <w:rPr>
          <w:b/>
          <w:bCs/>
        </w:rPr>
        <w:t xml:space="preserve">Suspendarea executării silite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AC constată indicii prejudiciu grav, emite Ordin de Suspendare (model standardizat), instituția suspendă în 24h, durată max 90 zile, AC investighează și emite recomandare finală. Nerespectarea = abatere disciplinară conducător executare.</w:t>
      </w:r>
    </w:p>
    <w:p>
      <w:pPr>
        <w:spacing w:after="100" w:before="220" w:line="276"/>
      </w:pPr>
      <w:r>
        <w:rPr>
          <w:b/>
          <w:bCs/>
        </w:rPr>
        <w:t xml:space="preserve">Art. 6. </w:t>
      </w:r>
      <w:r>
        <w:rPr>
          <w:b/>
          <w:bCs/>
        </w:rPr>
        <w:t xml:space="preserve">Recomandările obligatorii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Raport de Recomandare: descriere caz, constatare încălcare, recomandare concretă, termen 30 zile. Instituția răspunde motivat: acceptă (cu termen) SAU refuză (motivație detaliată). Refuzurile nemotivate → raport anual Parlament.</w:t>
      </w:r>
    </w:p>
    <w:p>
      <w:pPr>
        <w:pStyle w:val="Heading2"/>
      </w:pPr>
      <w:r>
        <w:t xml:space="preserve">CAPITOLUL III — Mecanismul aprobării tacite</w:t>
      </w:r>
    </w:p>
    <w:p>
      <w:pPr>
        <w:spacing w:after="100" w:before="220" w:line="276"/>
      </w:pPr>
      <w:r>
        <w:rPr>
          <w:b/>
          <w:bCs/>
        </w:rPr>
        <w:t xml:space="preserve">Art. 7. </w:t>
      </w:r>
      <w:r>
        <w:rPr>
          <w:b/>
          <w:bCs/>
        </w:rPr>
        <w:t xml:space="preserve">Configurația tehnică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Registratura electronică generează: alerte la 10/5/1 zile înainte funcționar, la 5/1 zile șef serviciu, în ziua expirării conducător instituție. La expirare fără răspuns: notificare automată cetățean cu nr. unic și valoare de act administrativ.</w:t>
      </w:r>
    </w:p>
    <w:p>
      <w:pPr>
        <w:spacing w:after="100" w:before="220" w:line="276"/>
      </w:pPr>
      <w:r>
        <w:rPr>
          <w:b/>
          <w:bCs/>
        </w:rPr>
        <w:t xml:space="preserve">Art. 8. </w:t>
      </w:r>
      <w:r>
        <w:rPr>
          <w:b/>
          <w:bCs/>
        </w:rPr>
        <w:t xml:space="preserve">Retragerea aprobării tacite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Doar dacă: (a) cetățeanul a furnizat informații false, sau (b) excepție art. 18 (securitate, mediu, construcții publice). Decizie motivată în 15 zile, contestabilă în contencios.</w:t>
      </w:r>
    </w:p>
    <w:p>
      <w:pPr>
        <w:pStyle w:val="Heading2"/>
      </w:pPr>
      <w:r>
        <w:t xml:space="preserve">CAPITOLUL IV — Eșalonarea simplificată</w:t>
      </w:r>
    </w:p>
    <w:p>
      <w:pPr>
        <w:spacing w:after="100" w:before="220" w:line="276"/>
      </w:pPr>
      <w:r>
        <w:rPr>
          <w:b/>
          <w:bCs/>
        </w:rPr>
        <w:t xml:space="preserve">Art. 9. </w:t>
      </w:r>
      <w:r>
        <w:rPr>
          <w:b/>
          <w:bCs/>
        </w:rPr>
        <w:t xml:space="preserve">Procedura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Cerere online SPV/eID. Conține: identificare, sumă totală, număr rate (max 12), justificare sumară. NU se solicită: garanții, situații financiare, planuri afaceri. Verificare automată PNI (venituri ANAF).</w:t>
      </w:r>
    </w:p>
    <w:p>
      <w:pPr>
        <w:spacing w:after="70" w:line="276"/>
        <w:jc w:val="both"/>
      </w:pPr>
      <w:r>
        <w:rPr>
          <w:b/>
          <w:bCs/>
        </w:rPr>
        <w:t xml:space="preserve">(2) </w:t>
      </w:r>
      <w:r>
        <w:t xml:space="preserve">Sub 50.000 lei + fără antecedente neplată = aprobare automată, grafic plată în 3 zile lucrătoare.</w:t>
      </w:r>
    </w:p>
    <w:p>
      <w:pPr>
        <w:pStyle w:val="Heading2"/>
      </w:pPr>
      <w:r>
        <w:t xml:space="preserve">CAPITOLUL V — Servicii diaspora</w:t>
      </w:r>
    </w:p>
    <w:p>
      <w:pPr>
        <w:spacing w:after="100" w:before="220" w:line="276"/>
      </w:pPr>
      <w:r>
        <w:rPr>
          <w:b/>
          <w:bCs/>
        </w:rPr>
        <w:t xml:space="preserve">Art. 10. </w:t>
      </w:r>
      <w:r>
        <w:rPr>
          <w:b/>
          <w:bCs/>
        </w:rPr>
        <w:t xml:space="preserve">Linie telefonică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Număr +40 cu tarif local VoIP. Program L-V 7-21, S 9-14 (ora RO). Limbi: RO, EN. Timp așteptare max 5 min (SLA monitorizat lunar de AC).</w:t>
      </w:r>
    </w:p>
    <w:p>
      <w:pPr>
        <w:spacing w:after="100" w:before="220" w:line="276"/>
      </w:pPr>
      <w:r>
        <w:rPr>
          <w:b/>
          <w:bCs/>
        </w:rPr>
        <w:t xml:space="preserve">Art. 11. </w:t>
      </w:r>
      <w:r>
        <w:rPr>
          <w:b/>
          <w:bCs/>
        </w:rPr>
        <w:t xml:space="preserve">Videoconferință inspector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Programare online, confirmare 5 zile. Platformă securizată cu criptare, înregistrare la cerere. Disponibilă pentru orice procedură fără identificare biometrică.</w:t>
      </w:r>
    </w:p>
    <w:p>
      <w:pPr>
        <w:pStyle w:val="Heading2"/>
      </w:pPr>
      <w:r>
        <w:t xml:space="preserve">CAPITOLUL VI — Raportul anual AC</w:t>
      </w:r>
    </w:p>
    <w:p>
      <w:pPr>
        <w:spacing w:after="100" w:before="220" w:line="276"/>
      </w:pPr>
      <w:r>
        <w:rPr>
          <w:b/>
          <w:bCs/>
        </w:rPr>
        <w:t xml:space="preserve">Art. 12. </w:t>
      </w:r>
      <w:r>
        <w:rPr>
          <w:b/>
          <w:bCs/>
        </w:rPr>
        <w:t xml:space="preserve">Conținut obligatoriu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Nr. sesizări pe categorii, % soluționate favorabil, top 10 probleme sistemice, nr. ordine suspendare, nr. recomandări acceptate/respinse, cazuri reprezentative anonimizate, propuneri legislative, evaluare respectării drepturilor, secțiune diaspora dedicată.</w:t>
      </w:r>
    </w:p>
    <w:p>
      <w:pPr>
        <w:pStyle w:val="Heading2"/>
      </w:pPr>
      <w:r>
        <w:t xml:space="preserve">CAPITOLUL VII — Calendar</w:t>
      </w:r>
    </w:p>
    <w:p>
      <w:pPr>
        <w:spacing w:after="100" w:before="220" w:line="276"/>
      </w:pPr>
      <w:r>
        <w:rPr>
          <w:b/>
          <w:bCs/>
        </w:rPr>
        <w:t xml:space="preserve">Art. 13. </w:t>
      </w:r>
      <w:r>
        <w:rPr>
          <w:b/>
          <w:bCs/>
        </w:rPr>
        <w:t xml:space="preserve">Calendar implementare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Luna 3: candidați AC desemnați. Luna 4: Comitet Reformulare constituit. Luna 6: AC numit. Luna 9: sediu AC operațional + noi modele comunicări. Luna 12: aprobare tacită + linie internațională + videoconferință + eșalonare automată + AC 15 județe. Luna 18: AC toate județele + primul raport anual.</w:t>
      </w:r>
    </w:p>
    <w:p>
      <w:pPr>
        <w:spacing w:after="100" w:before="220" w:line="276"/>
      </w:pPr>
      <w:r>
        <w:rPr>
          <w:b/>
          <w:bCs/>
        </w:rPr>
        <w:t xml:space="preserve">Art. 14. </w:t>
      </w:r>
      <w:r>
        <w:rPr>
          <w:b/>
          <w:bCs/>
        </w:rPr>
        <w:t xml:space="preserve">Dispoziții finale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Prezentele norme intră în vigoare la data publicării.</w:t>
      </w:r>
    </w:p>
    <w:p>
      <w:pPr>
        <w:spacing w:after="100" w:line="276"/>
        <w:jc w:val="both"/>
      </w:pPr>
      <w:r>
        <w:rPr>
          <w:b/>
          <w:bCs/>
        </w:rPr>
        <w:t xml:space="preserve">Notă: </w:t>
      </w:r>
      <w:r>
        <w:t xml:space="preserve">Draft de lucru, nu constituie consultanță juridică.</w:t>
      </w:r>
    </w:p>
    <w:sectPr>
      <w:headerReference w:type="default" r:id="rId7"/>
      <w:footerReference w:type="default" r:id="rId8"/>
      <w:pgSz w:w="11906" w:h="16838" w:orient="portrait"/>
      <w:pgMar w:top="1440" w:right="1300" w:bottom="144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7"/>
        <w:szCs w:val="17"/>
      </w:rPr>
      <w:t xml:space="preserve">Pagina </w:t>
    </w:r>
    <w:r>
      <w:rPr>
        <w:color w:val="999999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7"/>
        <w:szCs w:val="17"/>
      </w:rPr>
      <w:t xml:space="preserve">Norme metodologice — Codul Contribuabilului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jc w:val="center"/>
      <w:outlineLvl w:val="0"/>
    </w:pPr>
    <w:rPr>
      <w:rFonts w:ascii="Times New Roman" w:cs="Times New Roman" w:eastAsia="Times New Roman" w:hAnsi="Times New Roman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Times New Roman" w:cs="Times New Roman" w:eastAsia="Times New Roman" w:hAnsi="Times New Roman"/>
      <w:b/>
      <w:bCs/>
      <w:color w:val="2E509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2026-04-03T16:58:45.979Z</dcterms:created>
  <dcterms:modified xsi:type="dcterms:W3CDTF">2026-04-03T16:58:45.979Z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