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120"/>
        <w:jc w:val="center"/>
      </w:pPr>
      <w:r>
        <w:rPr>
          <w:b/>
          <w:bCs/>
          <w:color w:val="1F3864"/>
          <w:sz w:val="28"/>
          <w:szCs w:val="28"/>
        </w:rPr>
        <w:t xml:space="preserve">GUVERNUL ROMÂNIEI</w:t>
      </w:r>
    </w:p>
    <w:p>
      <w:pPr>
        <w:pBdr>
          <w:bottom w:val="single" w:color="1F3864" w:sz="4" w:space="8"/>
        </w:pBdr>
        <w:spacing w:after="400"/>
        <w:jc w:val="center"/>
      </w:pPr>
      <w:r>
        <w:rPr>
          <w:i/>
          <w:iCs/>
          <w:color w:val="555555"/>
          <w:sz w:val="24"/>
          <w:szCs w:val="24"/>
        </w:rPr>
        <w:t xml:space="preserve">Hotărâre de Guvern</w:t>
      </w:r>
    </w:p>
    <w:p>
      <w:pPr>
        <w:spacing w:before="400"/>
      </w:pP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NORME METODOLOGICE</w:t>
      </w:r>
    </w:p>
    <w:p>
      <w:pPr>
        <w:spacing w:after="80"/>
        <w:jc w:val="center"/>
      </w:pPr>
      <w:r>
        <w:rPr>
          <w:sz w:val="28"/>
          <w:szCs w:val="28"/>
        </w:rPr>
        <w:t xml:space="preserve">de aplicare a Legii Impozitului pe Valoarea Terenului</w:t>
      </w:r>
    </w:p>
    <w:p>
      <w:pP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(Anexă la HG)</w:t>
      </w:r>
    </w:p>
    <w:p>
      <w:pPr>
        <w:spacing w:before="1200"/>
      </w:pPr>
    </w:p>
    <w:p>
      <w:pPr>
        <w:jc w:val="center"/>
      </w:pPr>
      <w:r>
        <w:rPr>
          <w:color w:val="777777"/>
          <w:sz w:val="20"/>
          <w:szCs w:val="20"/>
        </w:rPr>
        <w:t xml:space="preserve">Document de lucru — Aprilie 2026</w:t>
      </w:r>
    </w:p>
    <w:p>
      <w:pPr>
        <w:sectPr>
          <w:pgSz w:w="11906" w:h="16838" w:orient="portrait"/>
          <w:pgMar w:top="1440" w:right="1300" w:bottom="1440" w:left="130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NORME METODOLOGICE</w:t>
      </w:r>
    </w:p>
    <w:p>
      <w:pPr>
        <w:pStyle w:val="Heading1"/>
      </w:pPr>
      <w:r>
        <w:t xml:space="preserve">de aplicare a Legii Impozitului pe Valoarea Terenului</w:t>
      </w:r>
    </w:p>
    <w:p>
      <w:pPr>
        <w:pStyle w:val="Heading2"/>
      </w:pPr>
      <w:r>
        <w:t xml:space="preserve">CAPITOLUL I — Specificații model CAMA</w:t>
      </w:r>
    </w:p>
    <w:p>
      <w:pPr>
        <w:spacing w:after="100" w:before="220" w:line="276"/>
      </w:pPr>
      <w:r>
        <w:rPr>
          <w:b/>
          <w:bCs/>
        </w:rPr>
        <w:t xml:space="preserve">Art. 1. </w:t>
      </w:r>
      <w:r>
        <w:rPr>
          <w:b/>
          <w:bCs/>
        </w:rPr>
        <w:t xml:space="preserve">Dezvoltarea modelului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ANCPI contractează în luna 6 asistență tehnică (Banca Mondială/IAAO). Modelul: regresie multiplă cu 5 variabile (locație 30%, zonare 20%, infrastructură 20%, suprafață 15%, coeficienți piață 15%). Sursele: ANCPI GIS, e-Urbanism, e-Transport, operatori utilități, ANCOM, tranzacții notariale. Cod open-source publicat pe GitHub.</w:t>
      </w:r>
    </w:p>
    <w:p>
      <w:pPr>
        <w:spacing w:after="100" w:before="220" w:line="276"/>
      </w:pPr>
      <w:r>
        <w:rPr>
          <w:b/>
          <w:bCs/>
        </w:rPr>
        <w:t xml:space="preserve">Art. 2. </w:t>
      </w:r>
      <w:r>
        <w:rPr>
          <w:b/>
          <w:bCs/>
        </w:rPr>
        <w:t xml:space="preserve">Zonele de evaluare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Minimum 50 zone per județ. Criteriu omogenitate: locație similară, infrastructură similară, destinație similară. Zonele se publică pe hartă GIS pe evaluare.ancpi.ro. Revizuire la fiecare ciclu de evaluare (3 ani).</w:t>
      </w:r>
    </w:p>
    <w:p>
      <w:pPr>
        <w:spacing w:after="100" w:before="220" w:line="276"/>
      </w:pPr>
      <w:r>
        <w:rPr>
          <w:b/>
          <w:bCs/>
        </w:rPr>
        <w:t xml:space="preserve">Art. 3. </w:t>
      </w:r>
      <w:r>
        <w:rPr>
          <w:b/>
          <w:bCs/>
        </w:rPr>
        <w:t xml:space="preserve">Coeficienți de piață zonali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Mediana tranzacțiilor pe zonă în ultimii 3 ani. Mediana e rezistentă la extreme (subdeclarări și supradeclarări). În zone fără tranzacții (&lt;5 în 3 ani): se folosește zona adiacentă cea mai similară. Datele din actele notariale se transmit automat de ANCPI către modelul CAMA.</w:t>
      </w:r>
    </w:p>
    <w:p>
      <w:pPr>
        <w:spacing w:after="100" w:before="220" w:line="276"/>
      </w:pPr>
      <w:r>
        <w:rPr>
          <w:b/>
          <w:bCs/>
        </w:rPr>
        <w:t xml:space="preserve">Art. 4. </w:t>
      </w:r>
      <w:r>
        <w:rPr>
          <w:b/>
          <w:bCs/>
        </w:rPr>
        <w:t xml:space="preserve">Calibrare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Indicatori de calibrare: ASR (Assessment-to-Sales Ratio) între 0,85-1,15; COD (Coeficient de Dispersie) sub 20% urban, sub 25% rural. Dacă neîndeplinite: recalibrare înainte de aplicare. Raportul de calibrare publicat pe portal, format deschis.</w:t>
      </w:r>
    </w:p>
    <w:p>
      <w:pPr>
        <w:pStyle w:val="Heading2"/>
      </w:pPr>
      <w:r>
        <w:t xml:space="preserve">CAPITOLUL II — Portalul evaluare.ancpi.ro</w:t>
      </w:r>
    </w:p>
    <w:p>
      <w:pPr>
        <w:spacing w:after="100" w:before="220" w:line="276"/>
      </w:pPr>
      <w:r>
        <w:rPr>
          <w:b/>
          <w:bCs/>
        </w:rPr>
        <w:t xml:space="preserve">Art. 5. </w:t>
      </w:r>
      <w:r>
        <w:rPr>
          <w:b/>
          <w:bCs/>
        </w:rPr>
        <w:t xml:space="preserve">Funcționalități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Orice cetățean introduce nr. cadastral/adresă și vede: valoarea CAMA, defalcarea pe factori (cât contribuie fiecare), comparаție cu zona, simulare impozit pe baza cotei CL, istoricul evaluărilor. Date în format deschis CSV/JSON.</w:t>
      </w:r>
    </w:p>
    <w:p>
      <w:pPr>
        <w:pStyle w:val="Heading2"/>
      </w:pPr>
      <w:r>
        <w:t xml:space="preserve">CAPITOLUL III — Contestația</w:t>
      </w:r>
    </w:p>
    <w:p>
      <w:pPr>
        <w:spacing w:after="100" w:before="220" w:line="276"/>
      </w:pPr>
      <w:r>
        <w:rPr>
          <w:b/>
          <w:bCs/>
        </w:rPr>
        <w:t xml:space="preserve">Art. 6. </w:t>
      </w:r>
      <w:r>
        <w:rPr>
          <w:b/>
          <w:bCs/>
        </w:rPr>
        <w:t xml:space="preserve">Procedura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Faza administrativă (gratuită): cerere OCPI în 60 zile de la publicare noi valori. OCPI reevaluează în 30 zile (verifică datele de intrare: suprafață, destinație, infrastructură). Răspuns cu explicație detaliată. Faza judiciară: contencios administrativ în 30 zile, posibilitate evaluare individuală de expert. Efect suspensiv: pe durata contestației se plătește impozit vechi, regularizare la soluționare.</w:t>
      </w:r>
    </w:p>
    <w:p>
      <w:pPr>
        <w:pStyle w:val="Heading2"/>
      </w:pPr>
      <w:r>
        <w:t xml:space="preserve">CAPITOLUL IV — Scutiri și teren speculativ</w:t>
      </w:r>
    </w:p>
    <w:p>
      <w:pPr>
        <w:spacing w:after="100" w:before="220" w:line="276"/>
      </w:pPr>
      <w:r>
        <w:rPr>
          <w:b/>
          <w:bCs/>
        </w:rPr>
        <w:t xml:space="preserve">Art. 7. </w:t>
      </w:r>
      <w:r>
        <w:rPr>
          <w:b/>
          <w:bCs/>
        </w:rPr>
        <w:t xml:space="preserve">Verificarea calității de teren agricol activ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Anual: verificare prin (a) declarație APIA, (b) imagini satelitare Sentinel/Copernicus (ANCPI), (c) verificare fața locului la contestații. Necultivat 3 ani consecutiv = pierderea facilității.</w:t>
      </w:r>
    </w:p>
    <w:p>
      <w:pPr>
        <w:spacing w:after="100" w:before="220" w:line="276"/>
      </w:pPr>
      <w:r>
        <w:rPr>
          <w:b/>
          <w:bCs/>
        </w:rPr>
        <w:t xml:space="preserve">Art. 8. </w:t>
      </w:r>
      <w:r>
        <w:rPr>
          <w:b/>
          <w:bCs/>
        </w:rPr>
        <w:t xml:space="preserve">Teren speculativ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Intravilan neocupat &gt;3 ani (fără construcție și fără AC valid/în execuție): cotă majorată 0,30%-1,00%. Excepții: litigiu, cerere AC depusă pe e-AC, moștenire &lt;3 ani. Verificare automată prin PNI (ANCPI+e-AC).</w:t>
      </w:r>
    </w:p>
    <w:p>
      <w:pPr>
        <w:pStyle w:val="Heading2"/>
      </w:pPr>
      <w:r>
        <w:t xml:space="preserve">CAPITOLUL V — Tranziția și calendar</w:t>
      </w:r>
    </w:p>
    <w:p>
      <w:pPr>
        <w:spacing w:after="100" w:before="220" w:line="276"/>
      </w:pPr>
      <w:r>
        <w:rPr>
          <w:b/>
          <w:bCs/>
        </w:rPr>
        <w:t xml:space="preserve">Art. 9. </w:t>
      </w:r>
      <w:r>
        <w:rPr>
          <w:b/>
          <w:bCs/>
        </w:rPr>
        <w:t xml:space="preserve">Tranziție progresivă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Anul 1: 33% din diferență. Anul 2: 66%. Anul 3: 100%. Dacă noul impozit &lt; vechiul: reducere imediată. Condiție: cadastru finalizat în UAT.</w:t>
      </w:r>
    </w:p>
    <w:p>
      <w:pPr>
        <w:spacing w:after="100" w:before="220" w:line="276"/>
      </w:pPr>
      <w:r>
        <w:rPr>
          <w:b/>
          <w:bCs/>
        </w:rPr>
        <w:t xml:space="preserve">Art. 10. </w:t>
      </w:r>
      <w:r>
        <w:rPr>
          <w:b/>
          <w:bCs/>
        </w:rPr>
        <w:t xml:space="preserve">Calendar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Luna 6: contractăm asistență CAMA. Luna 12: model dezvoltat + calibrat, pilot 5 județe. Luna 18: portal evaluare.ancpi.ro + contestații pilot. Luna 24: evaluare națională (UAT cu cadastru). Luna 30: publicare valori cu 6 luni înainte. Luna 36: anul 1 tranziție (33%). Luna 48: 66%. Luna 60: 100% + prima recalibrare.</w:t>
      </w:r>
    </w:p>
    <w:p>
      <w:pPr>
        <w:spacing w:after="100" w:before="220" w:line="276"/>
      </w:pPr>
      <w:r>
        <w:rPr>
          <w:b/>
          <w:bCs/>
        </w:rPr>
        <w:t xml:space="preserve">Art. 11. </w:t>
      </w:r>
      <w:r>
        <w:rPr>
          <w:b/>
          <w:bCs/>
        </w:rPr>
        <w:t xml:space="preserve">Dispoziții finale</w:t>
      </w:r>
    </w:p>
    <w:p>
      <w:pPr>
        <w:spacing w:after="70" w:line="276"/>
        <w:jc w:val="both"/>
      </w:pPr>
      <w:r>
        <w:rPr>
          <w:b/>
          <w:bCs/>
        </w:rPr>
        <w:t xml:space="preserve">(1) </w:t>
      </w:r>
      <w:r>
        <w:t xml:space="preserve">Norme în vigoare la publicare.</w:t>
      </w:r>
    </w:p>
    <w:p>
      <w:pPr>
        <w:spacing w:after="100" w:line="276"/>
        <w:jc w:val="both"/>
      </w:pPr>
      <w:r>
        <w:rPr>
          <w:b/>
          <w:bCs/>
        </w:rPr>
        <w:t xml:space="preserve">Notă: </w:t>
      </w:r>
      <w:r>
        <w:t xml:space="preserve">Draft de lucru.</w:t>
      </w:r>
    </w:p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7"/>
        <w:szCs w:val="17"/>
      </w:rPr>
      <w:t xml:space="preserve">Pagina </w:t>
    </w:r>
    <w:r>
      <w:rPr>
        <w:color w:val="99999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7"/>
        <w:szCs w:val="17"/>
      </w:rPr>
      <w:t xml:space="preserve">Norme metodologice — Impozitul pe Teren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jc w:val="center"/>
      <w:outlineLvl w:val="0"/>
    </w:pPr>
    <w:rPr>
      <w:rFonts w:ascii="Times New Roman" w:cs="Times New Roman" w:eastAsia="Times New Roman" w:hAnsi="Times New Roman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Times New Roman" w:cs="Times New Roman" w:eastAsia="Times New Roman" w:hAnsi="Times New Roman"/>
      <w:b/>
      <w:bCs/>
      <w:color w:val="2E509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2026-04-03T16:58:46.489Z</dcterms:created>
  <dcterms:modified xsi:type="dcterms:W3CDTF">2026-04-03T16:58:46.489Z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