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b/>
          <w:bCs/>
          <w:color w:val="1F3864"/>
          <w:sz w:val="28"/>
          <w:szCs w:val="28"/>
        </w:rPr>
        <w:t xml:space="preserve">GUVERNUL ROMÂNIEI</w:t>
      </w:r>
    </w:p>
    <w:p>
      <w:pPr>
        <w:pBdr>
          <w:bottom w:val="single" w:color="1F3864" w:sz="4" w:space="8"/>
        </w:pBdr>
        <w:spacing w:after="400"/>
        <w:jc w:val="center"/>
      </w:pPr>
      <w:r>
        <w:rPr>
          <w:i/>
          <w:iCs/>
          <w:color w:val="555555"/>
          <w:sz w:val="24"/>
          <w:szCs w:val="24"/>
        </w:rPr>
        <w:t xml:space="preserve">Ministerul Transporturilor și Infrastructurii</w:t>
      </w:r>
    </w:p>
    <w:p>
      <w:pPr>
        <w:spacing w:before="400"/>
      </w:pPr>
    </w:p>
    <w:p>
      <w:pPr>
        <w:spacing w:after="120"/>
        <w:jc w:val="center"/>
      </w:pPr>
      <w:r>
        <w:rPr>
          <w:b/>
          <w:bCs/>
          <w:color w:val="1F3864"/>
          <w:sz w:val="44"/>
          <w:szCs w:val="44"/>
        </w:rPr>
        <w:t xml:space="preserve">HOTĂRÂRE</w:t>
      </w:r>
    </w:p>
    <w:p>
      <w:pPr>
        <w:spacing w:after="80"/>
        <w:jc w:val="center"/>
      </w:pPr>
      <w:r>
        <w:rPr>
          <w:sz w:val="28"/>
          <w:szCs w:val="28"/>
        </w:rPr>
        <w:t xml:space="preserve">privind aprobarea Normelor metodologice</w:t>
      </w:r>
    </w:p>
    <w:p>
      <w:pPr>
        <w:spacing w:after="80"/>
        <w:jc w:val="center"/>
      </w:pPr>
      <w:r>
        <w:rPr>
          <w:sz w:val="28"/>
          <w:szCs w:val="28"/>
        </w:rPr>
        <w:t xml:space="preserve">de aplicare a Legii Fondului Rutier Național</w:t>
      </w:r>
    </w:p>
    <w:p>
      <w:pPr>
        <w:spacing w:after="300"/>
        <w:jc w:val="center"/>
      </w:pPr>
      <w:r>
        <w:rPr>
          <w:i/>
          <w:iCs/>
          <w:color w:val="555555"/>
          <w:sz w:val="24"/>
          <w:szCs w:val="24"/>
        </w:rPr>
        <w:t xml:space="preserve">(Norme metodologice — Anexa la HG nr. .../2026)</w:t>
      </w:r>
    </w:p>
    <w:p>
      <w:pPr>
        <w:spacing w:before="1400"/>
      </w:pPr>
    </w:p>
    <w:p>
      <w:pPr>
        <w:spacing w:after="60"/>
        <w:jc w:val="center"/>
      </w:pPr>
      <w:r>
        <w:rPr>
          <w:color w:val="777777"/>
          <w:sz w:val="21"/>
          <w:szCs w:val="21"/>
        </w:rPr>
        <w:t xml:space="preserve">Document de lucru — Aprilie 2026</w:t>
      </w:r>
    </w:p>
    <w:p>
      <w:pPr>
        <w:jc w:val="center"/>
      </w:pPr>
      <w:r>
        <w:rPr>
          <w:color w:val="777777"/>
          <w:sz w:val="21"/>
          <w:szCs w:val="21"/>
        </w:rPr>
        <w:t xml:space="preserve">Versiune pentru consultare publică</w:t>
      </w:r>
    </w:p>
    <w:p>
      <w:pPr>
        <w:sectPr>
          <w:pgSz w:w="11906" w:h="16838" w:orient="portrait"/>
          <w:pgMar w:top="1440" w:right="1300" w:bottom="1440" w:left="1300" w:header="708" w:footer="708" w:gutter="0"/>
          <w:pgNumType/>
          <w:docGrid w:linePitch="360"/>
        </w:sectPr>
      </w:pPr>
    </w:p>
    <w:p>
      <w:pPr>
        <w:pStyle w:val="Heading1"/>
      </w:pPr>
      <w:r>
        <w:t xml:space="preserve">HOTĂRÂRE</w:t>
      </w:r>
    </w:p>
    <w:p>
      <w:pPr>
        <w:spacing w:after="100" w:line="276"/>
        <w:jc w:val="both"/>
      </w:pPr>
      <w:r>
        <w:t xml:space="preserve">În temeiul art. 108 din Constituția României, republicată, și al art. 17 alin. (2) din Legea Fondului Rutier Național nr. .../2026,</w:t>
      </w:r>
    </w:p>
    <w:p>
      <w:pPr>
        <w:spacing w:after="100" w:line="276"/>
        <w:jc w:val="both"/>
      </w:pPr>
      <w:r>
        <w:rPr>
          <w:b/>
          <w:bCs/>
        </w:rPr>
        <w:t xml:space="preserve">Guvernul României adoptă prezenta hotărâre:</w:t>
      </w:r>
    </w:p>
    <w:p>
      <w:pPr>
        <w:spacing w:after="100" w:line="276"/>
        <w:jc w:val="both"/>
      </w:pPr>
      <w:r>
        <w:rPr>
          <w:b/>
          <w:bCs/>
        </w:rPr>
        <w:t xml:space="preserve">Articol unic. </w:t>
      </w:r>
      <w:r>
        <w:t xml:space="preserve">Se aprobă Normele metodologice de aplicare a Legii Fondului Rutier Național nr. .../2026, prevăzute în anexa care face parte integrantă din prezenta hotărâre.</w:t>
      </w:r>
    </w:p>
    <w:p>
      <w:r>
        <w:br w:type="page"/>
      </w:r>
    </w:p>
    <w:p>
      <w:pPr>
        <w:pStyle w:val="Heading1"/>
      </w:pPr>
      <w:r>
        <w:t xml:space="preserve">NORME METODOLOGICE</w:t>
      </w:r>
    </w:p>
    <w:p>
      <w:pPr>
        <w:pStyle w:val="Heading1"/>
      </w:pPr>
      <w:r>
        <w:t xml:space="preserve">de aplicare a Legii Fondului Rutier Național</w:t>
      </w:r>
    </w:p>
    <w:p>
      <w:pPr>
        <w:pStyle w:val="Heading2"/>
      </w:pPr>
      <w:r>
        <w:t xml:space="preserve">CAPITOLUL I — Dispoziții generale</w:t>
      </w:r>
    </w:p>
    <w:p>
      <w:pPr>
        <w:spacing w:after="100" w:before="220" w:line="276"/>
      </w:pPr>
      <w:r>
        <w:rPr>
          <w:b/>
          <w:bCs/>
        </w:rPr>
        <w:t xml:space="preserve">Art. 1. </w:t>
      </w:r>
      <w:r>
        <w:rPr>
          <w:b/>
          <w:bCs/>
        </w:rPr>
        <w:t xml:space="preserve">Obiectul normelor</w:t>
      </w:r>
    </w:p>
    <w:p>
      <w:pPr>
        <w:spacing w:after="70" w:line="276"/>
        <w:jc w:val="both"/>
      </w:pPr>
      <w:r>
        <w:rPr>
          <w:b/>
          <w:bCs/>
        </w:rPr>
        <w:t xml:space="preserve">(1) </w:t>
      </w:r>
      <w:r>
        <w:t xml:space="preserve">Prezentele norme metodologice detaliază procedurile de constituire, alimentare, administrare, utilizare, monitorizare și raportare a Fondului Rutier Național (FRN), în aplicarea Legii nr. .../2026.</w:t>
      </w:r>
    </w:p>
    <w:p>
      <w:pPr>
        <w:spacing w:after="70" w:line="276"/>
        <w:jc w:val="both"/>
      </w:pPr>
      <w:r>
        <w:rPr>
          <w:b/>
          <w:bCs/>
        </w:rPr>
        <w:t xml:space="preserve">(2) </w:t>
      </w:r>
      <w:r>
        <w:t xml:space="preserve">Normele se aplică tuturor instituțiilor și autorităților publice implicate în gestionarea FRN, inclusiv ANAF, Ministerul Transporturilor și Infrastructurii (MTI), Ministerul Finanțelor (MF), CNAIR, autorităților județene și locale, precum și operatorilor de transport public beneficiari de subvenții.</w:t>
      </w:r>
    </w:p>
    <w:p>
      <w:pPr>
        <w:pStyle w:val="Heading2"/>
      </w:pPr>
      <w:r>
        <w:t xml:space="preserve">CAPITOLUL II — Calculul și virarea veniturilor către FRN</w:t>
      </w:r>
    </w:p>
    <w:p>
      <w:pPr>
        <w:spacing w:after="100" w:before="220" w:line="276"/>
      </w:pPr>
      <w:r>
        <w:rPr>
          <w:b/>
          <w:bCs/>
        </w:rPr>
        <w:t xml:space="preserve">Art. 2. </w:t>
      </w:r>
      <w:r>
        <w:rPr>
          <w:b/>
          <w:bCs/>
        </w:rPr>
        <w:t xml:space="preserve">Determinarea bazei de calcul</w:t>
      </w:r>
    </w:p>
    <w:p>
      <w:pPr>
        <w:spacing w:after="70" w:line="276"/>
        <w:jc w:val="both"/>
      </w:pPr>
      <w:r>
        <w:rPr>
          <w:b/>
          <w:bCs/>
        </w:rPr>
        <w:t xml:space="preserve">(1) </w:t>
      </w:r>
      <w:r>
        <w:t xml:space="preserve">ANAF determină lunar veniturile efective încasate din acciza la benzină și motorină, inclusiv supraacciza, pe baza declarațiilor depuse de operatorii economici și a încasărilor efective înregistrate în conturile Trezoreriei Statului.</w:t>
      </w:r>
    </w:p>
    <w:p>
      <w:pPr>
        <w:spacing w:after="70" w:line="276"/>
        <w:jc w:val="both"/>
      </w:pPr>
      <w:r>
        <w:rPr>
          <w:b/>
          <w:bCs/>
        </w:rPr>
        <w:t xml:space="preserve">(2) </w:t>
      </w:r>
      <w:r>
        <w:t xml:space="preserve">Baza de calcul include:</w:t>
      </w:r>
    </w:p>
    <w:p>
      <w:pPr>
        <w:spacing w:after="50" w:line="276"/>
        <w:ind w:left="720"/>
        <w:jc w:val="both"/>
      </w:pPr>
      <w:r>
        <w:rPr>
          <w:b/>
          <w:bCs/>
        </w:rPr>
        <w:t xml:space="preserve">a) </w:t>
      </w:r>
      <w:r>
        <w:t xml:space="preserve">acciza armonizată la benzină fără plumb (cod NC 2710 12 41, 2710 12 45, 2710 12 49);</w:t>
      </w:r>
    </w:p>
    <w:p>
      <w:pPr>
        <w:spacing w:after="50" w:line="276"/>
        <w:ind w:left="720"/>
        <w:jc w:val="both"/>
      </w:pPr>
      <w:r>
        <w:rPr>
          <w:b/>
          <w:bCs/>
        </w:rPr>
        <w:t xml:space="preserve">b) </w:t>
      </w:r>
      <w:r>
        <w:t xml:space="preserve">acciza armonizată la motorină (cod NC 2710 19 43, 2710 19 46, 2710 19 47, 2710 20 11, 2710 20 16);</w:t>
      </w:r>
    </w:p>
    <w:p>
      <w:pPr>
        <w:spacing w:after="50" w:line="276"/>
        <w:ind w:left="720"/>
        <w:jc w:val="both"/>
      </w:pPr>
      <w:r>
        <w:rPr>
          <w:b/>
          <w:bCs/>
        </w:rPr>
        <w:t xml:space="preserve">c) </w:t>
      </w:r>
      <w:r>
        <w:t xml:space="preserve">supraacciza (acciza suplimentară) aplicată conform art. 355 din Codul Fiscal.</w:t>
      </w:r>
    </w:p>
    <w:p>
      <w:pPr>
        <w:spacing w:after="70" w:line="276"/>
        <w:jc w:val="both"/>
      </w:pPr>
      <w:r>
        <w:rPr>
          <w:b/>
          <w:bCs/>
        </w:rPr>
        <w:t xml:space="preserve">(3) </w:t>
      </w:r>
      <w:r>
        <w:t xml:space="preserve">Nu intră în baza de calcul: accizele la GPL, gaz natural comprimat (CNG), biocarburanți pur (E100/B100) sau alte produse energetice care nu sunt benzină sau motorină.</w:t>
      </w:r>
    </w:p>
    <w:p>
      <w:pPr>
        <w:spacing w:after="100" w:before="220" w:line="276"/>
      </w:pPr>
      <w:r>
        <w:rPr>
          <w:b/>
          <w:bCs/>
        </w:rPr>
        <w:t xml:space="preserve">Art. 3. </w:t>
      </w:r>
      <w:r>
        <w:rPr>
          <w:b/>
          <w:bCs/>
        </w:rPr>
        <w:t xml:space="preserve">Procedura de virare</w:t>
      </w:r>
    </w:p>
    <w:p>
      <w:pPr>
        <w:spacing w:after="70" w:line="276"/>
        <w:jc w:val="both"/>
      </w:pPr>
      <w:r>
        <w:rPr>
          <w:b/>
          <w:bCs/>
        </w:rPr>
        <w:t xml:space="preserve">(1) </w:t>
      </w:r>
      <w:r>
        <w:t xml:space="preserve">ANAF transmite MTI și MF, până la data de 5 a fiecărei luni, un raport certificat cu veniturile din accize la combustibil încasate în luna precedentă, defalcate pe: benzină, motorină și supraacciзă.</w:t>
      </w:r>
    </w:p>
    <w:p>
      <w:pPr>
        <w:spacing w:after="70" w:line="276"/>
        <w:jc w:val="both"/>
      </w:pPr>
      <w:r>
        <w:rPr>
          <w:b/>
          <w:bCs/>
        </w:rPr>
        <w:t xml:space="preserve">(2) </w:t>
      </w:r>
      <w:r>
        <w:t xml:space="preserve">MF, prin Trezoreria Statului, virează automat 80% din suma certificată în contul dedicat al FRN, în termen de 10 zile lucrătoare de la încheierea lunii calendaristice de referință.</w:t>
      </w:r>
    </w:p>
    <w:p>
      <w:pPr>
        <w:spacing w:after="70" w:line="276"/>
        <w:jc w:val="both"/>
      </w:pPr>
      <w:r>
        <w:rPr>
          <w:b/>
          <w:bCs/>
        </w:rPr>
        <w:t xml:space="preserve">(3) </w:t>
      </w:r>
      <w:r>
        <w:t xml:space="preserve">Contul FRN se deschide la Trezoreria Centrală, cu cod IBAN unic comunicat public pe portalul de transparență.</w:t>
      </w:r>
    </w:p>
    <w:p>
      <w:pPr>
        <w:spacing w:after="70" w:line="276"/>
        <w:jc w:val="both"/>
      </w:pPr>
      <w:r>
        <w:rPr>
          <w:b/>
          <w:bCs/>
        </w:rPr>
        <w:t xml:space="preserve">(4) </w:t>
      </w:r>
      <w:r>
        <w:t xml:space="preserve">Raportul lunar ANAF se publică pe portalul de transparență în termen de 3 zile lucrătoare de la transmitere.</w:t>
      </w:r>
    </w:p>
    <w:p>
      <w:pPr>
        <w:spacing w:after="100" w:before="220" w:line="276"/>
      </w:pPr>
      <w:r>
        <w:rPr>
          <w:b/>
          <w:bCs/>
        </w:rPr>
        <w:t xml:space="preserve">Art. 4. </w:t>
      </w:r>
      <w:r>
        <w:rPr>
          <w:b/>
          <w:bCs/>
        </w:rPr>
        <w:t xml:space="preserve">Întârzieri la virare</w:t>
      </w:r>
    </w:p>
    <w:p>
      <w:pPr>
        <w:spacing w:after="70" w:line="276"/>
        <w:jc w:val="both"/>
      </w:pPr>
      <w:r>
        <w:rPr>
          <w:b/>
          <w:bCs/>
        </w:rPr>
        <w:t xml:space="preserve">(1) </w:t>
      </w:r>
      <w:r>
        <w:t xml:space="preserve">Dacă virarea nu se efectuează în termenul de 10 zile lucrătoare, MTI notifică în scris MF și Curtea de Conturi. </w:t>
      </w:r>
      <w:r>
        <w:rPr>
          <w:b/>
          <w:bCs/>
        </w:rPr>
        <w:t xml:space="preserve">Penalitățile de întârziere se calculează conform ratei dobânzii de referință BNR + 2 puncte procentuale, aplicată pro rata temporis.</w:t>
      </w:r>
    </w:p>
    <w:p>
      <w:pPr>
        <w:spacing w:after="70" w:line="276"/>
        <w:jc w:val="both"/>
      </w:pPr>
      <w:r>
        <w:rPr>
          <w:b/>
          <w:bCs/>
        </w:rPr>
        <w:t xml:space="preserve">(2) </w:t>
      </w:r>
      <w:r>
        <w:t xml:space="preserve">Curtea de Conturi include orice întârziere repetată (mai mult de 3 luni consecutive) în raportul anual de audit, cu recomandare de sancționare.</w:t>
      </w:r>
    </w:p>
    <w:p>
      <w:pPr>
        <w:pStyle w:val="Heading3"/>
      </w:pPr>
      <w:r>
        <w:t xml:space="preserve">Calendarul lunar al fluxului financiar FRN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13"/>
        <w:gridCol w:w="2413"/>
      </w:tblGrid>
      <w:tr>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Termen</w:t>
            </w:r>
          </w:p>
        </w:tc>
        <w:tc>
          <w:tcPr>
            <w:tcW w:type="dxa" w:w="441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Acțiune</w:t>
            </w:r>
          </w:p>
        </w:tc>
        <w:tc>
          <w:tcPr>
            <w:tcW w:type="dxa" w:w="241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Responsabil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Ziua 1–5</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ANAF certifică veniturile lunii precedente și transmite raportul</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ANAF</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Ziua 5–8</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MF verifică raportul și emite ordinul de plată</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MF / Trezorerie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Ziua 8–10</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Suma de 80% este virată în contul FRN</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Trezoreria Centrală</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Ziua 10–13</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Raportul se publică pe portalul de transparență</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MTI / UIP-FRN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Ziua 15+</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Consiliul de Administrare FRN validează încasarea</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CA-FRN</w:t>
            </w:r>
          </w:p>
        </w:tc>
      </w:tr>
    </w:tbl>
    <w:p>
      <w:r>
        <w:br w:type="page"/>
      </w:r>
    </w:p>
    <w:p>
      <w:pPr>
        <w:pStyle w:val="Heading2"/>
      </w:pPr>
      <w:r>
        <w:t xml:space="preserve">CAPITOLUL III — Organizarea și funcționarea Consiliului de Administrare</w:t>
      </w:r>
    </w:p>
    <w:p>
      <w:pPr>
        <w:spacing w:after="100" w:before="220" w:line="276"/>
      </w:pPr>
      <w:r>
        <w:rPr>
          <w:b/>
          <w:bCs/>
        </w:rPr>
        <w:t xml:space="preserve">Art. 5. </w:t>
      </w:r>
      <w:r>
        <w:rPr>
          <w:b/>
          <w:bCs/>
        </w:rPr>
        <w:t xml:space="preserve">Constituirea Consiliului</w:t>
      </w:r>
    </w:p>
    <w:p>
      <w:pPr>
        <w:spacing w:after="70" w:line="276"/>
        <w:jc w:val="both"/>
      </w:pPr>
      <w:r>
        <w:rPr>
          <w:b/>
          <w:bCs/>
        </w:rPr>
        <w:t xml:space="preserve">(1) </w:t>
      </w:r>
      <w:r>
        <w:t xml:space="preserve">Ministerul Transporturilor inițiază procedura de constituire a Consiliului de Administrare al FRN (CA-FRN) în termen de 60 de zile de la publicarea legii, prin:</w:t>
      </w:r>
    </w:p>
    <w:p>
      <w:pPr>
        <w:spacing w:after="50" w:line="276"/>
        <w:ind w:left="720"/>
        <w:jc w:val="both"/>
      </w:pPr>
      <w:r>
        <w:rPr>
          <w:b/>
          <w:bCs/>
        </w:rPr>
        <w:t xml:space="preserve">a) </w:t>
      </w:r>
      <w:r>
        <w:t xml:space="preserve">solicitarea desemnării reprezentanților din partea MTI (3 membri) și MF (1 membru), prin ordin de ministru;</w:t>
      </w:r>
    </w:p>
    <w:p>
      <w:pPr>
        <w:spacing w:after="50" w:line="276"/>
        <w:ind w:left="720"/>
        <w:jc w:val="both"/>
      </w:pPr>
      <w:r>
        <w:rPr>
          <w:b/>
          <w:bCs/>
        </w:rPr>
        <w:t xml:space="preserve">b) </w:t>
      </w:r>
      <w:r>
        <w:t xml:space="preserve">solicitarea desemnării a 2 reprezentanți din partea Asociației Consiliilor Județene, 1 din partea AMR și 1 din partea ACoR, prin hotărârile organelor de conducere ale acestor asociații;</w:t>
      </w:r>
    </w:p>
    <w:p>
      <w:pPr>
        <w:spacing w:after="50" w:line="276"/>
        <w:ind w:left="720"/>
        <w:jc w:val="both"/>
      </w:pPr>
      <w:r>
        <w:rPr>
          <w:b/>
          <w:bCs/>
        </w:rPr>
        <w:t xml:space="preserve">c) </w:t>
      </w:r>
      <w:r>
        <w:t xml:space="preserve">solicitarea desemnării a 2 reprezentanți ai asociațiilor de transportatori (câte unul de la UNTRR și ARTRI sau alte asociații reprezentative);</w:t>
      </w:r>
    </w:p>
    <w:p>
      <w:pPr>
        <w:spacing w:after="50" w:line="276"/>
        <w:ind w:left="720"/>
        <w:jc w:val="both"/>
      </w:pPr>
      <w:r>
        <w:rPr>
          <w:b/>
          <w:bCs/>
        </w:rPr>
        <w:t xml:space="preserve">d) </w:t>
      </w:r>
      <w:r>
        <w:t xml:space="preserve">organizarea unei selecții publice transparente pentru desemnarea reprezentantului societății civile.</w:t>
      </w:r>
    </w:p>
    <w:p>
      <w:pPr>
        <w:spacing w:after="70" w:line="276"/>
        <w:jc w:val="both"/>
      </w:pPr>
      <w:r>
        <w:rPr>
          <w:b/>
          <w:bCs/>
        </w:rPr>
        <w:t xml:space="preserve">(2) </w:t>
      </w:r>
      <w:r>
        <w:t xml:space="preserve">Selecția reprezentantului societății civile se desfășoară astfel:</w:t>
      </w:r>
    </w:p>
    <w:p>
      <w:pPr>
        <w:spacing w:after="50" w:line="276"/>
        <w:ind w:left="720"/>
        <w:jc w:val="both"/>
      </w:pPr>
      <w:r>
        <w:rPr>
          <w:b/>
          <w:bCs/>
        </w:rPr>
        <w:t xml:space="preserve">a) </w:t>
      </w:r>
      <w:r>
        <w:t xml:space="preserve">MTI publică un anunț pe portalul propriu și în Monitorul Oficial, cu cel puțin 30 de zile înainte de termenul limită de depunere a candidaturilor;</w:t>
      </w:r>
    </w:p>
    <w:p>
      <w:pPr>
        <w:spacing w:after="50" w:line="276"/>
        <w:ind w:left="720"/>
        <w:jc w:val="both"/>
      </w:pPr>
      <w:r>
        <w:rPr>
          <w:b/>
          <w:bCs/>
        </w:rPr>
        <w:t xml:space="preserve">b) </w:t>
      </w:r>
      <w:r>
        <w:t xml:space="preserve">pot candida persoane fizice sau reprezentanți ai ONG-urilor cu activitate demonstrabilă în domeniul infrastructurii, transporturilor sau finanțelor publice;</w:t>
      </w:r>
    </w:p>
    <w:p>
      <w:pPr>
        <w:spacing w:after="50" w:line="276"/>
        <w:ind w:left="720"/>
        <w:jc w:val="both"/>
      </w:pPr>
      <w:r>
        <w:rPr>
          <w:b/>
          <w:bCs/>
        </w:rPr>
        <w:t xml:space="preserve">c) </w:t>
      </w:r>
      <w:r>
        <w:t xml:space="preserve">selecția se face de o comisie formată din 3 membri (1 MTI, 1 Curtea de Conturi, 1 Avocatul Poporului), pe baza CV-ului, scrisorii de motivație și a unui interviu public;</w:t>
      </w:r>
    </w:p>
    <w:p>
      <w:pPr>
        <w:spacing w:after="50" w:line="276"/>
        <w:ind w:left="720"/>
        <w:jc w:val="both"/>
      </w:pPr>
      <w:r>
        <w:rPr>
          <w:b/>
          <w:bCs/>
        </w:rPr>
        <w:t xml:space="preserve">d) </w:t>
      </w:r>
      <w:r>
        <w:t xml:space="preserve">rezultatul selecției se publică pe portalul MTI în termen de 5 zile de la finalizare.</w:t>
      </w:r>
    </w:p>
    <w:p>
      <w:pPr>
        <w:spacing w:after="100" w:before="220" w:line="276"/>
      </w:pPr>
      <w:r>
        <w:rPr>
          <w:b/>
          <w:bCs/>
        </w:rPr>
        <w:t xml:space="preserve">Art. 6. </w:t>
      </w:r>
      <w:r>
        <w:rPr>
          <w:b/>
          <w:bCs/>
        </w:rPr>
        <w:t xml:space="preserve">Funcționarea CA-FRN</w:t>
      </w:r>
    </w:p>
    <w:p>
      <w:pPr>
        <w:spacing w:after="70" w:line="276"/>
        <w:jc w:val="both"/>
      </w:pPr>
      <w:r>
        <w:rPr>
          <w:b/>
          <w:bCs/>
        </w:rPr>
        <w:t xml:space="preserve">(1) </w:t>
      </w:r>
      <w:r>
        <w:t xml:space="preserve">CA-FRN se întruneste în ședință ordinară trimestrial și în ședință extraordinară ori de câte ori este necesar, la convocarea președintelui sau la cererea a cel puțin 4 membri.</w:t>
      </w:r>
    </w:p>
    <w:p>
      <w:pPr>
        <w:spacing w:after="70" w:line="276"/>
        <w:jc w:val="both"/>
      </w:pPr>
      <w:r>
        <w:rPr>
          <w:b/>
          <w:bCs/>
        </w:rPr>
        <w:t xml:space="preserve">(2) </w:t>
      </w:r>
      <w:r>
        <w:t xml:space="preserve">Cvorumul de ședință este de 7 din 11 membri. Hotărârile se adoptă cu majoritate simplă.</w:t>
      </w:r>
    </w:p>
    <w:p>
      <w:pPr>
        <w:spacing w:after="70" w:line="276"/>
        <w:jc w:val="both"/>
      </w:pPr>
      <w:r>
        <w:rPr>
          <w:b/>
          <w:bCs/>
        </w:rPr>
        <w:t xml:space="preserve">(3) </w:t>
      </w:r>
      <w:r>
        <w:t xml:space="preserve">Președintele CA-FRN este ales dintre membri prin vot secret, pentru un mandat de 2 ani, care poate fi reînnoit o singură dată.</w:t>
      </w:r>
    </w:p>
    <w:p>
      <w:pPr>
        <w:spacing w:after="70" w:line="276"/>
        <w:jc w:val="both"/>
      </w:pPr>
      <w:r>
        <w:rPr>
          <w:b/>
          <w:bCs/>
        </w:rPr>
        <w:t xml:space="preserve">(4) </w:t>
      </w:r>
      <w:r>
        <w:t xml:space="preserve">CA-FRN adoptă un regulament intern de funcționare în termen de 30 de zile de la constituire.</w:t>
      </w:r>
    </w:p>
    <w:p>
      <w:pPr>
        <w:spacing w:after="70" w:line="276"/>
        <w:jc w:val="both"/>
      </w:pPr>
      <w:r>
        <w:rPr>
          <w:b/>
          <w:bCs/>
        </w:rPr>
        <w:t xml:space="preserve">(5) </w:t>
      </w:r>
      <w:r>
        <w:t xml:space="preserve">Membrii CA-FRN nu sunt remunerați pentru această funcție, dar beneficiază de decontarea cheltuielilor de deplasare conform normativelor aplicate funcționarilor publici.</w:t>
      </w:r>
    </w:p>
    <w:p>
      <w:pPr>
        <w:spacing w:after="100" w:before="220" w:line="276"/>
      </w:pPr>
      <w:r>
        <w:rPr>
          <w:b/>
          <w:bCs/>
        </w:rPr>
        <w:t xml:space="preserve">Art. 7. </w:t>
      </w:r>
      <w:r>
        <w:rPr>
          <w:b/>
          <w:bCs/>
        </w:rPr>
        <w:t xml:space="preserve">Unitatea de Implementare a Proiectelor FRN (UIP-FRN)</w:t>
      </w:r>
    </w:p>
    <w:p>
      <w:pPr>
        <w:spacing w:after="70" w:line="276"/>
        <w:jc w:val="both"/>
      </w:pPr>
      <w:r>
        <w:rPr>
          <w:b/>
          <w:bCs/>
        </w:rPr>
        <w:t xml:space="preserve">(1) </w:t>
      </w:r>
      <w:r>
        <w:t xml:space="preserve">MTI înființează, în subordinea sa, o Unitate de Implementare a Proiectelor FRN (UIP-FRN), cu maximum 25 de posturi, finanțată din bugetul MTI (nu din FRN).</w:t>
      </w:r>
    </w:p>
    <w:p>
      <w:pPr>
        <w:spacing w:after="70" w:line="276"/>
        <w:jc w:val="both"/>
      </w:pPr>
      <w:r>
        <w:rPr>
          <w:b/>
          <w:bCs/>
        </w:rPr>
        <w:t xml:space="preserve">(2) </w:t>
      </w:r>
      <w:r>
        <w:t xml:space="preserve">UIP-FRN asigură:</w:t>
      </w:r>
    </w:p>
    <w:p>
      <w:pPr>
        <w:spacing w:after="50" w:line="276"/>
        <w:ind w:left="720"/>
        <w:jc w:val="both"/>
      </w:pPr>
      <w:r>
        <w:rPr>
          <w:b/>
          <w:bCs/>
        </w:rPr>
        <w:t xml:space="preserve">a) </w:t>
      </w:r>
      <w:r>
        <w:t xml:space="preserve">secretariatul tehnic al CA-FRN;</w:t>
      </w:r>
    </w:p>
    <w:p>
      <w:pPr>
        <w:spacing w:after="50" w:line="276"/>
        <w:ind w:left="720"/>
        <w:jc w:val="both"/>
      </w:pPr>
      <w:r>
        <w:rPr>
          <w:b/>
          <w:bCs/>
        </w:rPr>
        <w:t xml:space="preserve">b) </w:t>
      </w:r>
      <w:r>
        <w:t xml:space="preserve">pregătirea documentelor de prioritizare a proiectelor;</w:t>
      </w:r>
    </w:p>
    <w:p>
      <w:pPr>
        <w:spacing w:after="50" w:line="276"/>
        <w:ind w:left="720"/>
        <w:jc w:val="both"/>
      </w:pPr>
      <w:r>
        <w:rPr>
          <w:b/>
          <w:bCs/>
        </w:rPr>
        <w:t xml:space="preserve">c) </w:t>
      </w:r>
      <w:r>
        <w:t xml:space="preserve">monitorizarea execuției fizice și financiare a proiectelor finanțate din FRN;</w:t>
      </w:r>
    </w:p>
    <w:p>
      <w:pPr>
        <w:spacing w:after="50" w:line="276"/>
        <w:ind w:left="720"/>
        <w:jc w:val="both"/>
      </w:pPr>
      <w:r>
        <w:rPr>
          <w:b/>
          <w:bCs/>
        </w:rPr>
        <w:t xml:space="preserve">d) </w:t>
      </w:r>
      <w:r>
        <w:t xml:space="preserve">administrarea portalului de transparență;</w:t>
      </w:r>
    </w:p>
    <w:p>
      <w:pPr>
        <w:spacing w:after="50" w:line="276"/>
        <w:ind w:left="720"/>
        <w:jc w:val="both"/>
      </w:pPr>
      <w:r>
        <w:rPr>
          <w:b/>
          <w:bCs/>
        </w:rPr>
        <w:t xml:space="preserve">e) </w:t>
      </w:r>
      <w:r>
        <w:t xml:space="preserve">pregătirea rapoartelor trimestriale și anuale.</w:t>
      </w:r>
    </w:p>
    <w:p>
      <w:r>
        <w:br w:type="page"/>
      </w:r>
    </w:p>
    <w:p>
      <w:pPr>
        <w:pStyle w:val="Heading2"/>
      </w:pPr>
      <w:r>
        <w:t xml:space="preserve">CAPITOLUL IV — Prioritizarea și aprobarea proiectelor</w:t>
      </w:r>
    </w:p>
    <w:p>
      <w:pPr>
        <w:spacing w:after="100" w:before="220" w:line="276"/>
      </w:pPr>
      <w:r>
        <w:rPr>
          <w:b/>
          <w:bCs/>
        </w:rPr>
        <w:t xml:space="preserve">Art. 8. </w:t>
      </w:r>
      <w:r>
        <w:rPr>
          <w:b/>
          <w:bCs/>
        </w:rPr>
        <w:t xml:space="preserve">Planul anual de investiții</w:t>
      </w:r>
    </w:p>
    <w:p>
      <w:pPr>
        <w:spacing w:after="70" w:line="276"/>
        <w:jc w:val="both"/>
      </w:pPr>
      <w:r>
        <w:rPr>
          <w:b/>
          <w:bCs/>
        </w:rPr>
        <w:t xml:space="preserve">(1) </w:t>
      </w:r>
      <w:r>
        <w:t xml:space="preserve">MTI, prin UIP-FRN, elaborează anual un proiect al Planului de Investiții FRN, până la data de 1 octombrie a anului precedent, pentru anul următor.</w:t>
      </w:r>
    </w:p>
    <w:p>
      <w:pPr>
        <w:spacing w:after="70" w:line="276"/>
        <w:jc w:val="both"/>
      </w:pPr>
      <w:r>
        <w:rPr>
          <w:b/>
          <w:bCs/>
        </w:rPr>
        <w:t xml:space="preserve">(2) </w:t>
      </w:r>
      <w:r>
        <w:t xml:space="preserve">Planul include: lista proiectelor propuse, valoarea estimată, sursa (FRN, cofinanțare UE, buget local), stadiul de pregătire (studiu de fezabilitate, proiect tehnic, autorizație de construire), și scorul de prioritizare.</w:t>
      </w:r>
    </w:p>
    <w:p>
      <w:pPr>
        <w:spacing w:after="70" w:line="276"/>
        <w:jc w:val="both"/>
      </w:pPr>
      <w:r>
        <w:rPr>
          <w:b/>
          <w:bCs/>
        </w:rPr>
        <w:t xml:space="preserve">(3) </w:t>
      </w:r>
      <w:r>
        <w:t xml:space="preserve">CA-FRN aprobă Planul de Investiții până la data de 15 noiembrie. Planul aprobat se publică pe portalul de transparență.</w:t>
      </w:r>
    </w:p>
    <w:p>
      <w:pPr>
        <w:spacing w:after="100" w:before="220" w:line="276"/>
      </w:pPr>
      <w:r>
        <w:rPr>
          <w:b/>
          <w:bCs/>
        </w:rPr>
        <w:t xml:space="preserve">Art. 9. </w:t>
      </w:r>
      <w:r>
        <w:rPr>
          <w:b/>
          <w:bCs/>
        </w:rPr>
        <w:t xml:space="preserve">Metodologia de prioritizare (scoring)</w:t>
      </w:r>
    </w:p>
    <w:p>
      <w:pPr>
        <w:spacing w:after="70" w:line="276"/>
        <w:jc w:val="both"/>
      </w:pPr>
      <w:r>
        <w:rPr>
          <w:b/>
          <w:bCs/>
        </w:rPr>
        <w:t xml:space="preserve">(1) </w:t>
      </w:r>
      <w:r>
        <w:t xml:space="preserve">Fiecare proiect propus pentru finanțare din FRN primește un scor pe baza următoarelor criterii ponderate: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413"/>
        <w:gridCol w:w="2413"/>
      </w:tblGrid>
      <w:tr>
        <w:tc>
          <w:tcPr>
            <w:tcW w:type="dxa" w:w="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Nr.</w:t>
            </w:r>
          </w:p>
        </w:tc>
        <w:tc>
          <w:tcPr>
            <w:tcW w:type="dxa" w:w="3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Criteriu</w:t>
            </w:r>
          </w:p>
        </w:tc>
        <w:tc>
          <w:tcPr>
            <w:tcW w:type="dxa" w:w="241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Pondere</w:t>
            </w:r>
          </w:p>
        </w:tc>
        <w:tc>
          <w:tcPr>
            <w:tcW w:type="dxa" w:w="241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Scor maxim</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Rata beneficiu/cost (RBC) din studiul de fezabilitate</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25%</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25 puncte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2</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Populație deservită direct (în raza de 10 km)</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 puncte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3</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Stadiul de pregătire tehnică (SF/PT/AC)</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15 puncte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4</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Conectivitate cu rețeaua TEN-T sau drumuri naționale</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 puncte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5</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Grad de subdezvoltare al zonei (PIB/cap județean)</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 puncte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6</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Siguranța rutieră (nr. accidente grave pe sector în ultimii 5 ani)</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 puncte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7</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Cofinanțare asigurată (UE, buget local)</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10 puncte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8</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Impact asupra transportului public (rute esențiale)</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5%</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5 puncte</w:t>
            </w:r>
          </w:p>
        </w:tc>
      </w:tr>
    </w:tbl>
    <w:p>
      <w:pPr>
        <w:spacing w:after="80"/>
      </w:pPr>
    </w:p>
    <w:p>
      <w:pPr>
        <w:spacing w:after="70" w:line="276"/>
        <w:jc w:val="both"/>
      </w:pPr>
      <w:r>
        <w:rPr>
          <w:b/>
          <w:bCs/>
        </w:rPr>
        <w:t xml:space="preserve">(2) </w:t>
      </w:r>
      <w:r>
        <w:t xml:space="preserve">Proiectele cu scor sub 35 de puncte nu pot fi finanțate din FRN decât în situații excepționale (urgențe determinate de calamități naturale), cu aprobarea a două treimi din membrii CA-FRN.</w:t>
      </w:r>
    </w:p>
    <w:p>
      <w:pPr>
        <w:spacing w:after="70" w:line="276"/>
        <w:jc w:val="both"/>
      </w:pPr>
      <w:r>
        <w:rPr>
          <w:b/>
          <w:bCs/>
        </w:rPr>
        <w:t xml:space="preserve">(3) </w:t>
      </w:r>
      <w:r>
        <w:t xml:space="preserve">Grila detaliată de scoring (cu subcriteriile și modalitatea de calcul) se aprobă de CA-FRN în termen de 60 de zile de la constituire și se publică pe portalul de transparență.</w:t>
      </w:r>
    </w:p>
    <w:p>
      <w:pPr>
        <w:spacing w:after="100" w:before="220" w:line="276"/>
      </w:pPr>
      <w:r>
        <w:rPr>
          <w:b/>
          <w:bCs/>
        </w:rPr>
        <w:t xml:space="preserve">Art. 10. </w:t>
      </w:r>
      <w:r>
        <w:rPr>
          <w:b/>
          <w:bCs/>
        </w:rPr>
        <w:t xml:space="preserve">Alocațiile minime pe categorii</w:t>
      </w:r>
    </w:p>
    <w:p>
      <w:pPr>
        <w:spacing w:after="70" w:line="276"/>
        <w:jc w:val="both"/>
      </w:pPr>
      <w:r>
        <w:rPr>
          <w:b/>
          <w:bCs/>
        </w:rPr>
        <w:t xml:space="preserve">(1) </w:t>
      </w:r>
      <w:r>
        <w:t xml:space="preserve">Conform art. 6 din lege, planul anual respectă următoarele plafoane minime: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Categorie</w:t>
            </w:r>
          </w:p>
        </w:tc>
        <w:tc>
          <w:tcPr>
            <w:tcW w:type="dxa" w:w="58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Alocare din bugetul anual FRN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Construcție/modernizare/reabilitare drumuri</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Minim 50%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Subvenții rute esențiale transport public</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Minim 15%</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Flotă transport public interurban</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Maximum 10%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Siguranță rutieră</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Maximum 10%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Întreținere curentă și periodică</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Maximum 15%</w:t>
            </w:r>
          </w:p>
        </w:tc>
      </w:tr>
    </w:tbl>
    <w:p>
      <w:pPr>
        <w:spacing w:after="80"/>
      </w:pPr>
    </w:p>
    <w:p>
      <w:pPr>
        <w:spacing w:after="70" w:line="276"/>
        <w:jc w:val="both"/>
      </w:pPr>
      <w:r>
        <w:rPr>
          <w:b/>
          <w:bCs/>
        </w:rPr>
        <w:t xml:space="preserve">(2) </w:t>
      </w:r>
      <w:r>
        <w:t xml:space="preserve">Sumele nealocate până la plafoane pot fi redistribuite către construcție/modernizare/reabilitare drumuri, cu aprobarea CA-FRN.</w:t>
      </w:r>
    </w:p>
    <w:p>
      <w:r>
        <w:br w:type="page"/>
      </w:r>
    </w:p>
    <w:p>
      <w:pPr>
        <w:pStyle w:val="Heading2"/>
      </w:pPr>
      <w:r>
        <w:t xml:space="preserve">CAPITOLUL V — Identificarea și subvenționarea rutelor esențiale</w:t>
      </w:r>
    </w:p>
    <w:p>
      <w:pPr>
        <w:spacing w:after="100" w:before="220" w:line="276"/>
      </w:pPr>
      <w:r>
        <w:rPr>
          <w:b/>
          <w:bCs/>
        </w:rPr>
        <w:t xml:space="preserve">Art. 11. </w:t>
      </w:r>
      <w:r>
        <w:rPr>
          <w:b/>
          <w:bCs/>
        </w:rPr>
        <w:t xml:space="preserve">Procedura de identificare</w:t>
      </w:r>
    </w:p>
    <w:p>
      <w:pPr>
        <w:spacing w:after="70" w:line="276"/>
        <w:jc w:val="both"/>
      </w:pPr>
      <w:r>
        <w:rPr>
          <w:b/>
          <w:bCs/>
        </w:rPr>
        <w:t xml:space="preserve">(1) </w:t>
      </w:r>
      <w:r>
        <w:t xml:space="preserve">MTI, prin Autoritatea Rutieră Română (ARR), realizează anual, până la 1 august, un studiu de acoperire a teritoriului cu servicii de transport public interurban, pe baza datelor de la:</w:t>
      </w:r>
    </w:p>
    <w:p>
      <w:pPr>
        <w:spacing w:after="50" w:line="276"/>
        <w:ind w:left="720"/>
        <w:jc w:val="both"/>
      </w:pPr>
      <w:r>
        <w:rPr>
          <w:b/>
          <w:bCs/>
        </w:rPr>
        <w:t xml:space="preserve">a) </w:t>
      </w:r>
      <w:r>
        <w:t xml:space="preserve">autoritățile județene de transport (consiliile județene);</w:t>
      </w:r>
    </w:p>
    <w:p>
      <w:pPr>
        <w:spacing w:after="50" w:line="276"/>
        <w:ind w:left="720"/>
        <w:jc w:val="both"/>
      </w:pPr>
      <w:r>
        <w:rPr>
          <w:b/>
          <w:bCs/>
        </w:rPr>
        <w:t xml:space="preserve">b) </w:t>
      </w:r>
      <w:r>
        <w:t xml:space="preserve">operatorii de transport licențiați;</w:t>
      </w:r>
    </w:p>
    <w:p>
      <w:pPr>
        <w:spacing w:after="50" w:line="276"/>
        <w:ind w:left="720"/>
        <w:jc w:val="both"/>
      </w:pPr>
      <w:r>
        <w:rPr>
          <w:b/>
          <w:bCs/>
        </w:rPr>
        <w:t xml:space="preserve">c) </w:t>
      </w:r>
      <w:r>
        <w:t xml:space="preserve">INS (date de populație la nivel de localitate);</w:t>
      </w:r>
    </w:p>
    <w:p>
      <w:pPr>
        <w:spacing w:after="50" w:line="276"/>
        <w:ind w:left="720"/>
        <w:jc w:val="both"/>
      </w:pPr>
      <w:r>
        <w:rPr>
          <w:b/>
          <w:bCs/>
        </w:rPr>
        <w:t xml:space="preserve">d) </w:t>
      </w:r>
      <w:r>
        <w:t xml:space="preserve">CNAIR/consiliile județene (rețeaua de drumuri);</w:t>
      </w:r>
    </w:p>
    <w:p>
      <w:pPr>
        <w:spacing w:after="50" w:line="276"/>
        <w:ind w:left="720"/>
        <w:jc w:val="both"/>
      </w:pPr>
      <w:r>
        <w:rPr>
          <w:b/>
          <w:bCs/>
        </w:rPr>
        <w:t xml:space="preserve">e) </w:t>
      </w:r>
      <w:r>
        <w:t xml:space="preserve">CFR Călători (rețeaua feroviară funcțională — atenție: se iau în calcul doar gările/haltele cu cel puțin 2 opriri/zi pe sens).</w:t>
      </w:r>
    </w:p>
    <w:p>
      <w:pPr>
        <w:spacing w:after="70" w:line="276"/>
        <w:jc w:val="both"/>
      </w:pPr>
      <w:r>
        <w:rPr>
          <w:b/>
          <w:bCs/>
        </w:rPr>
        <w:t xml:space="preserve">(2) </w:t>
      </w:r>
      <w:r>
        <w:t xml:space="preserve">O rută este clasificată drept esențială dacă îndeplinește cumulativ criteriile de la art. 9 alin. (1) din lege:</w:t>
      </w:r>
    </w:p>
    <w:p>
      <w:pPr>
        <w:spacing w:after="50" w:line="276"/>
        <w:ind w:left="720"/>
        <w:jc w:val="both"/>
      </w:pPr>
      <w:r>
        <w:rPr>
          <w:b/>
          <w:bCs/>
        </w:rPr>
        <w:t xml:space="preserve">a) </w:t>
      </w:r>
      <w:r>
        <w:rPr>
          <w:b/>
          <w:bCs/>
        </w:rPr>
        <w:t xml:space="preserve">Lipsa accesului feroviar: </w:t>
      </w:r>
      <w:r>
        <w:t xml:space="preserve">localitatea de origine sau de destinație nu este deservită de o gară/haltă feroviară cu minimum 2 opriri/zi pe sens;</w:t>
      </w:r>
    </w:p>
    <w:p>
      <w:pPr>
        <w:spacing w:after="50" w:line="276"/>
        <w:ind w:left="720"/>
        <w:jc w:val="both"/>
      </w:pPr>
      <w:r>
        <w:rPr>
          <w:b/>
          <w:bCs/>
        </w:rPr>
        <w:t xml:space="preserve">b) </w:t>
      </w:r>
      <w:r>
        <w:rPr>
          <w:b/>
          <w:bCs/>
        </w:rPr>
        <w:t xml:space="preserve">Populație: </w:t>
      </w:r>
      <w:r>
        <w:t xml:space="preserve">cel puțin una dintre localitățile de pe rută are peste 500 de locuitori (conform ultimului recensământ INS);</w:t>
      </w:r>
    </w:p>
    <w:p>
      <w:pPr>
        <w:spacing w:after="50" w:line="276"/>
        <w:ind w:left="720"/>
        <w:jc w:val="both"/>
      </w:pPr>
      <w:r>
        <w:rPr>
          <w:b/>
          <w:bCs/>
        </w:rPr>
        <w:t xml:space="preserve">c) </w:t>
      </w:r>
      <w:r>
        <w:rPr>
          <w:b/>
          <w:bCs/>
        </w:rPr>
        <w:t xml:space="preserve">Acces la servicii esențiale: </w:t>
      </w:r>
      <w:r>
        <w:t xml:space="preserve">ruta asigură legătura cu cel mai apropiat centru urban cu spital (minimum ambulatoriu permanent), liceu și piață/centru comercial;</w:t>
      </w:r>
    </w:p>
    <w:p>
      <w:pPr>
        <w:spacing w:after="50" w:line="276"/>
        <w:ind w:left="720"/>
        <w:jc w:val="both"/>
      </w:pPr>
      <w:r>
        <w:rPr>
          <w:b/>
          <w:bCs/>
        </w:rPr>
        <w:t xml:space="preserve">d) </w:t>
      </w:r>
      <w:r>
        <w:rPr>
          <w:b/>
          <w:bCs/>
        </w:rPr>
        <w:t xml:space="preserve">Lipsă de viabilitate comercială: </w:t>
      </w:r>
      <w:r>
        <w:t xml:space="preserve">nu există operator privat care să opereze ruta cu frecvența minimă de 2 curse/zi pe sens, fără subvenție, în ultimele 12 luni.</w:t>
      </w:r>
    </w:p>
    <w:p>
      <w:pPr>
        <w:spacing w:after="70" w:line="276"/>
        <w:jc w:val="both"/>
      </w:pPr>
      <w:r>
        <w:rPr>
          <w:b/>
          <w:bCs/>
        </w:rPr>
        <w:t xml:space="preserve">(3) </w:t>
      </w:r>
      <w:r>
        <w:t xml:space="preserve">Lista rutelor esențiale se aprobă de CA-FRN până la 1 octombrie și se publică pe portalul de transparență sub forma unei hărți interactive.</w:t>
      </w:r>
    </w:p>
    <w:p>
      <w:pPr>
        <w:spacing w:after="100" w:before="220" w:line="276"/>
      </w:pPr>
      <w:r>
        <w:rPr>
          <w:b/>
          <w:bCs/>
        </w:rPr>
        <w:t xml:space="preserve">Art. 12. </w:t>
      </w:r>
      <w:r>
        <w:rPr>
          <w:b/>
          <w:bCs/>
        </w:rPr>
        <w:t xml:space="preserve">Procedura de atribuire a subvențiilor</w:t>
      </w:r>
    </w:p>
    <w:p>
      <w:pPr>
        <w:spacing w:after="70" w:line="276"/>
        <w:jc w:val="both"/>
      </w:pPr>
      <w:r>
        <w:rPr>
          <w:b/>
          <w:bCs/>
        </w:rPr>
        <w:t xml:space="preserve">(1) </w:t>
      </w:r>
      <w:r>
        <w:t xml:space="preserve">Subvențiile se acordă prin licitație publică deschisă, organizată de consiliile județene, cu asistența tehnică a ARR, conform următorului calendar:</w:t>
      </w:r>
    </w:p>
    <w:p>
      <w:pPr>
        <w:spacing w:after="50" w:line="276"/>
        <w:ind w:left="720"/>
        <w:jc w:val="both"/>
      </w:pPr>
      <w:r>
        <w:rPr>
          <w:b/>
          <w:bCs/>
        </w:rPr>
        <w:t xml:space="preserve">a) </w:t>
      </w:r>
      <w:r>
        <w:t xml:space="preserve">1–31 octombrie: publicarea anunțului de licitație;</w:t>
      </w:r>
    </w:p>
    <w:p>
      <w:pPr>
        <w:spacing w:after="50" w:line="276"/>
        <w:ind w:left="720"/>
        <w:jc w:val="both"/>
      </w:pPr>
      <w:r>
        <w:rPr>
          <w:b/>
          <w:bCs/>
        </w:rPr>
        <w:t xml:space="preserve">b) </w:t>
      </w:r>
      <w:r>
        <w:t xml:space="preserve">1–30 noiembrie: depunerea ofertelor;</w:t>
      </w:r>
    </w:p>
    <w:p>
      <w:pPr>
        <w:spacing w:after="50" w:line="276"/>
        <w:ind w:left="720"/>
        <w:jc w:val="both"/>
      </w:pPr>
      <w:r>
        <w:rPr>
          <w:b/>
          <w:bCs/>
        </w:rPr>
        <w:t xml:space="preserve">c) </w:t>
      </w:r>
      <w:r>
        <w:t xml:space="preserve">1–15 decembrie: evaluarea și atribuirea;</w:t>
      </w:r>
    </w:p>
    <w:p>
      <w:pPr>
        <w:spacing w:after="50" w:line="276"/>
        <w:ind w:left="720"/>
        <w:jc w:val="both"/>
      </w:pPr>
      <w:r>
        <w:rPr>
          <w:b/>
          <w:bCs/>
        </w:rPr>
        <w:t xml:space="preserve">d) </w:t>
      </w:r>
      <w:r>
        <w:t xml:space="preserve">1 ianuarie: începerea operării.</w:t>
      </w:r>
    </w:p>
    <w:p>
      <w:pPr>
        <w:spacing w:after="70" w:line="276"/>
        <w:jc w:val="both"/>
      </w:pPr>
      <w:r>
        <w:rPr>
          <w:b/>
          <w:bCs/>
        </w:rPr>
        <w:t xml:space="preserve">(2) </w:t>
      </w:r>
      <w:r>
        <w:t xml:space="preserve">Criteriul de atribuire este oferta cea mai avantajoasă economic, evaluată pe baza:</w:t>
      </w:r>
    </w:p>
    <w:p>
      <w:pPr>
        <w:spacing w:after="50" w:line="276"/>
        <w:ind w:left="720"/>
        <w:jc w:val="both"/>
      </w:pPr>
      <w:r>
        <w:rPr>
          <w:b/>
          <w:bCs/>
        </w:rPr>
        <w:t xml:space="preserve">a) </w:t>
      </w:r>
      <w:r>
        <w:t xml:space="preserve">preț (subvenția solicitată per km operat) — 50%;</w:t>
      </w:r>
    </w:p>
    <w:p>
      <w:pPr>
        <w:spacing w:after="50" w:line="276"/>
        <w:ind w:left="720"/>
        <w:jc w:val="both"/>
      </w:pPr>
      <w:r>
        <w:rPr>
          <w:b/>
          <w:bCs/>
        </w:rPr>
        <w:t xml:space="preserve">b) </w:t>
      </w:r>
      <w:r>
        <w:t xml:space="preserve">calitate (vârsta și starea flotei, accesibilitate persoane cu dizabilități) — 30%;</w:t>
      </w:r>
    </w:p>
    <w:p>
      <w:pPr>
        <w:spacing w:after="50" w:line="276"/>
        <w:ind w:left="720"/>
        <w:jc w:val="both"/>
      </w:pPr>
      <w:r>
        <w:rPr>
          <w:b/>
          <w:bCs/>
        </w:rPr>
        <w:t xml:space="preserve">c) </w:t>
      </w:r>
      <w:r>
        <w:t xml:space="preserve">frecvența suplimentară oferită peste minimul cerut — 20%.</w:t>
      </w:r>
    </w:p>
    <w:p>
      <w:pPr>
        <w:spacing w:after="70" w:line="276"/>
        <w:jc w:val="both"/>
      </w:pPr>
      <w:r>
        <w:rPr>
          <w:b/>
          <w:bCs/>
        </w:rPr>
        <w:t xml:space="preserve">(3) </w:t>
      </w:r>
      <w:r>
        <w:t xml:space="preserve">Contractele de subvenționare se încheie pe o durată de 3 ani, cu posibilitate de prelungire cu 2 ani dacă indicatorii de performanță sunt îndepliniți.</w:t>
      </w:r>
    </w:p>
    <w:p>
      <w:pPr>
        <w:spacing w:after="100" w:before="220" w:line="276"/>
      </w:pPr>
      <w:r>
        <w:rPr>
          <w:b/>
          <w:bCs/>
        </w:rPr>
        <w:t xml:space="preserve">Art. 13. </w:t>
      </w:r>
      <w:r>
        <w:rPr>
          <w:b/>
          <w:bCs/>
        </w:rPr>
        <w:t xml:space="preserve">Indicatorii de performanță ai operatorilor</w:t>
      </w:r>
    </w:p>
    <w:p>
      <w:pPr>
        <w:spacing w:after="70" w:line="276"/>
        <w:jc w:val="both"/>
      </w:pPr>
      <w:r>
        <w:rPr>
          <w:b/>
          <w:bCs/>
        </w:rPr>
        <w:t xml:space="preserve">(1) </w:t>
      </w:r>
      <w:r>
        <w:t xml:space="preserve">Operatorii subvenționați trebuie să respecte următorii indicatori:</w:t>
      </w:r>
    </w:p>
    <w:p>
      <w:pPr>
        <w:spacing w:after="50" w:line="276"/>
        <w:ind w:left="720"/>
        <w:jc w:val="both"/>
      </w:pPr>
      <w:r>
        <w:rPr>
          <w:b/>
          <w:bCs/>
        </w:rPr>
        <w:t xml:space="preserve">a) </w:t>
      </w:r>
      <w:r>
        <w:rPr>
          <w:b/>
          <w:bCs/>
        </w:rPr>
        <w:t xml:space="preserve">Punctualitate: </w:t>
      </w:r>
      <w:r>
        <w:t xml:space="preserve">minimum 90% din curse pornesc cu maximum 10 minute întârziere;</w:t>
      </w:r>
    </w:p>
    <w:p>
      <w:pPr>
        <w:spacing w:after="50" w:line="276"/>
        <w:ind w:left="720"/>
        <w:jc w:val="both"/>
      </w:pPr>
      <w:r>
        <w:rPr>
          <w:b/>
          <w:bCs/>
        </w:rPr>
        <w:t xml:space="preserve">b) </w:t>
      </w:r>
      <w:r>
        <w:rPr>
          <w:b/>
          <w:bCs/>
        </w:rPr>
        <w:t xml:space="preserve">Curse anulate: </w:t>
      </w:r>
      <w:r>
        <w:t xml:space="preserve">maximum 3% pe lună din totalul curselor programate;</w:t>
      </w:r>
    </w:p>
    <w:p>
      <w:pPr>
        <w:spacing w:after="50" w:line="276"/>
        <w:ind w:left="720"/>
        <w:jc w:val="both"/>
      </w:pPr>
      <w:r>
        <w:rPr>
          <w:b/>
          <w:bCs/>
        </w:rPr>
        <w:t xml:space="preserve">c) </w:t>
      </w:r>
      <w:r>
        <w:rPr>
          <w:b/>
          <w:bCs/>
        </w:rPr>
        <w:t xml:space="preserve">Curățenie și stare tehnică: </w:t>
      </w:r>
      <w:r>
        <w:t xml:space="preserve">minimum nota 7/10 la inspecțiile trimestriale ale ARR;</w:t>
      </w:r>
    </w:p>
    <w:p>
      <w:pPr>
        <w:spacing w:after="50" w:line="276"/>
        <w:ind w:left="720"/>
        <w:jc w:val="both"/>
      </w:pPr>
      <w:r>
        <w:rPr>
          <w:b/>
          <w:bCs/>
        </w:rPr>
        <w:t xml:space="preserve">d) </w:t>
      </w:r>
      <w:r>
        <w:rPr>
          <w:b/>
          <w:bCs/>
        </w:rPr>
        <w:t xml:space="preserve">Accesibilitate: </w:t>
      </w:r>
      <w:r>
        <w:t xml:space="preserve">cel puțin un vehicul pe rută trebuie să fie accesibil persoanelor cu mobilitate redusă, în termen de 3 ani de la prima atribuire.</w:t>
      </w:r>
    </w:p>
    <w:p>
      <w:pPr>
        <w:spacing w:after="70" w:line="276"/>
        <w:jc w:val="both"/>
      </w:pPr>
      <w:r>
        <w:rPr>
          <w:b/>
          <w:bCs/>
        </w:rPr>
        <w:t xml:space="preserve">(2) </w:t>
      </w:r>
      <w:r>
        <w:t xml:space="preserve">Neîndeplinirea indicatorilor timp de 2 trimestre consecutive duce la rezilierea contractului și organizarea unei noi licitații.</w:t>
      </w:r>
    </w:p>
    <w:p>
      <w:r>
        <w:br w:type="page"/>
      </w:r>
    </w:p>
    <w:p>
      <w:pPr>
        <w:pStyle w:val="Heading2"/>
      </w:pPr>
      <w:r>
        <w:t xml:space="preserve">CAPITOLUL VI — Echilibrul teritorial</w:t>
      </w:r>
    </w:p>
    <w:p>
      <w:pPr>
        <w:spacing w:after="100" w:before="220" w:line="276"/>
      </w:pPr>
      <w:r>
        <w:rPr>
          <w:b/>
          <w:bCs/>
        </w:rPr>
        <w:t xml:space="preserve">Art. 14. </w:t>
      </w:r>
      <w:r>
        <w:rPr>
          <w:b/>
          <w:bCs/>
        </w:rPr>
        <w:t xml:space="preserve">Calculul indicelui de dezvoltare rutieră</w:t>
      </w:r>
    </w:p>
    <w:p>
      <w:pPr>
        <w:spacing w:after="70" w:line="276"/>
        <w:jc w:val="both"/>
      </w:pPr>
      <w:r>
        <w:rPr>
          <w:b/>
          <w:bCs/>
        </w:rPr>
        <w:t xml:space="preserve">(1) </w:t>
      </w:r>
      <w:r>
        <w:t xml:space="preserve">UIP-FRN calculează anual, pentru fiecare județ, un Indice de Dezvoltare Rutieră (IDR), pe baza:</w:t>
      </w:r>
    </w:p>
    <w:p>
      <w:pPr>
        <w:spacing w:after="50" w:line="276"/>
        <w:ind w:left="720"/>
        <w:jc w:val="both"/>
      </w:pPr>
      <w:r>
        <w:rPr>
          <w:b/>
          <w:bCs/>
        </w:rPr>
        <w:t xml:space="preserve">a) </w:t>
      </w:r>
      <w:r>
        <w:t xml:space="preserve">densitatea drumurilor modernizate (km drum modernizat / 100 km² suprafață);</w:t>
      </w:r>
    </w:p>
    <w:p>
      <w:pPr>
        <w:spacing w:after="50" w:line="276"/>
        <w:ind w:left="720"/>
        <w:jc w:val="both"/>
      </w:pPr>
      <w:r>
        <w:rPr>
          <w:b/>
          <w:bCs/>
        </w:rPr>
        <w:t xml:space="preserve">b) </w:t>
      </w:r>
      <w:r>
        <w:t xml:space="preserve">procentul de drumuri județene și comunale în stare bună (din totalul km);</w:t>
      </w:r>
    </w:p>
    <w:p>
      <w:pPr>
        <w:spacing w:after="50" w:line="276"/>
        <w:ind w:left="720"/>
        <w:jc w:val="both"/>
      </w:pPr>
      <w:r>
        <w:rPr>
          <w:b/>
          <w:bCs/>
        </w:rPr>
        <w:t xml:space="preserve">c) </w:t>
      </w:r>
      <w:r>
        <w:t xml:space="preserve">accesul la autostradă sau drum expres (distanța medie de la centrele de comună la cel mai apropiat nod de autostradă).</w:t>
      </w:r>
    </w:p>
    <w:p>
      <w:pPr>
        <w:spacing w:after="70" w:line="276"/>
        <w:jc w:val="both"/>
      </w:pPr>
      <w:r>
        <w:rPr>
          <w:b/>
          <w:bCs/>
        </w:rPr>
        <w:t xml:space="preserve">(2) </w:t>
      </w:r>
      <w:r>
        <w:t xml:space="preserve">Județele se clasifică în 3 tertile (inferior, mediu, superior) pe baza IDR. Cel puțin 30% din fondurile destinate drumurilor se alocă județelor din tertilul inferior.</w:t>
      </w:r>
    </w:p>
    <w:p>
      <w:pPr>
        <w:spacing w:after="70" w:line="276"/>
        <w:jc w:val="both"/>
      </w:pPr>
      <w:r>
        <w:rPr>
          <w:b/>
          <w:bCs/>
        </w:rPr>
        <w:t xml:space="preserve">(3) </w:t>
      </w:r>
      <w:r>
        <w:t xml:space="preserve">Clasificarea pe tertile se publică anual pe portalul de transparență, împreună cu metodologia detaliată de calcul.</w:t>
      </w:r>
    </w:p>
    <w:p>
      <w:pPr>
        <w:pStyle w:val="Heading2"/>
      </w:pPr>
      <w:r>
        <w:t xml:space="preserve">CAPITOLUL VII — Portalul de transparență</w:t>
      </w:r>
    </w:p>
    <w:p>
      <w:pPr>
        <w:spacing w:after="100" w:before="220" w:line="276"/>
      </w:pPr>
      <w:r>
        <w:rPr>
          <w:b/>
          <w:bCs/>
        </w:rPr>
        <w:t xml:space="preserve">Art. 15. </w:t>
      </w:r>
      <w:r>
        <w:rPr>
          <w:b/>
          <w:bCs/>
        </w:rPr>
        <w:t xml:space="preserve">Structura portalului</w:t>
      </w:r>
    </w:p>
    <w:p>
      <w:pPr>
        <w:spacing w:after="70" w:line="276"/>
        <w:jc w:val="both"/>
      </w:pPr>
      <w:r>
        <w:rPr>
          <w:b/>
          <w:bCs/>
        </w:rPr>
        <w:t xml:space="preserve">(1) </w:t>
      </w:r>
      <w:r>
        <w:t xml:space="preserve">Portalul de transparență FRN (frnromania.gov.ro sau echivalent) conține cel puțin următoarele secțiuni:</w:t>
      </w:r>
    </w:p>
    <w:p>
      <w:pPr>
        <w:spacing w:after="50" w:line="276"/>
        <w:ind w:left="720"/>
        <w:jc w:val="both"/>
      </w:pPr>
      <w:r>
        <w:rPr>
          <w:b/>
          <w:bCs/>
        </w:rPr>
        <w:t xml:space="preserve">a) </w:t>
      </w:r>
      <w:r>
        <w:rPr>
          <w:b/>
          <w:bCs/>
        </w:rPr>
        <w:t xml:space="preserve">Venituri: </w:t>
      </w:r>
      <w:r>
        <w:t xml:space="preserve">rapoartele lunare ANAF, cu totalul încasat din accize, suma virată în FRN, și graficul evoluției lunare/anuale;</w:t>
      </w:r>
    </w:p>
    <w:p>
      <w:pPr>
        <w:spacing w:after="50" w:line="276"/>
        <w:ind w:left="720"/>
        <w:jc w:val="both"/>
      </w:pPr>
      <w:r>
        <w:rPr>
          <w:b/>
          <w:bCs/>
        </w:rPr>
        <w:t xml:space="preserve">b) </w:t>
      </w:r>
      <w:r>
        <w:rPr>
          <w:b/>
          <w:bCs/>
        </w:rPr>
        <w:t xml:space="preserve">Proiecte: </w:t>
      </w:r>
      <w:r>
        <w:t xml:space="preserve">lista completă a proiectelor finanțate, cu: denumire, locație (geolocalizare pe hartă), valoare, contractor, termen, stadiu fizic (%), stadiu financiar (%), fotografii actualizate trimestrial;</w:t>
      </w:r>
    </w:p>
    <w:p>
      <w:pPr>
        <w:spacing w:after="50" w:line="276"/>
        <w:ind w:left="720"/>
        <w:jc w:val="both"/>
      </w:pPr>
      <w:r>
        <w:rPr>
          <w:b/>
          <w:bCs/>
        </w:rPr>
        <w:t xml:space="preserve">c) </w:t>
      </w:r>
      <w:r>
        <w:rPr>
          <w:b/>
          <w:bCs/>
        </w:rPr>
        <w:t xml:space="preserve">Contracte: </w:t>
      </w:r>
      <w:r>
        <w:t xml:space="preserve">toate contractele de achiziție publică aferente, în format PDF, cu valori, termene, acte adiționale;</w:t>
      </w:r>
    </w:p>
    <w:p>
      <w:pPr>
        <w:spacing w:after="50" w:line="276"/>
        <w:ind w:left="720"/>
        <w:jc w:val="both"/>
      </w:pPr>
      <w:r>
        <w:rPr>
          <w:b/>
          <w:bCs/>
        </w:rPr>
        <w:t xml:space="preserve">d) </w:t>
      </w:r>
      <w:r>
        <w:rPr>
          <w:b/>
          <w:bCs/>
        </w:rPr>
        <w:t xml:space="preserve">Rute esențiale: </w:t>
      </w:r>
      <w:r>
        <w:t xml:space="preserve">harta interactivă a rutelor subvenționate, cu operatori, orare, grad de ocupare;</w:t>
      </w:r>
    </w:p>
    <w:p>
      <w:pPr>
        <w:spacing w:after="50" w:line="276"/>
        <w:ind w:left="720"/>
        <w:jc w:val="both"/>
      </w:pPr>
      <w:r>
        <w:rPr>
          <w:b/>
          <w:bCs/>
        </w:rPr>
        <w:t xml:space="preserve">e) </w:t>
      </w:r>
      <w:r>
        <w:rPr>
          <w:b/>
          <w:bCs/>
        </w:rPr>
        <w:t xml:space="preserve">Audit: </w:t>
      </w:r>
      <w:r>
        <w:t xml:space="preserve">raportul anual al Curții de Conturi;</w:t>
      </w:r>
    </w:p>
    <w:p>
      <w:pPr>
        <w:spacing w:after="50" w:line="276"/>
        <w:ind w:left="720"/>
        <w:jc w:val="both"/>
      </w:pPr>
      <w:r>
        <w:rPr>
          <w:b/>
          <w:bCs/>
        </w:rPr>
        <w:t xml:space="preserve">f) </w:t>
      </w:r>
      <w:r>
        <w:rPr>
          <w:b/>
          <w:bCs/>
        </w:rPr>
        <w:t xml:space="preserve">Open data: </w:t>
      </w:r>
      <w:r>
        <w:t xml:space="preserve">set de date în format CSV/JSON, descărcabil, actualizat trimestrial, cu licență deschisă (Creative Commons BY 4.0 sau echivalent).</w:t>
      </w:r>
    </w:p>
    <w:p>
      <w:pPr>
        <w:spacing w:after="70" w:line="276"/>
        <w:jc w:val="both"/>
      </w:pPr>
      <w:r>
        <w:rPr>
          <w:b/>
          <w:bCs/>
        </w:rPr>
        <w:t xml:space="preserve">(2) </w:t>
      </w:r>
      <w:r>
        <w:t xml:space="preserve">Portalul este accesibil gratuit, fără cont de utilizator, și respectă standardele WCAG 2.1 nivel AA pentru accesibilitate digitală.</w:t>
      </w:r>
    </w:p>
    <w:p>
      <w:pPr>
        <w:spacing w:after="70" w:line="276"/>
        <w:jc w:val="both"/>
      </w:pPr>
      <w:r>
        <w:rPr>
          <w:b/>
          <w:bCs/>
        </w:rPr>
        <w:t xml:space="preserve">(3) </w:t>
      </w:r>
      <w:r>
        <w:t xml:space="preserve">Portalul include un mecanism de sesizări publice: orice cetățean poate raporta nereguli observate la un proiect (e.g. lucrări întrerupte, calitate slabă), cu număr unic de înregistrare și obligație de răspuns în 30 de zile.</w:t>
      </w:r>
    </w:p>
    <w:p>
      <w:pPr>
        <w:spacing w:after="100" w:before="220" w:line="276"/>
      </w:pPr>
      <w:r>
        <w:rPr>
          <w:b/>
          <w:bCs/>
        </w:rPr>
        <w:t xml:space="preserve">Art. 16. </w:t>
      </w:r>
      <w:r>
        <w:rPr>
          <w:b/>
          <w:bCs/>
        </w:rPr>
        <w:t xml:space="preserve">Frecvența actualizării</w:t>
      </w:r>
    </w:p>
    <w:p>
      <w:pPr>
        <w:spacing w:after="70" w:line="276"/>
        <w:jc w:val="both"/>
      </w:pPr>
      <w:r>
        <w:rPr>
          <w:b/>
          <w:bCs/>
        </w:rPr>
        <w:t xml:space="preserve">(1) </w:t>
      </w:r>
      <w:r>
        <w:t xml:space="preserve">Datele pe portal se actualizează cu următoarea frecvență:</w:t>
      </w:r>
    </w:p>
    <w:p>
      <w:pPr>
        <w:spacing w:after="50" w:line="276"/>
        <w:ind w:left="720"/>
        <w:jc w:val="both"/>
      </w:pPr>
      <w:r>
        <w:rPr>
          <w:b/>
          <w:bCs/>
        </w:rPr>
        <w:t xml:space="preserve">a) </w:t>
      </w:r>
      <w:r>
        <w:t xml:space="preserve">venituri lunare ANAF: lunar, până la data de 15;</w:t>
      </w:r>
    </w:p>
    <w:p>
      <w:pPr>
        <w:spacing w:after="50" w:line="276"/>
        <w:ind w:left="720"/>
        <w:jc w:val="both"/>
      </w:pPr>
      <w:r>
        <w:rPr>
          <w:b/>
          <w:bCs/>
        </w:rPr>
        <w:t xml:space="preserve">b) </w:t>
      </w:r>
      <w:r>
        <w:t xml:space="preserve">stadiul proiectelor: trimestrial, până la sfârșitul lunii următoare trimestrului;</w:t>
      </w:r>
    </w:p>
    <w:p>
      <w:pPr>
        <w:spacing w:after="50" w:line="276"/>
        <w:ind w:left="720"/>
        <w:jc w:val="both"/>
      </w:pPr>
      <w:r>
        <w:rPr>
          <w:b/>
          <w:bCs/>
        </w:rPr>
        <w:t xml:space="preserve">c) </w:t>
      </w:r>
      <w:r>
        <w:t xml:space="preserve">contracte noi: în termen de 15 zile de la semnare;</w:t>
      </w:r>
    </w:p>
    <w:p>
      <w:pPr>
        <w:spacing w:after="50" w:line="276"/>
        <w:ind w:left="720"/>
        <w:jc w:val="both"/>
      </w:pPr>
      <w:r>
        <w:rPr>
          <w:b/>
          <w:bCs/>
        </w:rPr>
        <w:t xml:space="preserve">d) </w:t>
      </w:r>
      <w:r>
        <w:t xml:space="preserve">rute esențiale și orare: la fiecare modificare, dar cel puțin semestrial;</w:t>
      </w:r>
    </w:p>
    <w:p>
      <w:pPr>
        <w:spacing w:after="50" w:line="276"/>
        <w:ind w:left="720"/>
        <w:jc w:val="both"/>
      </w:pPr>
      <w:r>
        <w:rPr>
          <w:b/>
          <w:bCs/>
        </w:rPr>
        <w:t xml:space="preserve">e) </w:t>
      </w:r>
      <w:r>
        <w:t xml:space="preserve">raportul de audit: în termen de 5 zile de la publicarea de către Curtea de Conturi.</w:t>
      </w:r>
    </w:p>
    <w:p>
      <w:r>
        <w:br w:type="page"/>
      </w:r>
    </w:p>
    <w:p>
      <w:pPr>
        <w:pStyle w:val="Heading2"/>
      </w:pPr>
      <w:r>
        <w:t xml:space="preserve">CAPITOLUL VIII — Raportarea și auditul</w:t>
      </w:r>
    </w:p>
    <w:p>
      <w:pPr>
        <w:spacing w:after="100" w:before="220" w:line="276"/>
      </w:pPr>
      <w:r>
        <w:rPr>
          <w:b/>
          <w:bCs/>
        </w:rPr>
        <w:t xml:space="preserve">Art. 17. </w:t>
      </w:r>
      <w:r>
        <w:rPr>
          <w:b/>
          <w:bCs/>
        </w:rPr>
        <w:t xml:space="preserve">Raportul trimestrial</w:t>
      </w:r>
    </w:p>
    <w:p>
      <w:pPr>
        <w:spacing w:after="70" w:line="276"/>
        <w:jc w:val="both"/>
      </w:pPr>
      <w:r>
        <w:rPr>
          <w:b/>
          <w:bCs/>
        </w:rPr>
        <w:t xml:space="preserve">(1) </w:t>
      </w:r>
      <w:r>
        <w:t xml:space="preserve">UIP-FRN elaborează un raport trimestrial de execuție a FRN, care conține:</w:t>
      </w:r>
    </w:p>
    <w:p>
      <w:pPr>
        <w:spacing w:after="50" w:line="276"/>
        <w:ind w:left="720"/>
        <w:jc w:val="both"/>
      </w:pPr>
      <w:r>
        <w:rPr>
          <w:b/>
          <w:bCs/>
        </w:rPr>
        <w:t xml:space="preserve">a) </w:t>
      </w:r>
      <w:r>
        <w:t xml:space="preserve">veniturile încasate și virate în trimestrul de referință;</w:t>
      </w:r>
    </w:p>
    <w:p>
      <w:pPr>
        <w:spacing w:after="50" w:line="276"/>
        <w:ind w:left="720"/>
        <w:jc w:val="both"/>
      </w:pPr>
      <w:r>
        <w:rPr>
          <w:b/>
          <w:bCs/>
        </w:rPr>
        <w:t xml:space="preserve">b) </w:t>
      </w:r>
      <w:r>
        <w:t xml:space="preserve">sumele plătite pe fiecare proiect și stadiul fizic;</w:t>
      </w:r>
    </w:p>
    <w:p>
      <w:pPr>
        <w:spacing w:after="50" w:line="276"/>
        <w:ind w:left="720"/>
        <w:jc w:val="both"/>
      </w:pPr>
      <w:r>
        <w:rPr>
          <w:b/>
          <w:bCs/>
        </w:rPr>
        <w:t xml:space="preserve">c) </w:t>
      </w:r>
      <w:r>
        <w:t xml:space="preserve">sumele plătite pentru subvenții transport public și indicatorii de performanță ai operatorilor;</w:t>
      </w:r>
    </w:p>
    <w:p>
      <w:pPr>
        <w:spacing w:after="50" w:line="276"/>
        <w:ind w:left="720"/>
        <w:jc w:val="both"/>
      </w:pPr>
      <w:r>
        <w:rPr>
          <w:b/>
          <w:bCs/>
        </w:rPr>
        <w:t xml:space="preserve">d) </w:t>
      </w:r>
      <w:r>
        <w:t xml:space="preserve">soldul contului FRN la sfârșitul trimestrului;</w:t>
      </w:r>
    </w:p>
    <w:p>
      <w:pPr>
        <w:spacing w:after="50" w:line="276"/>
        <w:ind w:left="720"/>
        <w:jc w:val="both"/>
      </w:pPr>
      <w:r>
        <w:rPr>
          <w:b/>
          <w:bCs/>
        </w:rPr>
        <w:t xml:space="preserve">e) </w:t>
      </w:r>
      <w:r>
        <w:t xml:space="preserve">eventualele abateri de la planul de investiții și cauzele acestora.</w:t>
      </w:r>
    </w:p>
    <w:p>
      <w:pPr>
        <w:spacing w:after="70" w:line="276"/>
        <w:jc w:val="both"/>
      </w:pPr>
      <w:r>
        <w:rPr>
          <w:b/>
          <w:bCs/>
        </w:rPr>
        <w:t xml:space="preserve">(2) </w:t>
      </w:r>
      <w:r>
        <w:t xml:space="preserve">Raportul se aprobă de CA-FRN și se publică pe portal în termen de 30 de zile de la încheierea trimestrului.</w:t>
      </w:r>
    </w:p>
    <w:p>
      <w:pPr>
        <w:spacing w:after="100" w:before="220" w:line="276"/>
      </w:pPr>
      <w:r>
        <w:rPr>
          <w:b/>
          <w:bCs/>
        </w:rPr>
        <w:t xml:space="preserve">Art. 18. </w:t>
      </w:r>
      <w:r>
        <w:rPr>
          <w:b/>
          <w:bCs/>
        </w:rPr>
        <w:t xml:space="preserve">Raportul semestrial parlamentar</w:t>
      </w:r>
    </w:p>
    <w:p>
      <w:pPr>
        <w:spacing w:after="70" w:line="276"/>
        <w:jc w:val="both"/>
      </w:pPr>
      <w:r>
        <w:rPr>
          <w:b/>
          <w:bCs/>
        </w:rPr>
        <w:t xml:space="preserve">(1) </w:t>
      </w:r>
      <w:r>
        <w:t xml:space="preserve">Ministrul Transporturilor prezintă personal raportul semestrial în fața comisiilor reunite de Transporturi și Buget-Finanțe ale Camerei Deputaților și Senatului.</w:t>
      </w:r>
    </w:p>
    <w:p>
      <w:pPr>
        <w:spacing w:after="70" w:line="276"/>
        <w:jc w:val="both"/>
      </w:pPr>
      <w:r>
        <w:rPr>
          <w:b/>
          <w:bCs/>
        </w:rPr>
        <w:t xml:space="preserve">(2) </w:t>
      </w:r>
      <w:r>
        <w:t xml:space="preserve">Raportul semestrial este structurat pe:</w:t>
      </w:r>
    </w:p>
    <w:p>
      <w:pPr>
        <w:spacing w:after="50" w:line="276"/>
        <w:ind w:left="720"/>
        <w:jc w:val="both"/>
      </w:pPr>
      <w:r>
        <w:rPr>
          <w:b/>
          <w:bCs/>
        </w:rPr>
        <w:t xml:space="preserve">a) </w:t>
      </w:r>
      <w:r>
        <w:t xml:space="preserve">execuția financiară (plan vs. realizat);</w:t>
      </w:r>
    </w:p>
    <w:p>
      <w:pPr>
        <w:spacing w:after="50" w:line="276"/>
        <w:ind w:left="720"/>
        <w:jc w:val="both"/>
      </w:pPr>
      <w:r>
        <w:rPr>
          <w:b/>
          <w:bCs/>
        </w:rPr>
        <w:t xml:space="preserve">b) </w:t>
      </w:r>
      <w:r>
        <w:t xml:space="preserve">top 10 proiecte ca valoare, cu fotografii și stadiu;</w:t>
      </w:r>
    </w:p>
    <w:p>
      <w:pPr>
        <w:spacing w:after="50" w:line="276"/>
        <w:ind w:left="720"/>
        <w:jc w:val="both"/>
      </w:pPr>
      <w:r>
        <w:rPr>
          <w:b/>
          <w:bCs/>
        </w:rPr>
        <w:t xml:space="preserve">c) </w:t>
      </w:r>
      <w:r>
        <w:t xml:space="preserve">indicatori agregați: km de drum construiți/reabilitați, număr de rute esențiale operaționale, număr de călători pe rutele subvenționate;</w:t>
      </w:r>
    </w:p>
    <w:p>
      <w:pPr>
        <w:spacing w:after="50" w:line="276"/>
        <w:ind w:left="720"/>
        <w:jc w:val="both"/>
      </w:pPr>
      <w:r>
        <w:rPr>
          <w:b/>
          <w:bCs/>
        </w:rPr>
        <w:t xml:space="preserve">d) </w:t>
      </w:r>
      <w:r>
        <w:t xml:space="preserve">recomandări de ajustare a planului pentru semestrul următor.</w:t>
      </w:r>
    </w:p>
    <w:p>
      <w:pPr>
        <w:spacing w:after="70" w:line="276"/>
        <w:jc w:val="both"/>
      </w:pPr>
      <w:r>
        <w:rPr>
          <w:b/>
          <w:bCs/>
        </w:rPr>
        <w:t xml:space="preserve">(3) </w:t>
      </w:r>
      <w:r>
        <w:t xml:space="preserve">Comisiile parlamentare pot solicita audieri suplimentare ale directorului UIP-FRN sau ale membrilor CA-FRN.</w:t>
      </w:r>
    </w:p>
    <w:p>
      <w:pPr>
        <w:spacing w:after="100" w:before="220" w:line="276"/>
      </w:pPr>
      <w:r>
        <w:rPr>
          <w:b/>
          <w:bCs/>
        </w:rPr>
        <w:t xml:space="preserve">Art. 19. </w:t>
      </w:r>
      <w:r>
        <w:rPr>
          <w:b/>
          <w:bCs/>
        </w:rPr>
        <w:t xml:space="preserve">Auditul Curții de Conturi</w:t>
      </w:r>
    </w:p>
    <w:p>
      <w:pPr>
        <w:spacing w:after="70" w:line="276"/>
        <w:jc w:val="both"/>
      </w:pPr>
      <w:r>
        <w:rPr>
          <w:b/>
          <w:bCs/>
        </w:rPr>
        <w:t xml:space="preserve">(1) </w:t>
      </w:r>
      <w:r>
        <w:t xml:space="preserve">Curtea de Conturi efectuează anual un audit de conformitate și performanță al FRN, verificând:</w:t>
      </w:r>
    </w:p>
    <w:p>
      <w:pPr>
        <w:spacing w:after="50" w:line="276"/>
        <w:ind w:left="720"/>
        <w:jc w:val="both"/>
      </w:pPr>
      <w:r>
        <w:rPr>
          <w:b/>
          <w:bCs/>
        </w:rPr>
        <w:t xml:space="preserve">a) </w:t>
      </w:r>
      <w:r>
        <w:t xml:space="preserve">corectitudinea calculării și virării sumelor de către ANAF/MF;</w:t>
      </w:r>
    </w:p>
    <w:p>
      <w:pPr>
        <w:spacing w:after="50" w:line="276"/>
        <w:ind w:left="720"/>
        <w:jc w:val="both"/>
      </w:pPr>
      <w:r>
        <w:rPr>
          <w:b/>
          <w:bCs/>
        </w:rPr>
        <w:t xml:space="preserve">b) </w:t>
      </w:r>
      <w:r>
        <w:t xml:space="preserve">respectarea destinațiilor prevăzute la art. 6 din lege;</w:t>
      </w:r>
    </w:p>
    <w:p>
      <w:pPr>
        <w:spacing w:after="50" w:line="276"/>
        <w:ind w:left="720"/>
        <w:jc w:val="both"/>
      </w:pPr>
      <w:r>
        <w:rPr>
          <w:b/>
          <w:bCs/>
        </w:rPr>
        <w:t xml:space="preserve">c) </w:t>
      </w:r>
      <w:r>
        <w:t xml:space="preserve">respectarea procedurii de prioritizare și a plafonelor minime;</w:t>
      </w:r>
    </w:p>
    <w:p>
      <w:pPr>
        <w:spacing w:after="50" w:line="276"/>
        <w:ind w:left="720"/>
        <w:jc w:val="both"/>
      </w:pPr>
      <w:r>
        <w:rPr>
          <w:b/>
          <w:bCs/>
        </w:rPr>
        <w:t xml:space="preserve">d) </w:t>
      </w:r>
      <w:r>
        <w:t xml:space="preserve">conformitatea achizițiilor publice cu legislația în vigoare;</w:t>
      </w:r>
    </w:p>
    <w:p>
      <w:pPr>
        <w:spacing w:after="50" w:line="276"/>
        <w:ind w:left="720"/>
        <w:jc w:val="both"/>
      </w:pPr>
      <w:r>
        <w:rPr>
          <w:b/>
          <w:bCs/>
        </w:rPr>
        <w:t xml:space="preserve">e) </w:t>
      </w:r>
      <w:r>
        <w:t xml:space="preserve">performanța proiectelor (abaterile de cost și termen față de contractele inițiale).</w:t>
      </w:r>
    </w:p>
    <w:p>
      <w:pPr>
        <w:pStyle w:val="Heading2"/>
      </w:pPr>
      <w:r>
        <w:t xml:space="preserve">CAPITOLUL IX — Procedura de constatare și aplicare a sancțiunilor</w:t>
      </w:r>
    </w:p>
    <w:p>
      <w:pPr>
        <w:spacing w:after="100" w:before="220" w:line="276"/>
      </w:pPr>
      <w:r>
        <w:rPr>
          <w:b/>
          <w:bCs/>
        </w:rPr>
        <w:t xml:space="preserve">Art. 20. </w:t>
      </w:r>
      <w:r>
        <w:rPr>
          <w:b/>
          <w:bCs/>
        </w:rPr>
        <w:t xml:space="preserve">Constatarea contravențiilor</w:t>
      </w:r>
    </w:p>
    <w:p>
      <w:pPr>
        <w:spacing w:after="70" w:line="276"/>
        <w:jc w:val="both"/>
      </w:pPr>
      <w:r>
        <w:rPr>
          <w:b/>
          <w:bCs/>
        </w:rPr>
        <w:t xml:space="preserve">(1) </w:t>
      </w:r>
      <w:r>
        <w:t xml:space="preserve">Contravențiile prevăzute la art. 14 din lege se constată de:</w:t>
      </w:r>
    </w:p>
    <w:p>
      <w:pPr>
        <w:spacing w:after="50" w:line="276"/>
        <w:ind w:left="720"/>
        <w:jc w:val="both"/>
      </w:pPr>
      <w:r>
        <w:rPr>
          <w:b/>
          <w:bCs/>
        </w:rPr>
        <w:t xml:space="preserve">a) </w:t>
      </w:r>
      <w:r>
        <w:t xml:space="preserve">Curtea de Conturi — pentru utilizarea fondurilor în alte scopuri și întârzierea virărilor;</w:t>
      </w:r>
    </w:p>
    <w:p>
      <w:pPr>
        <w:spacing w:after="50" w:line="276"/>
        <w:ind w:left="720"/>
        <w:jc w:val="both"/>
      </w:pPr>
      <w:r>
        <w:rPr>
          <w:b/>
          <w:bCs/>
        </w:rPr>
        <w:t xml:space="preserve">b) </w:t>
      </w:r>
      <w:r>
        <w:t xml:space="preserve">Corpul de control al primului-ministru — pentru nepublicarea datelor pe portal.</w:t>
      </w:r>
    </w:p>
    <w:p>
      <w:pPr>
        <w:spacing w:after="70" w:line="276"/>
        <w:jc w:val="both"/>
      </w:pPr>
      <w:r>
        <w:rPr>
          <w:b/>
          <w:bCs/>
        </w:rPr>
        <w:t xml:space="preserve">(2) </w:t>
      </w:r>
      <w:r>
        <w:t xml:space="preserve">Procesul-verbal de constatare se comunică contravenientului în termen de 15 zile și poate fi contestat la instanța de contencios administrativ competentă în termen de 30 de zile.</w:t>
      </w:r>
    </w:p>
    <w:p>
      <w:pPr>
        <w:pStyle w:val="Heading2"/>
      </w:pPr>
      <w:r>
        <w:t xml:space="preserve">CAPITOLUL X — Dispoziții tranzitorii</w:t>
      </w:r>
    </w:p>
    <w:p>
      <w:pPr>
        <w:spacing w:after="100" w:before="220" w:line="276"/>
      </w:pPr>
      <w:r>
        <w:rPr>
          <w:b/>
          <w:bCs/>
        </w:rPr>
        <w:t xml:space="preserve">Art. 21. </w:t>
      </w:r>
      <w:r>
        <w:rPr>
          <w:b/>
          <w:bCs/>
        </w:rPr>
        <w:t xml:space="preserve">Calendarul de implementare</w:t>
      </w:r>
    </w:p>
    <w:p>
      <w:pPr>
        <w:spacing w:after="70" w:line="276"/>
        <w:jc w:val="both"/>
      </w:pPr>
      <w:r>
        <w:rPr>
          <w:b/>
          <w:bCs/>
        </w:rPr>
        <w:t xml:space="preserve">(1) </w:t>
      </w:r>
      <w:r>
        <w:t xml:space="preserve">Implementarea FRN urmează următorul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13"/>
        <w:gridCol w:w="2413"/>
      </w:tblGrid>
      <w:tr>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Termen</w:t>
            </w:r>
          </w:p>
        </w:tc>
        <w:tc>
          <w:tcPr>
            <w:tcW w:type="dxa" w:w="441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Acțiune</w:t>
            </w:r>
          </w:p>
        </w:tc>
        <w:tc>
          <w:tcPr>
            <w:tcW w:type="dxa" w:w="2413"/>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Responsabil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0</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Publicarea legii în Monitorul Oficial</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Parlamentul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Publicarea HG cu normele metodologice în Monitorul Oficial</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Guvernul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Deschiderea contului FRN la Trezorerie</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MF</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Constituirea CA-FRN</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MTI</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4</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Aprobarea regulamentului intern CA-FRN și a grilei de scoring</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CA-FRN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Prima virare de fonduri în contul FRN</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MF / ANAF</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FRN devine operațional</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MTI</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9</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Lansarea portalului de transparență</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UIP-FRN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Publicarea primei liste de rute esențiale</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MTI / ARR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Aprobarea primului Plan de Investiții FRN</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CA-FRN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15</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Primele licitații pentru rute esențiale finalizate</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Consilii județene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18</w:t>
            </w:r>
          </w:p>
        </w:tc>
        <w:tc>
          <w:tcPr>
            <w:tcW w:type="dxa" w:w="4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Primul raport de audit al Curții de Conturi</w:t>
            </w:r>
          </w:p>
        </w:tc>
        <w:tc>
          <w:tcPr>
            <w:tcW w:type="dxa" w:w="24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Curtea de Conturi</w:t>
            </w:r>
          </w:p>
        </w:tc>
      </w:tr>
    </w:tbl>
    <w:p>
      <w:pPr>
        <w:spacing w:after="80"/>
      </w:pPr>
    </w:p>
    <w:p>
      <w:pPr>
        <w:spacing w:after="70" w:line="276"/>
        <w:jc w:val="both"/>
      </w:pPr>
      <w:r>
        <w:rPr>
          <w:b/>
          <w:bCs/>
        </w:rPr>
        <w:t xml:space="preserve">(2) </w:t>
      </w:r>
      <w:r>
        <w:t xml:space="preserve">În primele 6 luni de la publicarea legii (perioadă tranzitorie), proiectele de infrastructură rutieră aflate deja în derulare și finanțate din bugetul MTI/CNAIR continuă să fie finanțate din sursele existente. FRN preia finanțarea proiectelor noi și a proiectelor existente doar de la data la care devine operațional.</w:t>
      </w:r>
    </w:p>
    <w:p>
      <w:pPr>
        <w:spacing w:after="100" w:before="220" w:line="276"/>
      </w:pPr>
      <w:r>
        <w:rPr>
          <w:b/>
          <w:bCs/>
        </w:rPr>
        <w:t xml:space="preserve">Art. 22. </w:t>
      </w:r>
      <w:r>
        <w:rPr>
          <w:b/>
          <w:bCs/>
        </w:rPr>
        <w:t xml:space="preserve">Situații excepționale</w:t>
      </w:r>
    </w:p>
    <w:p>
      <w:pPr>
        <w:spacing w:after="70" w:line="276"/>
        <w:jc w:val="both"/>
      </w:pPr>
      <w:r>
        <w:rPr>
          <w:b/>
          <w:bCs/>
        </w:rPr>
        <w:t xml:space="preserve">(1) </w:t>
      </w:r>
      <w:r>
        <w:t xml:space="preserve">În caz de calamități naturale sau situații de urgență declarate conform legii, CA-FRN poate aproba, cu majoritate de două treimi, realocarea a maximum 20% din bugetul anual către intervenții de urgență pe infrastructura rutieră afectată.</w:t>
      </w:r>
    </w:p>
    <w:p>
      <w:pPr>
        <w:spacing w:after="70" w:line="276"/>
        <w:jc w:val="both"/>
      </w:pPr>
      <w:r>
        <w:rPr>
          <w:b/>
          <w:bCs/>
        </w:rPr>
        <w:t xml:space="preserve">(2) </w:t>
      </w:r>
      <w:r>
        <w:t xml:space="preserve">Realocarea se publică pe portal în termen de 48 de ore și se raportează detaliat în raportul trimestrial următor.</w:t>
      </w:r>
    </w:p>
    <w:p>
      <w:pPr>
        <w:spacing w:before="500"/>
      </w:pPr>
    </w:p>
    <w:p>
      <w:pPr>
        <w:spacing w:after="100" w:line="276"/>
        <w:jc w:val="both"/>
      </w:pPr>
      <w:r>
        <w:rPr>
          <w:b/>
          <w:bCs/>
        </w:rPr>
        <w:t xml:space="preserve">Notă: </w:t>
      </w:r>
      <w:r>
        <w:t xml:space="preserve">Prezentele norme metodologice constituie un document de lucru și nu au valoare juridică în forma actuală. Ele sunt concepute pentru a fi adoptate prin Hotărâre de Guvern după aprobarea Legii Fondului Rutier Național.</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7"/>
        <w:szCs w:val="17"/>
      </w:rPr>
      <w:t xml:space="preserve">Pagina </w:t>
    </w:r>
    <w:r>
      <w:rP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7"/>
        <w:szCs w:val="17"/>
      </w:rPr>
      <w:t xml:space="preserve">Norme metodologice — Fondul Rutier Național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color w:val="2E509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2026-04-03T17:04:43.583Z</dcterms:created>
  <dcterms:modified xsi:type="dcterms:W3CDTF">2026-04-03T17:04:43.584Z</dcterms:modified>
</cp:coreProperties>
</file>

<file path=docProps/custom.xml><?xml version="1.0" encoding="utf-8"?>
<Properties xmlns="http://schemas.openxmlformats.org/officeDocument/2006/custom-properties" xmlns:vt="http://schemas.openxmlformats.org/officeDocument/2006/docPropsVTypes"/>
</file>