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GUVERNUL ROMÂNIEI</w:t>
      </w:r>
    </w:p>
    <w:p>
      <w:pPr>
        <w:pBdr>
          <w:bottom w:val="single" w:color="1F3864" w:sz="4" w:space="8"/>
        </w:pBd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Hotărâre de Guvern</w:t>
      </w:r>
    </w:p>
    <w:p>
      <w:pPr>
        <w:spacing w:before="400"/>
      </w:pP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NORME METODOLOGICE</w:t>
      </w:r>
    </w:p>
    <w:p>
      <w:pPr>
        <w:spacing w:after="80"/>
        <w:jc w:val="center"/>
      </w:pPr>
      <w:r>
        <w:rPr>
          <w:sz w:val="28"/>
          <w:szCs w:val="28"/>
        </w:rPr>
        <w:t xml:space="preserve">de aplicare a Legii Transportului Public Interurban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(Anexă la HG)</w:t>
      </w:r>
    </w:p>
    <w:p>
      <w:pPr>
        <w:spacing w:before="1200"/>
      </w:pPr>
    </w:p>
    <w:p>
      <w:pPr>
        <w:jc w:val="center"/>
      </w:pPr>
      <w:r>
        <w:rPr>
          <w:color w:val="777777"/>
          <w:sz w:val="20"/>
          <w:szCs w:val="20"/>
        </w:rPr>
        <w:t xml:space="preserve">Document de lucru — Aprilie 2026</w:t>
      </w:r>
    </w:p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NORME METODOLOGICE</w:t>
      </w:r>
    </w:p>
    <w:p>
      <w:pPr>
        <w:pStyle w:val="Heading1"/>
      </w:pPr>
      <w:r>
        <w:t xml:space="preserve">de aplicare a Legii Transportului Public Interurban</w:t>
      </w:r>
    </w:p>
    <w:p>
      <w:pPr>
        <w:pStyle w:val="Heading2"/>
      </w:pPr>
      <w:r>
        <w:t xml:space="preserve">CAPITOLUL I — Registrul e-Transport</w:t>
      </w:r>
    </w:p>
    <w:p>
      <w:pPr>
        <w:spacing w:after="100" w:before="220" w:line="276"/>
      </w:pPr>
      <w:r>
        <w:rPr>
          <w:b/>
          <w:bCs/>
        </w:rPr>
        <w:t xml:space="preserve">Art. 1. </w:t>
      </w:r>
      <w:r>
        <w:rPr>
          <w:b/>
          <w:bCs/>
        </w:rPr>
        <w:t xml:space="preserve">Specificații tehnice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Platforma e-Transport (operată ARR) include: registru rute cu toate datele (traseu, operator, frecvență, orar, tarif, GPS tracking, grad ocupare), hartă interactivă zone albe, date GTFS cu API public, mecanism feedback călători (rating 1-5 per cursă prin SMS/aplicație).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Operatorii transmit automat date GPS în timp real. Echiparea vehiculelor cu GPS: obligatorie în 6 luni de la publicare.</w:t>
      </w:r>
    </w:p>
    <w:p>
      <w:pPr>
        <w:pStyle w:val="Heading2"/>
      </w:pPr>
      <w:r>
        <w:t xml:space="preserve">CAPITOLUL II — Procedura de licitație</w:t>
      </w:r>
    </w:p>
    <w:p>
      <w:pPr>
        <w:spacing w:after="100" w:before="220" w:line="276"/>
      </w:pPr>
      <w:r>
        <w:rPr>
          <w:b/>
          <w:bCs/>
        </w:rPr>
        <w:t xml:space="preserve">Art. 2. </w:t>
      </w:r>
      <w:r>
        <w:rPr>
          <w:b/>
          <w:bCs/>
        </w:rPr>
        <w:t xml:space="preserve">Calendarul licitației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1 aug: ARR finalizează studiu acoperire + lista rute esențiale propuse. 1 oct: CJ aprobă lista. 1-31 oct: publicare anunțuri licitație (60 zile înainte de termen depunere). 1-30 nov: depunere oferte. 1-15 dec: evaluare + atribuire. 1 ian: începere operare.</w:t>
      </w:r>
    </w:p>
    <w:p>
      <w:pPr>
        <w:spacing w:after="100" w:before="220" w:line="276"/>
      </w:pPr>
      <w:r>
        <w:rPr>
          <w:b/>
          <w:bCs/>
        </w:rPr>
        <w:t xml:space="preserve">Art. 3. </w:t>
      </w:r>
      <w:r>
        <w:rPr>
          <w:b/>
          <w:bCs/>
        </w:rPr>
        <w:t xml:space="preserve">Evaluarea ofertelor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5 criterii: preț/compensație solicitată per km (35%), calitate flotă (25% — vârstă, norme emisii, AC, WiFi, PMR), frecvență oferită peste minim (20%), experiență operator (10%), plan continuitate (10%). Comisie evaluare: 2 CJ, 1 ARR, 1 reprezentant călători, 1 expert independent.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Documentele licitației se publică pe e-Transport în 15 zile de la finalizare. Contestație la CNSC în 10 zile.</w:t>
      </w:r>
    </w:p>
    <w:p>
      <w:pPr>
        <w:pStyle w:val="Heading2"/>
      </w:pPr>
      <w:r>
        <w:t xml:space="preserve">CAPITOLUL III — Modelul de cost standard</w:t>
      </w:r>
    </w:p>
    <w:p>
      <w:pPr>
        <w:spacing w:after="100" w:before="220" w:line="276"/>
      </w:pPr>
      <w:r>
        <w:rPr>
          <w:b/>
          <w:bCs/>
        </w:rPr>
        <w:t xml:space="preserve">Art. 4. </w:t>
      </w:r>
      <w:r>
        <w:rPr>
          <w:b/>
          <w:bCs/>
        </w:rPr>
        <w:t xml:space="preserve">Calculul compensației PSO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ARR publică anual modelul de cost standard (preț/km pe categorie vehicul): microbuz 8-16 locuri, autobuz 30-50 locuri, autobuz articulat &gt;50 locuri. Include: combustibil/energie, personal (șofer + întreținere), amortizare vehicul, asigurări, taxe rutiere, administrație + marjă profit max 5%.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Compensația = (cost standard per km × km operați/trimestru) — venituri din bilete. Verificare trimestrială de ARR pe baza datelor contabile.</w:t>
      </w:r>
    </w:p>
    <w:p>
      <w:pPr>
        <w:pStyle w:val="Heading2"/>
      </w:pPr>
      <w:r>
        <w:t xml:space="preserve">CAPITOLUL IV — Indicatori de performanță</w:t>
      </w:r>
    </w:p>
    <w:p>
      <w:pPr>
        <w:spacing w:after="100" w:before="220" w:line="276"/>
      </w:pPr>
      <w:r>
        <w:rPr>
          <w:b/>
          <w:bCs/>
        </w:rPr>
        <w:t xml:space="preserve">Art. 5. </w:t>
      </w:r>
      <w:r>
        <w:rPr>
          <w:b/>
          <w:bCs/>
        </w:rPr>
        <w:t xml:space="preserve">Monitorizarea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7 indicatori: punctualitate ≥85%, curse anulate ≤5%, flotă &lt;12 ani, curățenie ≥7/10, accesibilitate PMR progresivă, informare online + GPS, operare weekend. Monitorizare automată GPS + inspecții trimestriale ARR + feedback călători.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Consecințe: 1 trimestru sub standard = avertisment + plan remediere 30 zile; 2 trimestre = reducere compensație 20%; 3 trimestre = retragere licență. Abandon rută = retragere imediată + interdicție 3 ani + daune.</w:t>
      </w:r>
    </w:p>
    <w:p>
      <w:pPr>
        <w:pStyle w:val="Heading2"/>
      </w:pPr>
      <w:r>
        <w:t xml:space="preserve">CAPITOLUL V — Biletul unic digital</w:t>
      </w:r>
    </w:p>
    <w:p>
      <w:pPr>
        <w:spacing w:after="100" w:before="220" w:line="276"/>
      </w:pPr>
      <w:r>
        <w:rPr>
          <w:b/>
          <w:bCs/>
        </w:rPr>
        <w:t xml:space="preserve">Art. 6. </w:t>
      </w:r>
      <w:r>
        <w:rPr>
          <w:b/>
          <w:bCs/>
        </w:rPr>
        <w:t xml:space="preserve">Implementare progresivă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Faza 1 (luna 18): sistem ticketing electronic pe rute noi licitate (card contactless/aplicație). Faza 2 (luna 24): integrare cu CFR Călători în 3 județe pilot. Faza 3 (luna 36): extindere națională. Tariful: plafon 0,15 lei/km pe rute esențiale, indexat anual cu IPC.</w:t>
      </w:r>
    </w:p>
    <w:p>
      <w:pPr>
        <w:spacing w:after="100" w:before="220" w:line="276"/>
      </w:pPr>
      <w:r>
        <w:rPr>
          <w:b/>
          <w:bCs/>
        </w:rPr>
        <w:t xml:space="preserve">Art. 7. </w:t>
      </w:r>
      <w:r>
        <w:rPr>
          <w:b/>
          <w:bCs/>
        </w:rPr>
        <w:t xml:space="preserve">Calendar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Luna 3: norme. Luna 6: e-Transport operațional + hartă zone albe. Luna 8: prima listă rute esențiale. Luna 10: primele licitații. Luna 12: primele rute operaționale + model cost standard. Luna 18: licențe existente reevaluate + bilet unic pilot. Luna 24: -30% zone albe + bilet integrat CFR. Luna 36: extindere + evaluare impact.</w:t>
      </w:r>
    </w:p>
    <w:p>
      <w:pPr>
        <w:spacing w:after="100" w:before="220" w:line="276"/>
      </w:pPr>
      <w:r>
        <w:rPr>
          <w:b/>
          <w:bCs/>
        </w:rPr>
        <w:t xml:space="preserve">Art. 8. </w:t>
      </w:r>
      <w:r>
        <w:rPr>
          <w:b/>
          <w:bCs/>
        </w:rPr>
        <w:t xml:space="preserve">Dispoziții finale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Norme în vigoare la publicare.</w:t>
      </w:r>
    </w:p>
    <w:p>
      <w:pPr>
        <w:spacing w:after="100" w:line="276"/>
        <w:jc w:val="both"/>
      </w:pPr>
      <w:r>
        <w:rPr>
          <w:b/>
          <w:bCs/>
        </w:rPr>
        <w:t xml:space="preserve">Notă: </w:t>
      </w:r>
      <w:r>
        <w:t xml:space="preserve">Draft de lucru.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Pagina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Norme metodologice — Transport Public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2026-04-03T16:58:46.367Z</dcterms:created>
  <dcterms:modified xsi:type="dcterms:W3CDTF">2026-04-03T16:58:46.367Z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