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color w:val="1F3864"/>
          <w:sz w:val="40"/>
          <w:szCs w:val="40"/>
        </w:rPr>
        <w:t xml:space="preserve">PROPUNERE LEGISLATIVĂ</w:t>
      </w:r>
    </w:p>
    <w:p>
      <w:pPr>
        <w:pBdr>
          <w:bottom w:val="single" w:color="1F3864" w:sz="6" w:space="8"/>
        </w:pBdr>
        <w:spacing w:after="100"/>
        <w:jc w:val="center"/>
      </w:pPr>
      <w:r>
        <w:rPr>
          <w:i/>
          <w:iCs/>
          <w:color w:val="555555"/>
          <w:sz w:val="28"/>
          <w:szCs w:val="28"/>
        </w:rPr>
        <w:t xml:space="preserve">Inițiativă Cetățeanească / Proiect de Lege</w:t>
      </w:r>
    </w:p>
    <w:p>
      <w:pPr>
        <w:spacing w:before="600"/>
      </w:pPr>
    </w:p>
    <w:p>
      <w:pPr>
        <w:spacing w:after="300"/>
        <w:jc w:val="center"/>
      </w:pPr>
      <w:r>
        <w:rPr>
          <w:rFonts w:ascii="Times New Roman" w:cs="Times New Roman" w:eastAsia="Times New Roman" w:hAnsi="Times New Roman"/>
          <w:b/>
          <w:bCs/>
          <w:color w:val="1F3864"/>
          <w:sz w:val="48"/>
          <w:szCs w:val="48"/>
        </w:rPr>
        <w:t xml:space="preserve">LEGE</w:t>
      </w:r>
    </w:p>
    <w:p>
      <w:pPr>
        <w:spacing w:after="100"/>
        <w:jc w:val="center"/>
      </w:pPr>
      <w:r>
        <w:rPr>
          <w:rFonts w:ascii="Times New Roman" w:cs="Times New Roman" w:eastAsia="Times New Roman" w:hAnsi="Times New Roman"/>
          <w:sz w:val="32"/>
          <w:szCs w:val="32"/>
        </w:rPr>
        <w:t xml:space="preserve">privind destinarea veniturilor din acciza la combustibili</w:t>
      </w:r>
    </w:p>
    <w:p>
      <w:pPr>
        <w:spacing w:after="100"/>
        <w:jc w:val="center"/>
      </w:pPr>
      <w:r>
        <w:rPr>
          <w:rFonts w:ascii="Times New Roman" w:cs="Times New Roman" w:eastAsia="Times New Roman" w:hAnsi="Times New Roman"/>
          <w:sz w:val="32"/>
          <w:szCs w:val="32"/>
        </w:rPr>
        <w:t xml:space="preserve">pentru infrastructura rutieră și transportul public</w:t>
      </w:r>
    </w:p>
    <w:p>
      <w:pPr>
        <w:spacing w:after="60"/>
        <w:jc w:val="center"/>
      </w:pPr>
      <w:r>
        <w:rPr>
          <w:b/>
          <w:bCs/>
          <w:i/>
          <w:iCs/>
          <w:color w:val="2E5090"/>
          <w:sz w:val="28"/>
          <w:szCs w:val="28"/>
        </w:rPr>
        <w:t xml:space="preserve">(Legea Fondului Rutier Național)</w:t>
      </w:r>
    </w:p>
    <w:p>
      <w:pPr>
        <w:spacing w:before="1200"/>
      </w:pPr>
    </w:p>
    <w:p>
      <w:pPr>
        <w:spacing w:after="60"/>
        <w:jc w:val="center"/>
      </w:pPr>
      <w:r>
        <w:rPr>
          <w:color w:val="777777"/>
          <w:sz w:val="22"/>
          <w:szCs w:val="22"/>
        </w:rPr>
        <w:t xml:space="preserve">Document de lucru — Aprilie 2026</w:t>
      </w:r>
    </w:p>
    <w:p>
      <w:pPr>
        <w:spacing w:after="60"/>
        <w:jc w:val="center"/>
      </w:pPr>
      <w:r>
        <w:rPr>
          <w:color w:val="777777"/>
          <w:sz w:val="22"/>
          <w:szCs w:val="22"/>
        </w:rPr>
        <w:t xml:space="preserve">Versiune pentru consultare cu asociații profesionale și parlamentari</w:t>
      </w:r>
    </w:p>
    <w:p>
      <w:pPr>
        <w:sectPr>
          <w:pgSz w:w="11906" w:h="16838" w:orient="portrait"/>
          <w:pgMar w:top="1440" w:right="1440" w:bottom="1440" w:left="1440" w:header="708" w:footer="708" w:gutter="0"/>
          <w:pgNumType/>
          <w:docGrid w:linePitch="360"/>
        </w:sectPr>
      </w:pPr>
    </w:p>
    <w:p>
      <w:pPr>
        <w:pStyle w:val="Heading1"/>
      </w:pPr>
      <w:r>
        <w:t xml:space="preserve">EXPUNERE DE MOTIVE</w:t>
      </w:r>
    </w:p>
    <w:p>
      <w:pPr>
        <w:pStyle w:val="Heading2"/>
      </w:pPr>
      <w:r>
        <w:t xml:space="preserve">I. Contextul actual</w:t>
      </w:r>
    </w:p>
    <w:p>
      <w:pPr>
        <w:spacing w:after="120" w:line="276"/>
        <w:jc w:val="both"/>
      </w:pPr>
      <w:r>
        <w:t xml:space="preserve">România colectează anual aproximativ 20–25 miliarde de lei din accize la combustibili (motorină și benzină). Aceste venituri intră integral în bugetul consolidat general, fără nicio obligație legală de a fi orientate către infrastructura rutieră sau transportul public.</w:t>
      </w:r>
    </w:p>
    <w:p>
      <w:pPr>
        <w:spacing w:after="120" w:line="276"/>
        <w:jc w:val="both"/>
      </w:pPr>
      <w:r>
        <w:t xml:space="preserve">Cetățenii plătesc accize cu fiecare litru de combustibil, dar nu există niciun mecanism care să garanteze că acești bani se întorc în drumuri, poduri sau transport public. Consecința directă: România are cel mai subdezvoltat sistem de autostrăzi din UE raportat la suprafață și populație, iar transportul public interurban este practic inexistent în multe zone rurale.</w:t>
      </w:r>
    </w:p>
    <w:p>
      <w:pPr>
        <w:spacing w:after="120" w:line="276"/>
        <w:jc w:val="both"/>
      </w:pPr>
      <w:r>
        <w:rPr>
          <w:b/>
          <w:bCs/>
        </w:rPr>
        <w:t xml:space="preserve">Paradoxul fiscal actual: </w:t>
      </w:r>
      <w:r>
        <w:t xml:space="preserve">acciza pe combustibil a fost majorată repetat (2014, 2017, 2024) sub justificarea finanțării infrastructurii, dar veniturile au fost absorbite de cheltuieli curente, fără legătură cu scopul declarat.</w:t>
      </w:r>
    </w:p>
    <w:p>
      <w:pPr>
        <w:pStyle w:val="Heading2"/>
      </w:pPr>
      <w:r>
        <w:t xml:space="preserve">II. Problema transportului public interurban</w:t>
      </w:r>
    </w:p>
    <w:p>
      <w:pPr>
        <w:spacing w:after="120" w:line="276"/>
        <w:jc w:val="both"/>
      </w:pPr>
      <w:r>
        <w:t xml:space="preserve">Sistemul actual de licențiere a transportului public de persoane între localități este deficitar și netransparent. Rute întregi sunt abandonate comercial pentru că nu sunt profitabile, iar statul nu intervine cu subvenții adecvate. Pentru milioane de români din mediul rural, mașina personală nu este un lux, ci singura modalitate de a ajunge la locul de muncă, la spital sau la școală.</w:t>
      </w:r>
    </w:p>
    <w:p>
      <w:pPr>
        <w:spacing w:after="120" w:line="276"/>
        <w:jc w:val="both"/>
      </w:pPr>
      <w:r>
        <w:t xml:space="preserve">În acest context, argumentul că acciza descurajează consumul și încurajează transportul public este inaplicabil în România. Lipsa alternativelor de transport face ca acciza să funcționeze ca o taxă regresivă care afectează disproporționat comunitățile rurale și persoanele cu venituri mici.</w:t>
      </w:r>
    </w:p>
    <w:p>
      <w:pPr>
        <w:pStyle w:val="Heading2"/>
      </w:pPr>
      <w:r>
        <w:t xml:space="preserve">III. Soluția propusă: earmarking legislativ</w:t>
      </w:r>
    </w:p>
    <w:p>
      <w:pPr>
        <w:spacing w:after="120" w:line="276"/>
        <w:jc w:val="both"/>
      </w:pPr>
      <w:r>
        <w:t xml:space="preserve">Prezentul proiect de lege propune crearea Fondului Rutier Național (FRN), un fond cu destinație specială care primește automat 80% din veniturile din acciza la combustibili. Restul de 20% rămâne la dispoziția bugetului general.</w:t>
      </w:r>
    </w:p>
    <w:p>
      <w:pPr>
        <w:spacing w:after="120" w:line="276"/>
        <w:jc w:val="both"/>
      </w:pPr>
      <w:r>
        <w:t xml:space="preserve">Fondul va finanța exclusiv: construcția și întreținerea infrastructurii rutiere naționale și județene, subvenționarea rutelor de transport public interurban neprofitabile dar esențiale, și modernizarea flotei de transport public.</w:t>
      </w:r>
    </w:p>
    <w:p>
      <w:pPr>
        <w:spacing w:after="120" w:line="276"/>
        <w:jc w:val="both"/>
      </w:pPr>
      <w:r>
        <w:t xml:space="preserve">Mecanismul de transparență obligatorie — raportare trimestrială publică la nivel de proiect, cu date deschise — asigură că fiecare leu din acciзă este trasabil de la pompă la drum.</w:t>
      </w:r>
    </w:p>
    <w:p>
      <w:pPr>
        <w:pStyle w:val="Heading2"/>
      </w:pPr>
      <w:r>
        <w:t xml:space="preserve">IV. Modele internaționale</w:t>
      </w:r>
    </w:p>
    <w:p>
      <w:pPr>
        <w:spacing w:after="120" w:line="276"/>
        <w:jc w:val="both"/>
      </w:pPr>
      <w:r>
        <w:t xml:space="preserve">Mecanismul de earmarking al veniturilor din combustibil nu este o noutate. Statele Unite operează Highway Trust Fund din 1956, finanțat exclusiv din accize federale pe combustibil. Norvegia publică lunar execuția fondului rutier la nivel de proiect. Elveția aloacă prin constituție o parte din accize pentru infrastructura rutieră. Jap onia operează un fond dedicat din 1954.</w:t>
      </w:r>
    </w:p>
    <w:p>
      <w:pPr>
        <w:pStyle w:val="Heading2"/>
      </w:pPr>
      <w:r>
        <w:t xml:space="preserve">V. Impact bugetar estimat</w:t>
      </w:r>
    </w:p>
    <w:p>
      <w:pPr>
        <w:spacing w:after="120" w:line="276"/>
        <w:jc w:val="both"/>
      </w:pPr>
      <w:r>
        <w:t xml:space="preserve">Luatând ca bază veniturile din accize la combustibil din 2024 (estimate la circa 22–24 miliarde lei), alocarea a 80% către FRN ar însemna aproximativ 17,6–19,2 miliarde lei/an destinate exclusiv infrastructurii rutiere și transportului public. Aceasta ar reprezenta o creștere semnificativă față de bugetele actuale alocate CNAIR și autorităților județene de drumuri.</w:t>
      </w:r>
    </w:p>
    <w:p>
      <w:r>
        <w:br w:type="page"/>
      </w:r>
    </w:p>
    <w:p>
      <w:pPr>
        <w:pStyle w:val="Heading1"/>
      </w:pPr>
      <w:r>
        <w:t xml:space="preserve">TEXTUL PROIECTULUI DE LEGE</w:t>
      </w:r>
    </w:p>
    <w:p>
      <w:pPr>
        <w:spacing w:after="200" w:before="200"/>
        <w:jc w:val="center"/>
      </w:pPr>
      <w:r>
        <w:rPr>
          <w:i/>
          <w:iCs/>
          <w:sz w:val="24"/>
          <w:szCs w:val="24"/>
        </w:rPr>
        <w:t xml:space="preserve">Parlamentul României adoptă prezenta lege:</w:t>
      </w:r>
    </w:p>
    <w:p>
      <w:pPr>
        <w:pStyle w:val="Heading2"/>
      </w:pPr>
      <w:r>
        <w:t xml:space="preserve">CAPITOLUL I — Dispoziții generale</w:t>
      </w:r>
    </w:p>
    <w:p>
      <w:pPr>
        <w:spacing w:after="120" w:before="240" w:line="276"/>
        <w:jc w:val="left"/>
      </w:pPr>
      <w:r>
        <w:rPr>
          <w:b/>
          <w:bCs/>
        </w:rPr>
        <w:t xml:space="preserve">Art. 1. </w:t>
      </w:r>
      <w:r>
        <w:rPr>
          <w:b/>
          <w:bCs/>
        </w:rPr>
        <w:t xml:space="preserve">Obiectul legii</w:t>
      </w:r>
    </w:p>
    <w:p>
      <w:pPr>
        <w:spacing w:after="80" w:line="276"/>
        <w:jc w:val="both"/>
      </w:pPr>
      <w:r>
        <w:rPr>
          <w:b/>
          <w:bCs/>
        </w:rPr>
        <w:t xml:space="preserve">(1) </w:t>
      </w:r>
      <w:r>
        <w:t xml:space="preserve">Prezenta lege reglementează constituirea, administrarea și utilizarea Fondului Rutier Național, precum și mecanismele de transparență și control asociate.</w:t>
      </w:r>
    </w:p>
    <w:p>
      <w:pPr>
        <w:spacing w:after="80" w:line="276"/>
        <w:jc w:val="both"/>
      </w:pPr>
      <w:r>
        <w:rPr>
          <w:b/>
          <w:bCs/>
        </w:rPr>
        <w:t xml:space="preserve">(2) </w:t>
      </w:r>
      <w:r>
        <w:t xml:space="preserve">Scopul legii este asigurarea unei legături directe, verificabile și permanente între veniturile colectate din acciza la combustibili și investițiile în infrastructura rutieră și transportul public.</w:t>
      </w:r>
    </w:p>
    <w:p>
      <w:pPr>
        <w:spacing w:after="120" w:before="240" w:line="276"/>
        <w:jc w:val="left"/>
      </w:pPr>
      <w:r>
        <w:rPr>
          <w:b/>
          <w:bCs/>
        </w:rPr>
        <w:t xml:space="preserve">Art. 2. </w:t>
      </w:r>
      <w:r>
        <w:rPr>
          <w:b/>
          <w:bCs/>
        </w:rPr>
        <w:t xml:space="preserve">Definiții</w:t>
      </w:r>
    </w:p>
    <w:p>
      <w:pPr>
        <w:spacing w:after="80" w:line="276"/>
        <w:jc w:val="both"/>
      </w:pPr>
      <w:r>
        <w:rPr>
          <w:b/>
          <w:bCs/>
        </w:rPr>
        <w:t xml:space="preserve">(1) </w:t>
      </w:r>
      <w:r>
        <w:t xml:space="preserve">În sensul prezentei legi, termenii și expresiile de mai jos au următoarele semnificații:</w:t>
      </w:r>
    </w:p>
    <w:p>
      <w:pPr>
        <w:spacing w:after="60" w:line="276"/>
        <w:ind w:left="720"/>
        <w:jc w:val="both"/>
      </w:pPr>
      <w:r>
        <w:rPr>
          <w:b/>
          <w:bCs/>
        </w:rPr>
        <w:t xml:space="preserve">a) </w:t>
      </w:r>
      <w:r>
        <w:rPr>
          <w:b/>
          <w:bCs/>
        </w:rPr>
        <w:t xml:space="preserve">Fondul Rutier Național (FRN)</w:t>
      </w:r>
      <w:r>
        <w:t xml:space="preserve"> — fond cu destinație specială, fără personalitate juridică, administrat de Ministerul Transporturilor și Infrastructurii, constituit din veniturile prevăzute la art. 4;</w:t>
      </w:r>
    </w:p>
    <w:p>
      <w:pPr>
        <w:spacing w:after="60" w:line="276"/>
        <w:ind w:left="720"/>
        <w:jc w:val="both"/>
      </w:pPr>
      <w:r>
        <w:rPr>
          <w:b/>
          <w:bCs/>
        </w:rPr>
        <w:t xml:space="preserve">b) </w:t>
      </w:r>
      <w:r>
        <w:rPr>
          <w:b/>
          <w:bCs/>
        </w:rPr>
        <w:t xml:space="preserve">Acciza la combustibili</w:t>
      </w:r>
      <w:r>
        <w:t xml:space="preserve"> — acciza armonizată și acciza suplimentară (supraacciza) aplicate asupra motorinei și benzinei, conform Titlului VIII din Legea nr. 227/2015 privind Codul Fiscal, cu modificările ulterioare;</w:t>
      </w:r>
    </w:p>
    <w:p>
      <w:pPr>
        <w:spacing w:after="60" w:line="276"/>
        <w:ind w:left="720"/>
        <w:jc w:val="both"/>
      </w:pPr>
      <w:r>
        <w:rPr>
          <w:b/>
          <w:bCs/>
        </w:rPr>
        <w:t xml:space="preserve">c) </w:t>
      </w:r>
      <w:r>
        <w:rPr>
          <w:b/>
          <w:bCs/>
        </w:rPr>
        <w:t xml:space="preserve">Rute esențiale de transport public</w:t>
      </w:r>
      <w:r>
        <w:t xml:space="preserve"> — rute de transport public de persoane între localități care deservesc comunități fără alternativă viabilă de transport, identificate conform criteriilor prevăzute la art. 9;</w:t>
      </w:r>
    </w:p>
    <w:p>
      <w:pPr>
        <w:spacing w:after="60" w:line="276"/>
        <w:ind w:left="720"/>
        <w:jc w:val="both"/>
      </w:pPr>
      <w:r>
        <w:rPr>
          <w:b/>
          <w:bCs/>
        </w:rPr>
        <w:t xml:space="preserve">d) </w:t>
      </w:r>
      <w:r>
        <w:rPr>
          <w:b/>
          <w:bCs/>
        </w:rPr>
        <w:t xml:space="preserve">Portal de transparență</w:t>
      </w:r>
      <w:r>
        <w:t xml:space="preserve"> — platformă digitală publică, accesibilă gratuit, care prezintă în timp real datele privind veniturile, cheltuielile și proiectele finanțate din FRN.</w:t>
      </w:r>
    </w:p>
    <w:p>
      <w:pPr>
        <w:spacing w:after="120" w:before="240" w:line="276"/>
        <w:jc w:val="left"/>
      </w:pPr>
      <w:r>
        <w:rPr>
          <w:b/>
          <w:bCs/>
        </w:rPr>
        <w:t xml:space="preserve">Art. 3. </w:t>
      </w:r>
      <w:r>
        <w:rPr>
          <w:b/>
          <w:bCs/>
        </w:rPr>
        <w:t xml:space="preserve">Principii</w:t>
      </w:r>
    </w:p>
    <w:p>
      <w:pPr>
        <w:spacing w:after="80" w:line="276"/>
        <w:jc w:val="both"/>
      </w:pPr>
      <w:r>
        <w:rPr>
          <w:b/>
          <w:bCs/>
        </w:rPr>
        <w:t xml:space="preserve">(1) </w:t>
      </w:r>
      <w:r>
        <w:t xml:space="preserve">Administrarea FRN se bazează pe următoarele principii:</w:t>
      </w:r>
    </w:p>
    <w:p>
      <w:pPr>
        <w:spacing w:after="60" w:line="276"/>
        <w:ind w:left="720"/>
        <w:jc w:val="both"/>
      </w:pPr>
      <w:r>
        <w:rPr>
          <w:b/>
          <w:bCs/>
        </w:rPr>
        <w:t xml:space="preserve">a) </w:t>
      </w:r>
      <w:r>
        <w:t xml:space="preserve">destinația specială și ireversibilă a fondurilor;</w:t>
      </w:r>
    </w:p>
    <w:p>
      <w:pPr>
        <w:spacing w:after="60" w:line="276"/>
        <w:ind w:left="720"/>
        <w:jc w:val="both"/>
      </w:pPr>
      <w:r>
        <w:rPr>
          <w:b/>
          <w:bCs/>
        </w:rPr>
        <w:t xml:space="preserve">b) </w:t>
      </w:r>
      <w:r>
        <w:t xml:space="preserve">transparența totală a veniturilor și cheltuielilor;</w:t>
      </w:r>
    </w:p>
    <w:p>
      <w:pPr>
        <w:spacing w:after="60" w:line="276"/>
        <w:ind w:left="720"/>
        <w:jc w:val="both"/>
      </w:pPr>
      <w:r>
        <w:rPr>
          <w:b/>
          <w:bCs/>
        </w:rPr>
        <w:t xml:space="preserve">c) </w:t>
      </w:r>
      <w:r>
        <w:t xml:space="preserve">echilibrul teritorial în alocare;</w:t>
      </w:r>
    </w:p>
    <w:p>
      <w:pPr>
        <w:spacing w:after="60" w:line="276"/>
        <w:ind w:left="720"/>
        <w:jc w:val="both"/>
      </w:pPr>
      <w:r>
        <w:rPr>
          <w:b/>
          <w:bCs/>
        </w:rPr>
        <w:t xml:space="preserve">d) </w:t>
      </w:r>
      <w:r>
        <w:t xml:space="preserve">eficiența economică și prioritizarea proiectelor pe baza analizei cost-beneficiu;</w:t>
      </w:r>
    </w:p>
    <w:p>
      <w:pPr>
        <w:spacing w:after="60" w:line="276"/>
        <w:ind w:left="720"/>
        <w:jc w:val="both"/>
      </w:pPr>
      <w:r>
        <w:rPr>
          <w:b/>
          <w:bCs/>
        </w:rPr>
        <w:t xml:space="preserve">e) </w:t>
      </w:r>
      <w:r>
        <w:t xml:space="preserve">asigurarea accesibilității la transport pentru comunitățile rurale.</w:t>
      </w:r>
    </w:p>
    <w:p>
      <w:pPr>
        <w:pStyle w:val="Heading2"/>
      </w:pPr>
      <w:r>
        <w:t xml:space="preserve">CAPITOLUL II — Constituirea și alimentarea FRN</w:t>
      </w:r>
    </w:p>
    <w:p>
      <w:pPr>
        <w:spacing w:after="120" w:before="240" w:line="276"/>
        <w:jc w:val="left"/>
      </w:pPr>
      <w:r>
        <w:rPr>
          <w:b/>
          <w:bCs/>
        </w:rPr>
        <w:t xml:space="preserve">Art. 4. </w:t>
      </w:r>
      <w:r>
        <w:rPr>
          <w:b/>
          <w:bCs/>
        </w:rPr>
        <w:t xml:space="preserve">Sursele de venit ale FRN</w:t>
      </w:r>
    </w:p>
    <w:p>
      <w:pPr>
        <w:spacing w:after="80" w:line="276"/>
        <w:jc w:val="both"/>
      </w:pPr>
      <w:r>
        <w:rPr>
          <w:b/>
          <w:bCs/>
        </w:rPr>
        <w:t xml:space="preserve">(1) </w:t>
      </w:r>
      <w:r>
        <w:t xml:space="preserve">Fondul Rutier Național se constituie din următoarele surse:</w:t>
      </w:r>
    </w:p>
    <w:p>
      <w:pPr>
        <w:spacing w:after="60" w:line="276"/>
        <w:ind w:left="720"/>
        <w:jc w:val="both"/>
      </w:pPr>
      <w:r>
        <w:rPr>
          <w:b/>
          <w:bCs/>
        </w:rPr>
        <w:t xml:space="preserve">a) </w:t>
      </w:r>
      <w:r>
        <w:t xml:space="preserve">80% din veniturile bugetare provenind din acciza la motorină și benzină, inclusiv supraacciza, colectate conform Codului Fiscal;</w:t>
      </w:r>
    </w:p>
    <w:p>
      <w:pPr>
        <w:spacing w:after="60" w:line="276"/>
        <w:ind w:left="720"/>
        <w:jc w:val="both"/>
      </w:pPr>
      <w:r>
        <w:rPr>
          <w:b/>
          <w:bCs/>
        </w:rPr>
        <w:t xml:space="preserve">b) </w:t>
      </w:r>
      <w:r>
        <w:t xml:space="preserve">donații, sponsorizări și alte contribuții voluntare;</w:t>
      </w:r>
    </w:p>
    <w:p>
      <w:pPr>
        <w:spacing w:after="60" w:line="276"/>
        <w:ind w:left="720"/>
        <w:jc w:val="both"/>
      </w:pPr>
      <w:r>
        <w:rPr>
          <w:b/>
          <w:bCs/>
        </w:rPr>
        <w:t xml:space="preserve">c) </w:t>
      </w:r>
      <w:r>
        <w:t xml:space="preserve">venituri din valorificarea activelor proprii;</w:t>
      </w:r>
    </w:p>
    <w:p>
      <w:pPr>
        <w:spacing w:after="60" w:line="276"/>
        <w:ind w:left="720"/>
        <w:jc w:val="both"/>
      </w:pPr>
      <w:r>
        <w:rPr>
          <w:b/>
          <w:bCs/>
        </w:rPr>
        <w:t xml:space="preserve">d) </w:t>
      </w:r>
      <w:r>
        <w:t xml:space="preserve">fonduri europene complementare, atrase pe baza cofinanțării din FRN.</w:t>
      </w:r>
    </w:p>
    <w:p>
      <w:pPr>
        <w:spacing w:after="80" w:line="276"/>
        <w:jc w:val="both"/>
      </w:pPr>
      <w:r>
        <w:rPr>
          <w:b/>
          <w:bCs/>
        </w:rPr>
        <w:t xml:space="preserve">(2) </w:t>
      </w:r>
      <w:r>
        <w:t xml:space="preserve">Procentul de 80% prevăzut la alin. (1) lit. a) se aplică asupra veniturilor efective încasate, determinate lunar de Agenția Națională de Administrare Fiscală (ANAF).</w:t>
      </w:r>
    </w:p>
    <w:p>
      <w:pPr>
        <w:spacing w:after="80" w:line="276"/>
        <w:jc w:val="both"/>
      </w:pPr>
      <w:r>
        <w:rPr>
          <w:b/>
          <w:bCs/>
        </w:rPr>
        <w:t xml:space="preserve">(3) </w:t>
      </w:r>
      <w:r>
        <w:t xml:space="preserve">Virarea sumelor către FRN se face automat, în termen de 10 zile lucrătoare de la încheierea fiecărei luni calendaristice.</w:t>
      </w:r>
    </w:p>
    <w:p>
      <w:pPr>
        <w:spacing w:after="120" w:before="240" w:line="276"/>
        <w:jc w:val="left"/>
      </w:pPr>
      <w:r>
        <w:rPr>
          <w:b/>
          <w:bCs/>
        </w:rPr>
        <w:t xml:space="preserve">Art. 5. </w:t>
      </w:r>
      <w:r>
        <w:rPr>
          <w:b/>
          <w:bCs/>
        </w:rPr>
        <w:t xml:space="preserve">Protecția fondurilor</w:t>
      </w:r>
    </w:p>
    <w:p>
      <w:pPr>
        <w:spacing w:after="80" w:line="276"/>
        <w:jc w:val="both"/>
      </w:pPr>
      <w:r>
        <w:rPr>
          <w:b/>
          <w:bCs/>
        </w:rPr>
        <w:t xml:space="preserve">(1) </w:t>
      </w:r>
      <w:r>
        <w:t xml:space="preserve">Sumele virate în FRN nu pot fi utilizate în alt scop decât cele prevăzute la art. 6.</w:t>
      </w:r>
    </w:p>
    <w:p>
      <w:pPr>
        <w:spacing w:after="80" w:line="276"/>
        <w:jc w:val="both"/>
      </w:pPr>
      <w:r>
        <w:rPr>
          <w:b/>
          <w:bCs/>
        </w:rPr>
        <w:t xml:space="preserve">(2) </w:t>
      </w:r>
      <w:r>
        <w:t xml:space="preserve">Este interzisă redirect area, blocarea, înghețarea sau diminuarea sumelor cuvenite FRN prin ordonanțe de urgență, ordonanțe simple sau acte administrative. </w:t>
      </w:r>
      <w:r>
        <w:rPr>
          <w:b/>
          <w:bCs/>
        </w:rPr>
        <w:t xml:space="preserve">Orice modificare a procentului de alocare sau a destinației fondurilor se poate face exclusiv prin lege organică, cu avizul Consiliului de Administrare al FRN.</w:t>
      </w:r>
    </w:p>
    <w:p>
      <w:pPr>
        <w:spacing w:after="80" w:line="276"/>
        <w:jc w:val="both"/>
      </w:pPr>
      <w:r>
        <w:rPr>
          <w:b/>
          <w:bCs/>
        </w:rPr>
        <w:t xml:space="preserve">(3) </w:t>
      </w:r>
      <w:r>
        <w:t xml:space="preserve">Sumele neutilizate la sfârșitul anului fiscal se reportează automat în anul următor, fără a fi supuse regularizării bugetare.</w:t>
      </w:r>
    </w:p>
    <w:p>
      <w:pPr>
        <w:pStyle w:val="Heading2"/>
      </w:pPr>
      <w:r>
        <w:t xml:space="preserve">CAPITOLUL III — Utilizarea fondurilor</w:t>
      </w:r>
    </w:p>
    <w:p>
      <w:pPr>
        <w:spacing w:after="120" w:before="240" w:line="276"/>
        <w:jc w:val="left"/>
      </w:pPr>
      <w:r>
        <w:rPr>
          <w:b/>
          <w:bCs/>
        </w:rPr>
        <w:t xml:space="preserve">Art. 6. </w:t>
      </w:r>
      <w:r>
        <w:rPr>
          <w:b/>
          <w:bCs/>
        </w:rPr>
        <w:t xml:space="preserve">Destinațiile fondurilor</w:t>
      </w:r>
    </w:p>
    <w:p>
      <w:pPr>
        <w:spacing w:after="80" w:line="276"/>
        <w:jc w:val="both"/>
      </w:pPr>
      <w:r>
        <w:rPr>
          <w:b/>
          <w:bCs/>
        </w:rPr>
        <w:t xml:space="preserve">(1) </w:t>
      </w:r>
      <w:r>
        <w:t xml:space="preserve">FRN finanțează exclusiv:</w:t>
      </w:r>
    </w:p>
    <w:p>
      <w:pPr>
        <w:spacing w:after="60" w:line="276"/>
        <w:ind w:left="720"/>
        <w:jc w:val="both"/>
      </w:pPr>
      <w:r>
        <w:rPr>
          <w:b/>
          <w:bCs/>
        </w:rPr>
        <w:t xml:space="preserve">a) </w:t>
      </w:r>
      <w:r>
        <w:t xml:space="preserve">construcția, modernizarea și reabilitarea drumurilor naționale, județene și comunale — minim 50% din bugetul anual al FRN;</w:t>
      </w:r>
    </w:p>
    <w:p>
      <w:pPr>
        <w:spacing w:after="60" w:line="276"/>
        <w:ind w:left="720"/>
        <w:jc w:val="both"/>
      </w:pPr>
      <w:r>
        <w:rPr>
          <w:b/>
          <w:bCs/>
        </w:rPr>
        <w:t xml:space="preserve">b) </w:t>
      </w:r>
      <w:r>
        <w:t xml:space="preserve">subvenționarea rutelor esențiale de transport public interurban, conform art. 9 — minim 15% din bugetul anual al FRN;</w:t>
      </w:r>
    </w:p>
    <w:p>
      <w:pPr>
        <w:spacing w:after="60" w:line="276"/>
        <w:ind w:left="720"/>
        <w:jc w:val="both"/>
      </w:pPr>
      <w:r>
        <w:rPr>
          <w:b/>
          <w:bCs/>
        </w:rPr>
        <w:t xml:space="preserve">c) </w:t>
      </w:r>
      <w:r>
        <w:t xml:space="preserve">achiziția și modernizarea flotei de transport public interurban — până la 10% din bugetul anual al FRN;</w:t>
      </w:r>
    </w:p>
    <w:p>
      <w:pPr>
        <w:spacing w:after="60" w:line="276"/>
        <w:ind w:left="720"/>
        <w:jc w:val="both"/>
      </w:pPr>
      <w:r>
        <w:rPr>
          <w:b/>
          <w:bCs/>
        </w:rPr>
        <w:t xml:space="preserve">d) </w:t>
      </w:r>
      <w:r>
        <w:t xml:space="preserve">siguranța rutieră: semaforizare, iluminat, parapete, marcaje, sisteme ITS — până la 10% din bugetul anual;</w:t>
      </w:r>
    </w:p>
    <w:p>
      <w:pPr>
        <w:spacing w:after="60" w:line="276"/>
        <w:ind w:left="720"/>
        <w:jc w:val="both"/>
      </w:pPr>
      <w:r>
        <w:rPr>
          <w:b/>
          <w:bCs/>
        </w:rPr>
        <w:t xml:space="preserve">e) </w:t>
      </w:r>
      <w:r>
        <w:t xml:space="preserve">întreținerea curentă și periodică a rețelei de drumuri existente — până la 15% din bugetul anual.</w:t>
      </w:r>
    </w:p>
    <w:p>
      <w:pPr>
        <w:spacing w:after="80" w:line="276"/>
        <w:jc w:val="both"/>
      </w:pPr>
      <w:r>
        <w:rPr>
          <w:b/>
          <w:bCs/>
        </w:rPr>
        <w:t xml:space="preserve">(2) </w:t>
      </w:r>
      <w:r>
        <w:t xml:space="preserve">Alocațiile teritoriale respectă principiul echilibrului: cel puțin 30% din fondurile destinate drumurilor se alocă județelor din tertilul inferior ca densitate a drumurilor modernizate.</w:t>
      </w:r>
    </w:p>
    <w:p>
      <w:pPr>
        <w:spacing w:after="120" w:before="240" w:line="276"/>
        <w:jc w:val="left"/>
      </w:pPr>
      <w:r>
        <w:rPr>
          <w:b/>
          <w:bCs/>
        </w:rPr>
        <w:t xml:space="preserve">Art. 7. </w:t>
      </w:r>
      <w:r>
        <w:rPr>
          <w:b/>
          <w:bCs/>
        </w:rPr>
        <w:t xml:space="preserve">Interdicții de utilizare</w:t>
      </w:r>
    </w:p>
    <w:p>
      <w:pPr>
        <w:spacing w:after="80" w:line="276"/>
        <w:jc w:val="both"/>
      </w:pPr>
      <w:r>
        <w:rPr>
          <w:b/>
          <w:bCs/>
        </w:rPr>
        <w:t xml:space="preserve">(1) </w:t>
      </w:r>
      <w:r>
        <w:t xml:space="preserve">Din FRN nu se pot finanța:</w:t>
      </w:r>
    </w:p>
    <w:p>
      <w:pPr>
        <w:spacing w:after="60" w:line="276"/>
        <w:ind w:left="720"/>
        <w:jc w:val="both"/>
      </w:pPr>
      <w:r>
        <w:rPr>
          <w:b/>
          <w:bCs/>
        </w:rPr>
        <w:t xml:space="preserve">a) </w:t>
      </w:r>
      <w:r>
        <w:t xml:space="preserve">cheltuieli de personal ale ministerelor sau agențiilor;</w:t>
      </w:r>
    </w:p>
    <w:p>
      <w:pPr>
        <w:spacing w:after="60" w:line="276"/>
        <w:ind w:left="720"/>
        <w:jc w:val="both"/>
      </w:pPr>
      <w:r>
        <w:rPr>
          <w:b/>
          <w:bCs/>
        </w:rPr>
        <w:t xml:space="preserve">b) </w:t>
      </w:r>
      <w:r>
        <w:t xml:space="preserve">cheltuieli administrative generale ale administrației publice;</w:t>
      </w:r>
    </w:p>
    <w:p>
      <w:pPr>
        <w:spacing w:after="60" w:line="276"/>
        <w:ind w:left="720"/>
        <w:jc w:val="both"/>
      </w:pPr>
      <w:r>
        <w:rPr>
          <w:b/>
          <w:bCs/>
        </w:rPr>
        <w:t xml:space="preserve">c) </w:t>
      </w:r>
      <w:r>
        <w:t xml:space="preserve">alte destinații decât cele prevăzute la art. 6.</w:t>
      </w:r>
    </w:p>
    <w:p>
      <w:pPr>
        <w:pStyle w:val="Heading2"/>
      </w:pPr>
      <w:r>
        <w:t xml:space="preserve">CAPITOLUL IV — Administrarea FRN</w:t>
      </w:r>
    </w:p>
    <w:p>
      <w:pPr>
        <w:spacing w:after="120" w:before="240" w:line="276"/>
        <w:jc w:val="left"/>
      </w:pPr>
      <w:r>
        <w:rPr>
          <w:b/>
          <w:bCs/>
        </w:rPr>
        <w:t xml:space="preserve">Art. 8. </w:t>
      </w:r>
      <w:r>
        <w:rPr>
          <w:b/>
          <w:bCs/>
        </w:rPr>
        <w:t xml:space="preserve">Consiliul de Administrare</w:t>
      </w:r>
    </w:p>
    <w:p>
      <w:pPr>
        <w:spacing w:after="80" w:line="276"/>
        <w:jc w:val="both"/>
      </w:pPr>
      <w:r>
        <w:rPr>
          <w:b/>
          <w:bCs/>
        </w:rPr>
        <w:t xml:space="preserve">(1) </w:t>
      </w:r>
      <w:r>
        <w:t xml:space="preserve">FRN este administrat de un Consiliu de Administrare format din 11 membri:</w:t>
      </w:r>
    </w:p>
    <w:p>
      <w:pPr>
        <w:spacing w:after="60" w:line="276"/>
        <w:ind w:left="720"/>
        <w:jc w:val="both"/>
      </w:pPr>
      <w:r>
        <w:rPr>
          <w:b/>
          <w:bCs/>
        </w:rPr>
        <w:t xml:space="preserve">a) </w:t>
      </w:r>
      <w:r>
        <w:t xml:space="preserve">3 reprezentanți ai Ministerului Transporturilor și Infrastructurii;</w:t>
      </w:r>
    </w:p>
    <w:p>
      <w:pPr>
        <w:spacing w:after="60" w:line="276"/>
        <w:ind w:left="720"/>
        <w:jc w:val="both"/>
      </w:pPr>
      <w:r>
        <w:rPr>
          <w:b/>
          <w:bCs/>
        </w:rPr>
        <w:t xml:space="preserve">b) </w:t>
      </w:r>
      <w:r>
        <w:t xml:space="preserve">1 reprezentant al Ministerului Finanțelor;</w:t>
      </w:r>
    </w:p>
    <w:p>
      <w:pPr>
        <w:spacing w:after="60" w:line="276"/>
        <w:ind w:left="720"/>
        <w:jc w:val="both"/>
      </w:pPr>
      <w:r>
        <w:rPr>
          <w:b/>
          <w:bCs/>
        </w:rPr>
        <w:t xml:space="preserve">c) </w:t>
      </w:r>
      <w:r>
        <w:t xml:space="preserve">2 reprezentanți ai consiliilor județene, desemnați de Asociația Consiliilor Județene;</w:t>
      </w:r>
    </w:p>
    <w:p>
      <w:pPr>
        <w:spacing w:after="60" w:line="276"/>
        <w:ind w:left="720"/>
        <w:jc w:val="both"/>
      </w:pPr>
      <w:r>
        <w:rPr>
          <w:b/>
          <w:bCs/>
        </w:rPr>
        <w:t xml:space="preserve">d) </w:t>
      </w:r>
      <w:r>
        <w:t xml:space="preserve">1 reprezentant al Asociației Municipiilor din România;</w:t>
      </w:r>
    </w:p>
    <w:p>
      <w:pPr>
        <w:spacing w:after="60" w:line="276"/>
        <w:ind w:left="720"/>
        <w:jc w:val="both"/>
      </w:pPr>
      <w:r>
        <w:rPr>
          <w:b/>
          <w:bCs/>
        </w:rPr>
        <w:t xml:space="preserve">e) </w:t>
      </w:r>
      <w:r>
        <w:t xml:space="preserve">1 reprezentant al Asociației Comunelor din România;</w:t>
      </w:r>
    </w:p>
    <w:p>
      <w:pPr>
        <w:spacing w:after="60" w:line="276"/>
        <w:ind w:left="720"/>
        <w:jc w:val="both"/>
      </w:pPr>
      <w:r>
        <w:rPr>
          <w:b/>
          <w:bCs/>
        </w:rPr>
        <w:t xml:space="preserve">f) </w:t>
      </w:r>
      <w:r>
        <w:t xml:space="preserve">2 reprezentanți ai asociațiilor profesionale de transportatori (UNTRR, ARTRI);</w:t>
      </w:r>
    </w:p>
    <w:p>
      <w:pPr>
        <w:spacing w:after="60" w:line="276"/>
        <w:ind w:left="720"/>
        <w:jc w:val="both"/>
      </w:pPr>
      <w:r>
        <w:rPr>
          <w:b/>
          <w:bCs/>
        </w:rPr>
        <w:t xml:space="preserve">g) </w:t>
      </w:r>
      <w:r>
        <w:t xml:space="preserve">1 reprezentant al societății civile, desemnat prin selecție publică transparentă.</w:t>
      </w:r>
    </w:p>
    <w:p>
      <w:pPr>
        <w:spacing w:after="80" w:line="276"/>
        <w:jc w:val="both"/>
      </w:pPr>
      <w:r>
        <w:rPr>
          <w:b/>
          <w:bCs/>
        </w:rPr>
        <w:t xml:space="preserve">(2) </w:t>
      </w:r>
      <w:r>
        <w:t xml:space="preserve">Mandatul membrilor Consiliului este de 4 ani, cu posibilitatea reînnoirii o singură dată.</w:t>
      </w:r>
    </w:p>
    <w:p>
      <w:pPr>
        <w:spacing w:after="80" w:line="276"/>
        <w:jc w:val="both"/>
      </w:pPr>
      <w:r>
        <w:rPr>
          <w:b/>
          <w:bCs/>
        </w:rPr>
        <w:t xml:space="preserve">(3) </w:t>
      </w:r>
      <w:r>
        <w:t xml:space="preserve">Consiliul aprobă planul anual de investiții, prioritizează proiectele pe baza analizei cost-beneficiu și supervizează execuția bugetară a FRN.</w:t>
      </w:r>
    </w:p>
    <w:p>
      <w:pPr>
        <w:pStyle w:val="Heading2"/>
      </w:pPr>
      <w:r>
        <w:t xml:space="preserve">CAPITOLUL V — Transportul public interurban</w:t>
      </w:r>
    </w:p>
    <w:p>
      <w:pPr>
        <w:spacing w:after="120" w:before="240" w:line="276"/>
        <w:jc w:val="left"/>
      </w:pPr>
      <w:r>
        <w:rPr>
          <w:b/>
          <w:bCs/>
        </w:rPr>
        <w:t xml:space="preserve">Art. 9. </w:t>
      </w:r>
      <w:r>
        <w:rPr>
          <w:b/>
          <w:bCs/>
        </w:rPr>
        <w:t xml:space="preserve">Rutele esențiale</w:t>
      </w:r>
    </w:p>
    <w:p>
      <w:pPr>
        <w:spacing w:after="80" w:line="276"/>
        <w:jc w:val="both"/>
      </w:pPr>
      <w:r>
        <w:rPr>
          <w:b/>
          <w:bCs/>
        </w:rPr>
        <w:t xml:space="preserve">(1) </w:t>
      </w:r>
      <w:r>
        <w:t xml:space="preserve">Ministerul Transporturilor, în consultație cu autoritățile locale, identifică anual lista rutelor esențiale de transport public interurban, pe baza următoarelor criterii:</w:t>
      </w:r>
    </w:p>
    <w:p>
      <w:pPr>
        <w:spacing w:after="60" w:line="276"/>
        <w:ind w:left="720"/>
        <w:jc w:val="both"/>
      </w:pPr>
      <w:r>
        <w:rPr>
          <w:b/>
          <w:bCs/>
        </w:rPr>
        <w:t xml:space="preserve">a) </w:t>
      </w:r>
      <w:r>
        <w:t xml:space="preserve">ruta deservește localități fără acces la rețeaua feroviară funcțională;</w:t>
      </w:r>
    </w:p>
    <w:p>
      <w:pPr>
        <w:spacing w:after="60" w:line="276"/>
        <w:ind w:left="720"/>
        <w:jc w:val="both"/>
      </w:pPr>
      <w:r>
        <w:rPr>
          <w:b/>
          <w:bCs/>
        </w:rPr>
        <w:t xml:space="preserve">b) </w:t>
      </w:r>
      <w:r>
        <w:t xml:space="preserve">populația deservită depășește 500 de locuitori;</w:t>
      </w:r>
    </w:p>
    <w:p>
      <w:pPr>
        <w:spacing w:after="60" w:line="276"/>
        <w:ind w:left="720"/>
        <w:jc w:val="both"/>
      </w:pPr>
      <w:r>
        <w:rPr>
          <w:b/>
          <w:bCs/>
        </w:rPr>
        <w:t xml:space="preserve">c) </w:t>
      </w:r>
      <w:r>
        <w:t xml:space="preserve">ruta asigură legătura cu cel mai apropiat centru urban cu servicii esențiale (spital, liceu, piață);</w:t>
      </w:r>
    </w:p>
    <w:p>
      <w:pPr>
        <w:spacing w:after="60" w:line="276"/>
        <w:ind w:left="720"/>
        <w:jc w:val="both"/>
      </w:pPr>
      <w:r>
        <w:rPr>
          <w:b/>
          <w:bCs/>
        </w:rPr>
        <w:t xml:space="preserve">d) </w:t>
      </w:r>
      <w:r>
        <w:t xml:space="preserve">nu există operator privat care să opereze ruta în condiții comerciale viabile.</w:t>
      </w:r>
    </w:p>
    <w:p>
      <w:pPr>
        <w:spacing w:after="80" w:line="276"/>
        <w:jc w:val="both"/>
      </w:pPr>
      <w:r>
        <w:rPr>
          <w:b/>
          <w:bCs/>
        </w:rPr>
        <w:t xml:space="preserve">(2) </w:t>
      </w:r>
      <w:r>
        <w:t xml:space="preserve">Lista rutelor esențiale se publică pe portalul de transparență și se actualizează anual.</w:t>
      </w:r>
    </w:p>
    <w:p>
      <w:pPr>
        <w:spacing w:after="80" w:line="276"/>
        <w:jc w:val="both"/>
      </w:pPr>
      <w:r>
        <w:rPr>
          <w:b/>
          <w:bCs/>
        </w:rPr>
        <w:t xml:space="preserve">(3) </w:t>
      </w:r>
      <w:r>
        <w:t xml:space="preserve">Subvenționarea se acordă prin licitație publică transparentă, operatorilor care oferă cea mai bună calitate a serviciului la costul cel mai redus.</w:t>
      </w:r>
    </w:p>
    <w:p>
      <w:pPr>
        <w:spacing w:after="120" w:before="240" w:line="276"/>
        <w:jc w:val="left"/>
      </w:pPr>
      <w:r>
        <w:rPr>
          <w:b/>
          <w:bCs/>
        </w:rPr>
        <w:t xml:space="preserve">Art. 10. </w:t>
      </w:r>
      <w:r>
        <w:rPr>
          <w:b/>
          <w:bCs/>
        </w:rPr>
        <w:t xml:space="preserve">Condiții de operare</w:t>
      </w:r>
    </w:p>
    <w:p>
      <w:pPr>
        <w:spacing w:after="80" w:line="276"/>
        <w:jc w:val="both"/>
      </w:pPr>
      <w:r>
        <w:rPr>
          <w:b/>
          <w:bCs/>
        </w:rPr>
        <w:t xml:space="preserve">(1) </w:t>
      </w:r>
      <w:r>
        <w:t xml:space="preserve">Operatorii care primesc subvenții din FRN pentru rute esențiale trebuie să respecte:</w:t>
      </w:r>
    </w:p>
    <w:p>
      <w:pPr>
        <w:spacing w:after="60" w:line="276"/>
        <w:ind w:left="720"/>
        <w:jc w:val="both"/>
      </w:pPr>
      <w:r>
        <w:rPr>
          <w:b/>
          <w:bCs/>
        </w:rPr>
        <w:t xml:space="preserve">a) </w:t>
      </w:r>
      <w:r>
        <w:t xml:space="preserve">frecvența minimă stabilită prin contract (cel puțin 2 curse/zi pe sens);</w:t>
      </w:r>
    </w:p>
    <w:p>
      <w:pPr>
        <w:spacing w:after="60" w:line="276"/>
        <w:ind w:left="720"/>
        <w:jc w:val="both"/>
      </w:pPr>
      <w:r>
        <w:rPr>
          <w:b/>
          <w:bCs/>
        </w:rPr>
        <w:t xml:space="preserve">b) </w:t>
      </w:r>
      <w:r>
        <w:t xml:space="preserve">standarde minime de confort și siguranță stabilite prin normele Ministerului Transporturilor;</w:t>
      </w:r>
    </w:p>
    <w:p>
      <w:pPr>
        <w:spacing w:after="60" w:line="276"/>
        <w:ind w:left="720"/>
        <w:jc w:val="both"/>
      </w:pPr>
      <w:r>
        <w:rPr>
          <w:b/>
          <w:bCs/>
        </w:rPr>
        <w:t xml:space="preserve">c) </w:t>
      </w:r>
      <w:r>
        <w:t xml:space="preserve">obligația de a opera inclusiv în weekend și sărbători legale, cu frecvență redusă dar asigurată.</w:t>
      </w:r>
    </w:p>
    <w:p>
      <w:pPr>
        <w:pStyle w:val="Heading2"/>
      </w:pPr>
      <w:r>
        <w:t xml:space="preserve">CAPITOLUL VI — Transparența și raportarea</w:t>
      </w:r>
    </w:p>
    <w:p>
      <w:pPr>
        <w:spacing w:after="120" w:before="240" w:line="276"/>
        <w:jc w:val="left"/>
      </w:pPr>
      <w:r>
        <w:rPr>
          <w:b/>
          <w:bCs/>
        </w:rPr>
        <w:t xml:space="preserve">Art. 11. </w:t>
      </w:r>
      <w:r>
        <w:rPr>
          <w:b/>
          <w:bCs/>
        </w:rPr>
        <w:t xml:space="preserve">Portalul de transparență</w:t>
      </w:r>
    </w:p>
    <w:p>
      <w:pPr>
        <w:spacing w:after="80" w:line="276"/>
        <w:jc w:val="both"/>
      </w:pPr>
      <w:r>
        <w:rPr>
          <w:b/>
          <w:bCs/>
        </w:rPr>
        <w:t xml:space="preserve">(1) </w:t>
      </w:r>
      <w:r>
        <w:t xml:space="preserve">Ministerul Transporturilor creează și menține un portal public online, accesibil gratuit, care prezintă:</w:t>
      </w:r>
    </w:p>
    <w:p>
      <w:pPr>
        <w:spacing w:after="60" w:line="276"/>
        <w:ind w:left="720"/>
        <w:jc w:val="both"/>
      </w:pPr>
      <w:r>
        <w:rPr>
          <w:b/>
          <w:bCs/>
        </w:rPr>
        <w:t xml:space="preserve">a) </w:t>
      </w:r>
      <w:r>
        <w:t xml:space="preserve">veniturile lunare încasate din accize și virate în FRN;</w:t>
      </w:r>
    </w:p>
    <w:p>
      <w:pPr>
        <w:spacing w:after="60" w:line="276"/>
        <w:ind w:left="720"/>
        <w:jc w:val="both"/>
      </w:pPr>
      <w:r>
        <w:rPr>
          <w:b/>
          <w:bCs/>
        </w:rPr>
        <w:t xml:space="preserve">b) </w:t>
      </w:r>
      <w:r>
        <w:t xml:space="preserve">lista completă a proiectelor finanțate, cu stadiul fizic și financiar, actualizată trimestrial;</w:t>
      </w:r>
    </w:p>
    <w:p>
      <w:pPr>
        <w:spacing w:after="60" w:line="276"/>
        <w:ind w:left="720"/>
        <w:jc w:val="both"/>
      </w:pPr>
      <w:r>
        <w:rPr>
          <w:b/>
          <w:bCs/>
        </w:rPr>
        <w:t xml:space="preserve">c) </w:t>
      </w:r>
      <w:r>
        <w:t xml:space="preserve">contractele de achiziție publică aferente, cu valori, contractori și termene;</w:t>
      </w:r>
    </w:p>
    <w:p>
      <w:pPr>
        <w:spacing w:after="60" w:line="276"/>
        <w:ind w:left="720"/>
        <w:jc w:val="both"/>
      </w:pPr>
      <w:r>
        <w:rPr>
          <w:b/>
          <w:bCs/>
        </w:rPr>
        <w:t xml:space="preserve">d) </w:t>
      </w:r>
      <w:r>
        <w:t xml:space="preserve">rutele esențiale de transport public subvenționate, cu operatori, frecvențe și grad de utilizare;</w:t>
      </w:r>
    </w:p>
    <w:p>
      <w:pPr>
        <w:spacing w:after="60" w:line="276"/>
        <w:ind w:left="720"/>
        <w:jc w:val="both"/>
      </w:pPr>
      <w:r>
        <w:rPr>
          <w:b/>
          <w:bCs/>
        </w:rPr>
        <w:t xml:space="preserve">e) </w:t>
      </w:r>
      <w:r>
        <w:t xml:space="preserve">raportul anual de audit al FRN.</w:t>
      </w:r>
    </w:p>
    <w:p>
      <w:pPr>
        <w:spacing w:after="80" w:line="276"/>
        <w:jc w:val="both"/>
      </w:pPr>
      <w:r>
        <w:rPr>
          <w:b/>
          <w:bCs/>
        </w:rPr>
        <w:t xml:space="preserve">(2) </w:t>
      </w:r>
      <w:r>
        <w:t xml:space="preserve">Datele se publică în format deschis (open data), reutilizabil de către cetățeni, jurnaliști și organizаții ale societății civile.</w:t>
      </w:r>
    </w:p>
    <w:p>
      <w:pPr>
        <w:spacing w:after="120" w:before="240" w:line="276"/>
        <w:jc w:val="left"/>
      </w:pPr>
      <w:r>
        <w:rPr>
          <w:b/>
          <w:bCs/>
        </w:rPr>
        <w:t xml:space="preserve">Art. 12. </w:t>
      </w:r>
      <w:r>
        <w:rPr>
          <w:b/>
          <w:bCs/>
        </w:rPr>
        <w:t xml:space="preserve">Auditul</w:t>
      </w:r>
    </w:p>
    <w:p>
      <w:pPr>
        <w:spacing w:after="80" w:line="276"/>
        <w:jc w:val="both"/>
      </w:pPr>
      <w:r>
        <w:rPr>
          <w:b/>
          <w:bCs/>
        </w:rPr>
        <w:t xml:space="preserve">(1) </w:t>
      </w:r>
      <w:r>
        <w:t xml:space="preserve">FRN este auditat anual de Curtea de Conturi.</w:t>
      </w:r>
    </w:p>
    <w:p>
      <w:pPr>
        <w:spacing w:after="80" w:line="276"/>
        <w:jc w:val="both"/>
      </w:pPr>
      <w:r>
        <w:rPr>
          <w:b/>
          <w:bCs/>
        </w:rPr>
        <w:t xml:space="preserve">(2) </w:t>
      </w:r>
      <w:r>
        <w:t xml:space="preserve">Raportul de audit se publică pe portalul de transparență și se prezintă comisiilor de specialitate ale Parlamentului în termen de 90 de zile de la încheierea anului fiscal.</w:t>
      </w:r>
    </w:p>
    <w:p>
      <w:pPr>
        <w:spacing w:after="120" w:before="240" w:line="276"/>
        <w:jc w:val="left"/>
      </w:pPr>
      <w:r>
        <w:rPr>
          <w:b/>
          <w:bCs/>
        </w:rPr>
        <w:t xml:space="preserve">Art. 13. </w:t>
      </w:r>
      <w:r>
        <w:rPr>
          <w:b/>
          <w:bCs/>
        </w:rPr>
        <w:t xml:space="preserve">Raportarea parlamentară</w:t>
      </w:r>
    </w:p>
    <w:p>
      <w:pPr>
        <w:spacing w:after="80" w:line="276"/>
        <w:jc w:val="both"/>
      </w:pPr>
      <w:r>
        <w:rPr>
          <w:b/>
          <w:bCs/>
        </w:rPr>
        <w:t xml:space="preserve">(1) </w:t>
      </w:r>
      <w:r>
        <w:t xml:space="preserve">Ministrul Transporturilor prezintă semestrial în fața comisiilor reunite de Transporturi și Buget-Finanțe un raport privind execuția FRN, incluzând: veniturile încasate, proiectele finalizate, proiectele în derulare, și indicatorii de performanță.</w:t>
      </w:r>
    </w:p>
    <w:p>
      <w:pPr>
        <w:pStyle w:val="Heading2"/>
      </w:pPr>
      <w:r>
        <w:t xml:space="preserve">CAPITOLUL VII — Sancțiuni</w:t>
      </w:r>
    </w:p>
    <w:p>
      <w:pPr>
        <w:spacing w:after="120" w:before="240" w:line="276"/>
        <w:jc w:val="left"/>
      </w:pPr>
      <w:r>
        <w:rPr>
          <w:b/>
          <w:bCs/>
        </w:rPr>
        <w:t xml:space="preserve">Art. 14. </w:t>
      </w:r>
      <w:r>
        <w:rPr>
          <w:b/>
          <w:bCs/>
        </w:rPr>
        <w:t xml:space="preserve">Contravenții</w:t>
      </w:r>
    </w:p>
    <w:p>
      <w:pPr>
        <w:spacing w:after="80" w:line="276"/>
        <w:jc w:val="both"/>
      </w:pPr>
      <w:r>
        <w:rPr>
          <w:b/>
          <w:bCs/>
        </w:rPr>
        <w:t xml:space="preserve">(1) </w:t>
      </w:r>
      <w:r>
        <w:t xml:space="preserve">Constituie contravenții următoarele fapte, dacă nu sunt comise în condiții care să constituie infracțiuni:</w:t>
      </w:r>
    </w:p>
    <w:p>
      <w:pPr>
        <w:spacing w:after="60" w:line="276"/>
        <w:ind w:left="720"/>
        <w:jc w:val="both"/>
      </w:pPr>
      <w:r>
        <w:rPr>
          <w:b/>
          <w:bCs/>
        </w:rPr>
        <w:t xml:space="preserve">a) </w:t>
      </w:r>
      <w:r>
        <w:t xml:space="preserve">utilizarea fondurilor FRN în alte scopuri decât cele prevăzute la art. 6 — amendă de la 50.000 lei la 200.000 lei;</w:t>
      </w:r>
    </w:p>
    <w:p>
      <w:pPr>
        <w:spacing w:after="60" w:line="276"/>
        <w:ind w:left="720"/>
        <w:jc w:val="both"/>
      </w:pPr>
      <w:r>
        <w:rPr>
          <w:b/>
          <w:bCs/>
        </w:rPr>
        <w:t xml:space="preserve">b) </w:t>
      </w:r>
      <w:r>
        <w:t xml:space="preserve">nepublicarea datelor pe portalul de transparență în termenele prevăzute — amendă de la 10.000 lei la 50.000 lei;</w:t>
      </w:r>
    </w:p>
    <w:p>
      <w:pPr>
        <w:spacing w:after="60" w:line="276"/>
        <w:ind w:left="720"/>
        <w:jc w:val="both"/>
      </w:pPr>
      <w:r>
        <w:rPr>
          <w:b/>
          <w:bCs/>
        </w:rPr>
        <w:t xml:space="preserve">c) </w:t>
      </w:r>
      <w:r>
        <w:t xml:space="preserve">întârzierea vierii sumelor către FRN cu mai mult de 15 zile față de termenul prevăzut la art. 4 alin. (3) — amendă de la 20.000 lei la 100.000 lei.</w:t>
      </w:r>
    </w:p>
    <w:p>
      <w:pPr>
        <w:spacing w:after="80" w:line="276"/>
        <w:jc w:val="both"/>
      </w:pPr>
      <w:r>
        <w:rPr>
          <w:b/>
          <w:bCs/>
        </w:rPr>
        <w:t xml:space="preserve">(2) </w:t>
      </w:r>
      <w:r>
        <w:t xml:space="preserve">Constatarea contravențiilor și aplicarea sancțiunilor se fac de către Curtea de Conturi și Corpul de control al primului-ministru.</w:t>
      </w:r>
    </w:p>
    <w:p>
      <w:pPr>
        <w:pStyle w:val="Heading2"/>
      </w:pPr>
      <w:r>
        <w:t xml:space="preserve">CAPITOLUL VIII — Dispoziții tranzitorii și finale</w:t>
      </w:r>
    </w:p>
    <w:p>
      <w:pPr>
        <w:spacing w:after="120" w:before="240" w:line="276"/>
        <w:jc w:val="left"/>
      </w:pPr>
      <w:r>
        <w:rPr>
          <w:b/>
          <w:bCs/>
        </w:rPr>
        <w:t xml:space="preserve">Art. 15. </w:t>
      </w:r>
      <w:r>
        <w:rPr>
          <w:b/>
          <w:bCs/>
        </w:rPr>
        <w:t xml:space="preserve">Implementare</w:t>
      </w:r>
    </w:p>
    <w:p>
      <w:pPr>
        <w:spacing w:after="80" w:line="276"/>
        <w:jc w:val="both"/>
      </w:pPr>
      <w:r>
        <w:rPr>
          <w:b/>
          <w:bCs/>
        </w:rPr>
        <w:t xml:space="preserve">(1) </w:t>
      </w:r>
      <w:r>
        <w:t xml:space="preserve">FRN devine operațional în termen de 6 luni de la publicarea prezentei legi în Monitorul Oficial.</w:t>
      </w:r>
    </w:p>
    <w:p>
      <w:pPr>
        <w:spacing w:after="80" w:line="276"/>
        <w:jc w:val="both"/>
      </w:pPr>
      <w:r>
        <w:rPr>
          <w:b/>
          <w:bCs/>
        </w:rPr>
        <w:t xml:space="preserve">(2) </w:t>
      </w:r>
      <w:r>
        <w:t xml:space="preserve">Consiliul de Administrare se constituie în termen de 3 luni de la publicare.</w:t>
      </w:r>
    </w:p>
    <w:p>
      <w:pPr>
        <w:spacing w:after="80" w:line="276"/>
        <w:jc w:val="both"/>
      </w:pPr>
      <w:r>
        <w:rPr>
          <w:b/>
          <w:bCs/>
        </w:rPr>
        <w:t xml:space="preserve">(3) </w:t>
      </w:r>
      <w:r>
        <w:t xml:space="preserve">Portalul de transparență se lansează în termen de 9 luni de la publicare.</w:t>
      </w:r>
    </w:p>
    <w:p>
      <w:pPr>
        <w:spacing w:after="80" w:line="276"/>
        <w:jc w:val="both"/>
      </w:pPr>
      <w:r>
        <w:rPr>
          <w:b/>
          <w:bCs/>
        </w:rPr>
        <w:t xml:space="preserve">(4) </w:t>
      </w:r>
      <w:r>
        <w:t xml:space="preserve">Lista inițială a rutelor esențiale de transport public se publică în termen de 12 luni de la publicare.</w:t>
      </w:r>
    </w:p>
    <w:p>
      <w:pPr>
        <w:spacing w:after="120" w:before="240" w:line="276"/>
        <w:jc w:val="left"/>
      </w:pPr>
      <w:r>
        <w:rPr>
          <w:b/>
          <w:bCs/>
        </w:rPr>
        <w:t xml:space="preserve">Art. 16. </w:t>
      </w:r>
      <w:r>
        <w:rPr>
          <w:b/>
          <w:bCs/>
        </w:rPr>
        <w:t xml:space="preserve">Modificări ale Codului Fiscal</w:t>
      </w:r>
    </w:p>
    <w:p>
      <w:pPr>
        <w:spacing w:after="80" w:line="276"/>
        <w:jc w:val="both"/>
      </w:pPr>
      <w:r>
        <w:rPr>
          <w:b/>
          <w:bCs/>
        </w:rPr>
        <w:t xml:space="preserve">(1) </w:t>
      </w:r>
      <w:r>
        <w:t xml:space="preserve">La Legea nr. 227/2015 privind Codul Fiscal, după articolul 355, se introduce un nou articol, art. 355</w:t>
      </w:r>
      <w:r>
        <w:rPr>
          <w:vertAlign w:val="superscript"/>
        </w:rPr>
        <w:t xml:space="preserve">¹</w:t>
      </w:r>
      <w:r>
        <w:t xml:space="preserve">, cu următorul cuprins:</w:t>
      </w:r>
    </w:p>
    <w:p>
      <w:pPr>
        <w:spacing w:after="120" w:line="276"/>
        <w:jc w:val="both"/>
      </w:pPr>
      <w:r>
        <w:rPr>
          <w:b/>
          <w:bCs/>
        </w:rPr>
        <w:t xml:space="preserve">"Art. 355¹. </w:t>
      </w:r>
      <w:r>
        <w:t xml:space="preserve">Destinarea veniturilor din acciza la combustibili</w:t>
      </w:r>
      <w:r>
        <w:rPr>
          <w:b/>
          <w:bCs/>
        </w:rPr>
        <w:t xml:space="preserve"> — </w:t>
      </w:r>
      <w:r>
        <w:t xml:space="preserve">80% din veniturile încasate din acciza la benzină și motorină, inclusiv supraacciza, se virează automat în Fondul Rutier Național, constituit și reglementat prin lege specială."</w:t>
      </w:r>
    </w:p>
    <w:p>
      <w:pPr>
        <w:spacing w:after="120" w:before="240" w:line="276"/>
        <w:jc w:val="left"/>
      </w:pPr>
      <w:r>
        <w:rPr>
          <w:b/>
          <w:bCs/>
        </w:rPr>
        <w:t xml:space="preserve">Art. 17. </w:t>
      </w:r>
      <w:r>
        <w:rPr>
          <w:b/>
          <w:bCs/>
        </w:rPr>
        <w:t xml:space="preserve">Dispoziții finale</w:t>
      </w:r>
    </w:p>
    <w:p>
      <w:pPr>
        <w:spacing w:after="80" w:line="276"/>
        <w:jc w:val="both"/>
      </w:pPr>
      <w:r>
        <w:rPr>
          <w:b/>
          <w:bCs/>
        </w:rPr>
        <w:t xml:space="preserve">(1) </w:t>
      </w:r>
      <w:r>
        <w:t xml:space="preserve">Prezenta lege intră în vigoare la 30 de zile de la publicarea în Monitorul Oficial al României, Partea I.</w:t>
      </w:r>
    </w:p>
    <w:p>
      <w:pPr>
        <w:spacing w:after="80" w:line="276"/>
        <w:jc w:val="both"/>
      </w:pPr>
      <w:r>
        <w:rPr>
          <w:b/>
          <w:bCs/>
        </w:rPr>
        <w:t xml:space="preserve">(2) </w:t>
      </w:r>
      <w:r>
        <w:t xml:space="preserve">Guvernul adoptă normele metodologice de aplicare în termen de 90 de zile de la intrarea în vigoare.</w:t>
      </w:r>
    </w:p>
    <w:p>
      <w:pPr>
        <w:spacing w:after="80" w:line="276"/>
        <w:jc w:val="both"/>
      </w:pPr>
      <w:r>
        <w:rPr>
          <w:b/>
          <w:bCs/>
        </w:rPr>
        <w:t xml:space="preserve">(3) </w:t>
      </w:r>
      <w:r>
        <w:t xml:space="preserve">Orice dispoziții contrare se abrogă.</w:t>
      </w:r>
    </w:p>
    <w:p>
      <w:pPr>
        <w:spacing w:before="600"/>
      </w:pPr>
    </w:p>
    <w:p>
      <w:pPr>
        <w:spacing w:after="120" w:line="276"/>
        <w:jc w:val="center"/>
      </w:pPr>
      <w:r>
        <w:rPr>
          <w:i/>
          <w:iCs/>
        </w:rPr>
        <w:t xml:space="preserve">Această lege a fost adoptată de Parlamentul României, cu respectarea prevederilor art. 75 și ale art. 76 alin. (1) din Constituția României, republicată.</w:t>
      </w:r>
    </w:p>
    <w:p>
      <w:r>
        <w:br w:type="page"/>
      </w:r>
    </w:p>
    <w:p>
      <w:pPr>
        <w:pStyle w:val="Heading1"/>
      </w:pPr>
      <w:r>
        <w:t xml:space="preserve">ANEXĂ — NOTE PENTRU UTILIZARE</w:t>
      </w:r>
    </w:p>
    <w:p>
      <w:pPr>
        <w:pStyle w:val="Heading2"/>
      </w:pPr>
      <w:r>
        <w:t xml:space="preserve">Cum se poate folosi acest document</w:t>
      </w:r>
    </w:p>
    <w:p>
      <w:pPr>
        <w:spacing w:after="120" w:line="276"/>
        <w:jc w:val="both"/>
      </w:pPr>
      <w:r>
        <w:rPr>
          <w:b/>
          <w:bCs/>
        </w:rPr>
        <w:t xml:space="preserve">Opțiunea 1: Inițiativă cetățeanească legislativă. </w:t>
      </w:r>
      <w:r>
        <w:t xml:space="preserve">Conform art. 74 din Constituție, sunt necesare 100.000 de semnături din cel puțin un sfert din județe. Textul de mai sus poate servi ca bază pentru proiectul de lege depus la Parlament.</w:t>
      </w:r>
    </w:p>
    <w:p>
      <w:pPr>
        <w:spacing w:after="120" w:line="276"/>
        <w:jc w:val="both"/>
      </w:pPr>
      <w:r>
        <w:rPr>
          <w:b/>
          <w:bCs/>
        </w:rPr>
        <w:t xml:space="preserve">Opțiunea 2: Proiect de lege depus de parlamentari. </w:t>
      </w:r>
      <w:r>
        <w:t xml:space="preserve">Un grup de deputați sau senatori poate prelua textul și îl poate depune ca proiect de lege. Expunerea de motive de mai sus poate fi adaptată ca atare.</w:t>
      </w:r>
    </w:p>
    <w:p>
      <w:pPr>
        <w:spacing w:after="120" w:line="276"/>
        <w:jc w:val="both"/>
      </w:pPr>
      <w:r>
        <w:rPr>
          <w:b/>
          <w:bCs/>
        </w:rPr>
        <w:t xml:space="preserve">Opțiunea 3: Document de poziție pentru asociații profesionale. </w:t>
      </w:r>
      <w:r>
        <w:t xml:space="preserve">Asociații precum UNTRR, ARTRI, AMR, ACoR pot folosi acest document ca bază pentru o cerere formală către Guvern și Parlament.</w:t>
      </w:r>
    </w:p>
    <w:p>
      <w:pPr>
        <w:pStyle w:val="Heading2"/>
      </w:pPr>
      <w:r>
        <w:t xml:space="preserve">Asociații și organizații relevante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2"/>
                <w:szCs w:val="22"/>
              </w:rPr>
              <w:t xml:space="preserve">Organizație</w:t>
            </w:r>
          </w:p>
        </w:tc>
        <w:tc>
          <w:tcPr>
            <w:tcW w:type="dxa" w:w="55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2"/>
                <w:szCs w:val="22"/>
              </w:rPr>
              <w:t xml:space="preserve">Relevanță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2"/>
                <w:szCs w:val="22"/>
              </w:rPr>
              <w:t xml:space="preserve">UNTRR</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2"/>
                <w:szCs w:val="22"/>
              </w:rPr>
              <w:t xml:space="preserve">Uniunea Națională a Transportatorilor Rutieri — interes direct în reducerea/transparentizarea accizelor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2"/>
                <w:szCs w:val="22"/>
              </w:rPr>
              <w:t xml:space="preserve">ARTRI</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2"/>
                <w:szCs w:val="22"/>
              </w:rPr>
              <w:t xml:space="preserve">Asociația Română a Transportatorilor Rutieri Internaționali</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2"/>
                <w:szCs w:val="22"/>
              </w:rPr>
              <w:t xml:space="preserve">AMR</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2"/>
                <w:szCs w:val="22"/>
              </w:rPr>
              <w:t xml:space="preserve">Asociația Municipiilor din România — beneficiari direcți ai FRN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2"/>
                <w:szCs w:val="22"/>
              </w:rPr>
              <w:t xml:space="preserve">ACoR</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2"/>
                <w:szCs w:val="22"/>
              </w:rPr>
              <w:t xml:space="preserve">Asociația Comunelor din România — rute esențiale deservesc comuni</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2"/>
                <w:szCs w:val="22"/>
              </w:rPr>
              <w:t xml:space="preserve">ProInfrastructura</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2"/>
                <w:szCs w:val="22"/>
              </w:rPr>
              <w:t xml:space="preserve">ONG cu expertiză în monitorizarea proiectelor de infrastructură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2"/>
                <w:szCs w:val="22"/>
              </w:rPr>
              <w:t xml:space="preserve">CNAIR</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2"/>
                <w:szCs w:val="22"/>
              </w:rPr>
              <w:t xml:space="preserve">Compania Națională de Administrare a Infrastructurii Rutiere — executor principal</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2"/>
                <w:szCs w:val="22"/>
              </w:rPr>
              <w:t xml:space="preserve">Curtea de Conturi</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2"/>
                <w:szCs w:val="22"/>
              </w:rPr>
              <w:t xml:space="preserve">Instituția de audit care ar verifica FRN</w:t>
            </w:r>
          </w:p>
        </w:tc>
      </w:tr>
    </w:tbl>
    <w:p>
      <w:pPr>
        <w:spacing w:before="400"/>
      </w:pPr>
    </w:p>
    <w:p>
      <w:pPr>
        <w:spacing w:after="120" w:line="276"/>
        <w:jc w:val="both"/>
      </w:pPr>
      <w:r>
        <w:rPr>
          <w:b/>
          <w:bCs/>
        </w:rPr>
        <w:t xml:space="preserve">Notă: </w:t>
      </w:r>
      <w:r>
        <w:t xml:space="preserve">Acest document este un draft de lucru și nu constituie consultanță juridică. Înainte de depunerea formală, se recomandă revizuirea de către un jurist specializat în drept constituțional și fiscal.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Propunere legislativă — Fondul Rutier Național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09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2026-04-02T12:21:48.546Z</dcterms:created>
  <dcterms:modified xsi:type="dcterms:W3CDTF">2026-04-02T12:21:48.546Z</dcterms:modified>
</cp:coreProperties>
</file>

<file path=docProps/custom.xml><?xml version="1.0" encoding="utf-8"?>
<Properties xmlns="http://schemas.openxmlformats.org/officeDocument/2006/custom-properties" xmlns:vt="http://schemas.openxmlformats.org/officeDocument/2006/docPropsVTypes"/>
</file>