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Arial" w:cs="Arial" w:eastAsia="Arial" w:hAnsi="Arial"/>
          <w:b/>
          <w:bCs/>
          <w:color w:val="1A5276"/>
          <w:sz w:val="36"/>
          <w:szCs w:val="36"/>
        </w:rPr>
        <w:t xml:space="preserve">PROIECT DE LEGE
privind reforma cadastrului și cărții funciare</w:t>
      </w:r>
    </w:p>
    <w:p>
      <w:pPr>
        <w:spacing w:after="100"/>
        <w:jc w:val="center"/>
      </w:pPr>
      <w:r>
        <w:rPr>
          <w:rFonts w:ascii="Arial" w:cs="Arial" w:eastAsia="Arial" w:hAnsi="Arial"/>
          <w:color w:val="2C3E50"/>
          <w:sz w:val="24"/>
          <w:szCs w:val="24"/>
        </w:rPr>
        <w:t xml:space="preserve">Legea Reformei Cadastrului</w:t>
      </w: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Versiunea 1.0 | Aprilie 2026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EXPUNERE DE MOTIVE</w:t>
      </w:r>
    </w:p>
    <w:p>
      <w:pPr>
        <w:spacing w:after="100" w:line="276"/>
      </w:pPr>
      <w:r>
        <w:rPr>
          <w:rFonts w:ascii="Arial" w:cs="Arial" w:eastAsia="Arial" w:hAnsi="Arial"/>
          <w:sz w:val="22"/>
          <w:szCs w:val="22"/>
        </w:rPr>
        <w:t xml:space="preserve">Prezenta lege accelerează finalizarea Programului Național de Cadastru și Carte Funciară (PNCCF). Cuprinde 21 de articole în 5 capitole: termen imperativ 2028 cu penalități automate calculate de sistem în 3 categorii (întârziere moderată 1-6 luni: 0,05%/zi; semnificativă 6-12 luni: 0,10%/zi + restricție licitații noi; gravă peste 12 luni: reziliere automată), reatribuire rapidă în 60 de zile a contractelor reziliate, intabulare simplificată cu maxim 2 documente, echipe mobile trimestriale în fiecare UAT, comisii de conciliere la nivel de OCPI pentru conflicte, acces complet pentru diaspora prin procură consulară, transparență pe e-terra.ro cu hartă GIS colorată pe stadiu de execuție.</w:t>
      </w:r>
    </w:p>
    <w:p>
      <w:pPr>
        <w:spacing w:before="200"/>
      </w:pP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Textul complet cu toate articolele, alineatele și normele metodologice este disponibil la: https://florindumitru22.github.io/reforme-romania/</w:t>
      </w:r>
    </w:p>
    <w:p>
      <w:pPr>
        <w:spacing w:after="100" w:line="276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Contact: Florin Dumitru — florindumitruconstanta@gmail.com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Florin Dumitru | florindumitruconstanta@gmail.com | Pagina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Proiect Lege — Reforma Cadastrului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2026-05-05T22:07:44.033Z</dcterms:created>
  <dcterms:modified xsi:type="dcterms:W3CDTF">2026-05-05T22:07:44.033Z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