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A5276"/>
          <w:sz w:val="36"/>
          <w:szCs w:val="36"/>
        </w:rPr>
        <w:t xml:space="preserve">PROIECT DE LEGE
privind impozitul pe valoarea terenului</w:t>
      </w:r>
    </w:p>
    <w:p>
      <w:pPr>
        <w:spacing w:after="100"/>
        <w:jc w:val="center"/>
      </w:pPr>
      <w:r>
        <w:rPr>
          <w:rFonts w:ascii="Arial" w:cs="Arial" w:eastAsia="Arial" w:hAnsi="Arial"/>
          <w:color w:val="2C3E50"/>
          <w:sz w:val="24"/>
          <w:szCs w:val="24"/>
        </w:rPr>
        <w:t xml:space="preserve">Legea Impozitului pe Valoarea Terenului (LVT)</w:t>
      </w:r>
    </w:p>
    <w:p>
      <w:pPr>
        <w:spacing w:after="400"/>
        <w:jc w:val="center"/>
      </w:pPr>
      <w:r>
        <w:rPr>
          <w:rFonts w:ascii="Arial" w:cs="Arial" w:eastAsia="Arial" w:hAnsi="Arial"/>
          <w:color w:val="999999"/>
          <w:sz w:val="20"/>
          <w:szCs w:val="20"/>
        </w:rPr>
        <w:t xml:space="preserve">Versiunea 1.0 | Aprilie 2026</w:t>
      </w:r>
    </w:p>
    <w:p>
      <w:pPr>
        <w:pStyle w:val="Heading2"/>
        <w:spacing w:after="120" w:before="240"/>
      </w:pPr>
      <w:r>
        <w:rPr>
          <w:rFonts w:ascii="Arial" w:cs="Arial" w:eastAsia="Arial" w:hAnsi="Arial"/>
          <w:b/>
          <w:bCs/>
          <w:color w:val="2C3E50"/>
          <w:sz w:val="26"/>
          <w:szCs w:val="26"/>
        </w:rPr>
        <w:t xml:space="preserve">EXPUNERE DE MOTIVE</w:t>
      </w:r>
    </w:p>
    <w:p>
      <w:pPr>
        <w:spacing w:after="100" w:line="276"/>
      </w:pPr>
      <w:r>
        <w:rPr>
          <w:rFonts w:ascii="Arial" w:cs="Arial" w:eastAsia="Arial" w:hAnsi="Arial"/>
          <w:sz w:val="22"/>
          <w:szCs w:val="22"/>
        </w:rPr>
        <w:t xml:space="preserve">Prezenta lege introduce impozitul pe valoarea terenului (Land Value Tax) ca alternativă la impozitarea actuală bazată pe grile notariale, în conformitate cu PNRR Milestone 237. Cuprinde 28 de articole în 7 capitole: model CAMA (Computer-Assisted Mass Appraisal) cu 5 factori obiectivi (locație, suprafață, utilități, zonare, coeficient zonal de piață), portal evaluare.ancpi.ro cu simulare impozit, cote diferențiate (0,10-0,15% teren agricol activ, 0,15-0,30% intravilan ocupat, 0,30-1,00% intravilan speculativ), scutire parțială locuință principală (coeficient 0,5), coeficient demografic pentru comune sub 5.000 locuitori, verificare teren agricol activ via APIA și satelit Sentinel, verificare automată teren speculativ, și perioadă de tranziție de 3 ani.</w:t>
      </w:r>
    </w:p>
    <w:p>
      <w:pPr>
        <w:spacing w:before="200"/>
      </w:pPr>
    </w:p>
    <w:p>
      <w:pPr>
        <w:spacing w:after="100" w:line="276"/>
      </w:pPr>
      <w:r>
        <w:rPr>
          <w:rFonts w:ascii="Arial" w:cs="Arial" w:eastAsia="Arial" w:hAnsi="Arial"/>
          <w:i/>
          <w:iCs/>
          <w:sz w:val="22"/>
          <w:szCs w:val="22"/>
        </w:rPr>
        <w:t xml:space="preserve">Textul complet cu toate articolele, alineatele și normele metodologice este disponibil la: https://florindumitru22.github.io/reforme-romania/</w:t>
      </w:r>
    </w:p>
    <w:p>
      <w:pPr>
        <w:spacing w:after="100" w:line="276"/>
      </w:pPr>
      <w:r>
        <w:rPr>
          <w:rFonts w:ascii="Arial" w:cs="Arial" w:eastAsia="Arial" w:hAnsi="Arial"/>
          <w:i/>
          <w:iCs/>
          <w:sz w:val="22"/>
          <w:szCs w:val="22"/>
        </w:rPr>
        <w:t xml:space="preserve">Contact: Florin Dumitru — florindumitruconstanta@gmail.com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Florin Dumitru | florindumitruconstanta@gmail.com |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Proiect Lege — Impozit Valoare Teren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2026-05-05T22:07:44.022Z</dcterms:created>
  <dcterms:modified xsi:type="dcterms:W3CDTF">2026-05-05T22:07:44.022Z</dcterms:modified>
</cp:coreProperties>
</file>

<file path=docProps/custom.xml><?xml version="1.0" encoding="utf-8"?>
<Properties xmlns="http://schemas.openxmlformats.org/officeDocument/2006/custom-properties" xmlns:vt="http://schemas.openxmlformats.org/officeDocument/2006/docPropsVTypes"/>
</file>