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A5276"/>
          <w:sz w:val="36"/>
          <w:szCs w:val="36"/>
        </w:rPr>
        <w:t xml:space="preserve">ANALIZA DE IMPACT BUGETAR
Pachet legislativ — 10 legi, 25 reforme</w:t>
      </w:r>
    </w:p>
    <w:p>
      <w:pPr>
        <w:spacing w:after="100"/>
        <w:jc w:val="center"/>
      </w:pPr>
      <w:r>
        <w:rPr>
          <w:rFonts w:ascii="Arial" w:cs="Arial" w:eastAsia="Arial" w:hAnsi="Arial"/>
          <w:color w:val="2C3E50"/>
          <w:sz w:val="24"/>
          <w:szCs w:val="24"/>
        </w:rPr>
        <w:t xml:space="preserve">Proiecție pe 5 ani (2026-2031)</w:t>
      </w:r>
    </w:p>
    <w:p>
      <w:pPr>
        <w:spacing w:after="400"/>
        <w:jc w:val="center"/>
      </w:pPr>
      <w:r>
        <w:rPr>
          <w:rFonts w:ascii="Arial" w:cs="Arial" w:eastAsia="Arial" w:hAnsi="Arial"/>
          <w:color w:val="999999"/>
          <w:sz w:val="20"/>
          <w:szCs w:val="20"/>
        </w:rPr>
        <w:t xml:space="preserve">Versiunea 1.0 | Aprilie 2026</w:t>
      </w:r>
    </w:p>
    <w:p>
      <w:pPr>
        <w:pStyle w:val="Heading2"/>
        <w:spacing w:after="120" w:before="240"/>
      </w:pPr>
      <w:r>
        <w:rPr>
          <w:rFonts w:ascii="Arial" w:cs="Arial" w:eastAsia="Arial" w:hAnsi="Arial"/>
          <w:b/>
          <w:bCs/>
          <w:color w:val="2C3E50"/>
          <w:sz w:val="26"/>
          <w:szCs w:val="26"/>
        </w:rPr>
        <w:t xml:space="preserve">SINTEZA EXECUTIVĂ</w:t>
      </w:r>
    </w:p>
    <w:p>
      <w:pPr>
        <w:spacing w:after="100" w:line="276"/>
      </w:pPr>
      <w:r>
        <w:rPr>
          <w:rFonts w:ascii="Arial" w:cs="Arial" w:eastAsia="Arial" w:hAnsi="Arial"/>
          <w:sz w:val="22"/>
          <w:szCs w:val="22"/>
        </w:rPr>
        <w:t xml:space="preserve">Pachetul legislativ de 10 legi cu 25 de reforme structurale are un impact bugetar net de zero pe termen mediu. Niciuna din cele 10 legi nu introduce taxe noi sau cheltuieli bugetare suplimentare semnificative. Mecanismul principal este redistribuirea veniturilor existente (earmarking accize), generarea de venituri locale noi (LVT), și reducerea costurilor administrative (digitalizare, transparență).</w:t>
      </w:r>
    </w:p>
    <w:p>
      <w:pPr>
        <w:pStyle w:val="Heading2"/>
        <w:spacing w:after="120" w:before="240"/>
      </w:pPr>
      <w:r>
        <w:rPr>
          <w:rFonts w:ascii="Arial" w:cs="Arial" w:eastAsia="Arial" w:hAnsi="Arial"/>
          <w:b/>
          <w:bCs/>
          <w:color w:val="2C3E50"/>
          <w:sz w:val="26"/>
          <w:szCs w:val="26"/>
        </w:rPr>
        <w:t xml:space="preserve">IMPACT PE CATEGORII</w:t>
      </w:r>
    </w:p>
    <w:p>
      <w:pPr>
        <w:pStyle w:val="Heading3"/>
        <w:spacing w:after="100" w:before="200"/>
      </w:pPr>
      <w:r>
        <w:rPr>
          <w:rFonts w:ascii="Arial" w:cs="Arial" w:eastAsia="Arial" w:hAnsi="Arial"/>
          <w:b/>
          <w:bCs/>
          <w:color w:val="34495E"/>
          <w:sz w:val="24"/>
          <w:szCs w:val="24"/>
        </w:rPr>
        <w:t xml:space="preserve">Legi cu impact bugetar neutru (redistribuire)</w:t>
      </w:r>
    </w:p>
    <w:p>
      <w:pPr>
        <w:spacing w:after="100" w:line="276"/>
      </w:pPr>
      <w:r>
        <w:rPr>
          <w:rFonts w:ascii="Arial" w:cs="Arial" w:eastAsia="Arial" w:hAnsi="Arial"/>
          <w:sz w:val="22"/>
          <w:szCs w:val="22"/>
        </w:rPr>
        <w:t xml:space="preserve">Legea 1 (FRN): Redistribuie 40% din accize existente. Impact net: zero — banii sunt deja colectați, doar destinația se schimbă.</w:t>
      </w:r>
    </w:p>
    <w:p>
      <w:pPr>
        <w:spacing w:after="100" w:line="276"/>
      </w:pPr>
      <w:r>
        <w:rPr>
          <w:rFonts w:ascii="Arial" w:cs="Arial" w:eastAsia="Arial" w:hAnsi="Arial"/>
          <w:sz w:val="22"/>
          <w:szCs w:val="22"/>
        </w:rPr>
        <w:t xml:space="preserve">Legea 5 (Siguranță Rutieră): Fond din 50% amenzi existente. Impact net: zero.</w:t>
      </w:r>
    </w:p>
    <w:p>
      <w:pPr>
        <w:pStyle w:val="Heading3"/>
        <w:spacing w:after="100" w:before="200"/>
      </w:pPr>
      <w:r>
        <w:rPr>
          <w:rFonts w:ascii="Arial" w:cs="Arial" w:eastAsia="Arial" w:hAnsi="Arial"/>
          <w:b/>
          <w:bCs/>
          <w:color w:val="34495E"/>
          <w:sz w:val="24"/>
          <w:szCs w:val="24"/>
        </w:rPr>
        <w:t xml:space="preserve">Legi generatoare de venituri</w:t>
      </w:r>
    </w:p>
    <w:p>
      <w:pPr>
        <w:spacing w:after="100" w:line="276"/>
      </w:pPr>
      <w:r>
        <w:rPr>
          <w:rFonts w:ascii="Arial" w:cs="Arial" w:eastAsia="Arial" w:hAnsi="Arial"/>
          <w:sz w:val="22"/>
          <w:szCs w:val="22"/>
        </w:rPr>
        <w:t xml:space="preserve">Legea 9 (LVT): Generează venituri locale noi estimate la 2-4 miliarde lei/an la maturitate (anul 5). Cost implementare CAMA: ~155 milioane lei pe 5 ani (ANCPI + asistență Banca Mondială).</w:t>
      </w:r>
    </w:p>
    <w:p>
      <w:pPr>
        <w:spacing w:after="100" w:line="276"/>
      </w:pPr>
      <w:r>
        <w:rPr>
          <w:rFonts w:ascii="Arial" w:cs="Arial" w:eastAsia="Arial" w:hAnsi="Arial"/>
          <w:sz w:val="22"/>
          <w:szCs w:val="22"/>
        </w:rPr>
        <w:t xml:space="preserve">Legea 4 (Transparență): Reduce pierderile din contracte publice estimate la 3-5% din valoarea achizițiilor publice.</w:t>
      </w:r>
    </w:p>
    <w:p>
      <w:pPr>
        <w:pStyle w:val="Heading3"/>
        <w:spacing w:after="100" w:before="200"/>
      </w:pPr>
      <w:r>
        <w:rPr>
          <w:rFonts w:ascii="Arial" w:cs="Arial" w:eastAsia="Arial" w:hAnsi="Arial"/>
          <w:b/>
          <w:bCs/>
          <w:color w:val="34495E"/>
          <w:sz w:val="24"/>
          <w:szCs w:val="24"/>
        </w:rPr>
        <w:t xml:space="preserve">Legi care reduc costuri</w:t>
      </w:r>
    </w:p>
    <w:p>
      <w:pPr>
        <w:spacing w:after="100" w:line="276"/>
      </w:pPr>
      <w:r>
        <w:rPr>
          <w:rFonts w:ascii="Arial" w:cs="Arial" w:eastAsia="Arial" w:hAnsi="Arial"/>
          <w:sz w:val="22"/>
          <w:szCs w:val="22"/>
        </w:rPr>
        <w:t xml:space="preserve">Legea 2 (Digitalizare): Reducere costuri administrative estimate la 500 milioane lei/an la maturitate. Cost implementare: ~200 milioane lei pe 3 ani.</w:t>
      </w:r>
    </w:p>
    <w:p>
      <w:pPr>
        <w:spacing w:after="100" w:line="276"/>
      </w:pPr>
      <w:r>
        <w:rPr>
          <w:rFonts w:ascii="Arial" w:cs="Arial" w:eastAsia="Arial" w:hAnsi="Arial"/>
          <w:sz w:val="22"/>
          <w:szCs w:val="22"/>
        </w:rPr>
        <w:t xml:space="preserve">Legea 3 (Cod Contribuabil): Reducere costuri de conformitate pentru contribuabili și administrație.</w:t>
      </w:r>
    </w:p>
    <w:p>
      <w:pPr>
        <w:spacing w:after="100" w:line="276"/>
      </w:pPr>
      <w:r>
        <w:rPr>
          <w:rFonts w:ascii="Arial" w:cs="Arial" w:eastAsia="Arial" w:hAnsi="Arial"/>
          <w:sz w:val="22"/>
          <w:szCs w:val="22"/>
        </w:rPr>
        <w:t xml:space="preserve">Legea 7 (Urbanism Digital): Reducere costuri procesare autorizații, eliminare hârtie.</w:t>
      </w:r>
    </w:p>
    <w:p>
      <w:pPr>
        <w:pStyle w:val="Heading3"/>
        <w:spacing w:after="100" w:before="200"/>
      </w:pPr>
      <w:r>
        <w:rPr>
          <w:rFonts w:ascii="Arial" w:cs="Arial" w:eastAsia="Arial" w:hAnsi="Arial"/>
          <w:b/>
          <w:bCs/>
          <w:color w:val="34495E"/>
          <w:sz w:val="24"/>
          <w:szCs w:val="24"/>
        </w:rPr>
        <w:t xml:space="preserve">Legi cu cost de implementare minim</w:t>
      </w:r>
    </w:p>
    <w:p>
      <w:pPr>
        <w:spacing w:after="100" w:line="276"/>
      </w:pPr>
      <w:r>
        <w:rPr>
          <w:rFonts w:ascii="Arial" w:cs="Arial" w:eastAsia="Arial" w:hAnsi="Arial"/>
          <w:sz w:val="22"/>
          <w:szCs w:val="22"/>
        </w:rPr>
        <w:t xml:space="preserve">Legea 6 (Transport): Reorganizare administrativă, fără cheltuieli noi semnificative.</w:t>
      </w:r>
    </w:p>
    <w:p>
      <w:pPr>
        <w:spacing w:after="100" w:line="276"/>
      </w:pPr>
      <w:r>
        <w:rPr>
          <w:rFonts w:ascii="Arial" w:cs="Arial" w:eastAsia="Arial" w:hAnsi="Arial"/>
          <w:sz w:val="22"/>
          <w:szCs w:val="22"/>
        </w:rPr>
        <w:t xml:space="preserve">Legea 8 (Dezvoltare Rurală): Reorganizare alocări existente + accesare fonduri UE (FEADR).</w:t>
      </w:r>
    </w:p>
    <w:p>
      <w:pPr>
        <w:spacing w:after="100" w:line="276"/>
      </w:pPr>
      <w:r>
        <w:rPr>
          <w:rFonts w:ascii="Arial" w:cs="Arial" w:eastAsia="Arial" w:hAnsi="Arial"/>
          <w:sz w:val="22"/>
          <w:szCs w:val="22"/>
        </w:rPr>
        <w:t xml:space="preserve">Legea 10 (Cadastru): Accelerare PNCCF existent — fondurile sunt deja alocate, legea doar impune penalități pentru întârzieri.</w:t>
      </w:r>
    </w:p>
    <w:p>
      <w:pPr>
        <w:pStyle w:val="Heading2"/>
        <w:spacing w:after="120" w:before="240"/>
      </w:pPr>
      <w:r>
        <w:rPr>
          <w:rFonts w:ascii="Arial" w:cs="Arial" w:eastAsia="Arial" w:hAnsi="Arial"/>
          <w:b/>
          <w:bCs/>
          <w:color w:val="2C3E50"/>
          <w:sz w:val="26"/>
          <w:szCs w:val="26"/>
        </w:rPr>
        <w:t xml:space="preserve">PROIECȚIE 5 ANI</w:t>
      </w:r>
    </w:p>
    <w:p>
      <w:pPr>
        <w:spacing w:after="100" w:line="276"/>
      </w:pPr>
      <w:r>
        <w:rPr>
          <w:rFonts w:ascii="Arial" w:cs="Arial" w:eastAsia="Arial" w:hAnsi="Arial"/>
          <w:sz w:val="22"/>
          <w:szCs w:val="22"/>
        </w:rPr>
        <w:t xml:space="preserve">Anul 1: Cost implementare ~100M lei. Venituri suplimentare: ~0.</w:t>
      </w:r>
    </w:p>
    <w:p>
      <w:pPr>
        <w:spacing w:after="100" w:line="276"/>
      </w:pPr>
      <w:r>
        <w:rPr>
          <w:rFonts w:ascii="Arial" w:cs="Arial" w:eastAsia="Arial" w:hAnsi="Arial"/>
          <w:sz w:val="22"/>
          <w:szCs w:val="22"/>
        </w:rPr>
        <w:t xml:space="preserve">Anul 2: Cost implementare ~155M lei. Venituri suplimentare: ~200M lei (pilot LVT + economii digitalizare).</w:t>
      </w:r>
    </w:p>
    <w:p>
      <w:pPr>
        <w:spacing w:after="100" w:line="276"/>
      </w:pPr>
      <w:r>
        <w:rPr>
          <w:rFonts w:ascii="Arial" w:cs="Arial" w:eastAsia="Arial" w:hAnsi="Arial"/>
          <w:sz w:val="22"/>
          <w:szCs w:val="22"/>
        </w:rPr>
        <w:t xml:space="preserve">Anul 3: Cost implementare ~100M lei. Venituri suplimentare: ~800M lei.</w:t>
      </w:r>
    </w:p>
    <w:p>
      <w:pPr>
        <w:spacing w:after="100" w:line="276"/>
      </w:pPr>
      <w:r>
        <w:rPr>
          <w:rFonts w:ascii="Arial" w:cs="Arial" w:eastAsia="Arial" w:hAnsi="Arial"/>
          <w:sz w:val="22"/>
          <w:szCs w:val="22"/>
        </w:rPr>
        <w:t xml:space="preserve">Anul 4: Costuri marginale. Venituri suplimentare: ~2.000M lei.</w:t>
      </w:r>
    </w:p>
    <w:p>
      <w:pPr>
        <w:spacing w:after="100" w:line="276"/>
      </w:pPr>
      <w:r>
        <w:rPr>
          <w:rFonts w:ascii="Arial" w:cs="Arial" w:eastAsia="Arial" w:hAnsi="Arial"/>
          <w:sz w:val="22"/>
          <w:szCs w:val="22"/>
        </w:rPr>
        <w:t xml:space="preserve">Anul 5: Costuri marginale. Venituri suplimentare: ~3.500M lei.</w:t>
      </w:r>
    </w:p>
    <w:p>
      <w:pPr>
        <w:spacing w:after="100" w:line="276"/>
      </w:pPr>
      <w:r>
        <w:rPr>
          <w:rFonts w:ascii="Arial" w:cs="Arial" w:eastAsia="Arial" w:hAnsi="Arial"/>
          <w:b/>
          <w:bCs/>
          <w:sz w:val="22"/>
          <w:szCs w:val="22"/>
        </w:rPr>
        <w:t xml:space="preserve">Impact cumulat pe 5 ani: </w:t>
      </w:r>
      <w:r>
        <w:rPr>
          <w:rFonts w:ascii="Arial" w:cs="Arial" w:eastAsia="Arial" w:hAnsi="Arial"/>
          <w:sz w:val="22"/>
          <w:szCs w:val="22"/>
        </w:rPr>
        <w:t xml:space="preserve">Costuri ~355M lei. Venituri și economii ~6.500M lei. Impact net pozitiv: ~6.145M lei.</w:t>
      </w:r>
    </w:p>
    <w:p>
      <w:pPr>
        <w:spacing w:before="200"/>
      </w:pPr>
    </w:p>
    <w:p>
      <w:pPr>
        <w:spacing w:after="100" w:line="276"/>
      </w:pPr>
      <w:r>
        <w:rPr>
          <w:rFonts w:ascii="Arial" w:cs="Arial" w:eastAsia="Arial" w:hAnsi="Arial"/>
          <w:i/>
          <w:iCs/>
          <w:sz w:val="22"/>
          <w:szCs w:val="22"/>
        </w:rPr>
        <w:t xml:space="preserve">Notă: Cifrele sunt estimative și vor fi validate prin proiecte-pilot. Metodologia completă este disponibilă la cerere.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Florin Dumitru | florindumitruconstanta@gmail.com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Analiză Bugetară — Pachet Legislativ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2026-05-05T22:07:44.244Z</dcterms:created>
  <dcterms:modified xsi:type="dcterms:W3CDTF">2026-05-05T22:07:44.244Z</dcterms:modified>
</cp:coreProperties>
</file>

<file path=docProps/custom.xml><?xml version="1.0" encoding="utf-8"?>
<Properties xmlns="http://schemas.openxmlformats.org/officeDocument/2006/custom-properties" xmlns:vt="http://schemas.openxmlformats.org/officeDocument/2006/docPropsVTypes"/>
</file>