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CUMCM 2024 C题 农作物种植策略优化论文</w:t>
      </w:r>
    </w:p>
    <w:p>
      <w:pPr>
        <w:pStyle w:val="Heading1"/>
      </w:pPr>
      <w:r>
        <w:t>摘要</w:t>
      </w:r>
    </w:p>
    <w:p>
      <w:r>
        <w:t>本文针对华北山区乡村 2024--2030 年农作物种植计划，建立了以地块、作物、年份和季节为核心下标的全局优化模型。首先对附件中的耕地、作物、2023 年种植与统计数据进行清洗，统一形成以元组为键的数据字典。针对问题一，构建混合整数线性规划模型，分别处理超产滞销和超产五折销售两种情形；针对问题二，根据题目给出的销量、亩产、成本和价格波动规则构造恶劣情景参数，并在同一七年全局模型上求解鲁棒保底方案；针对问题三，采用具有经济学相关结构的蒙特卡洛价格收益率模拟，构造作物间协方差矩阵，并建立带风险惩罚的混合整数二次规划模型。</w:t>
      </w:r>
    </w:p>
    <w:p>
      <w:r>
        <w:t>计算结果表明，问题一中超产滞销情形利润为 2868.22 万元，超产五折销售情形利润为 6186.43 万元；问题二恶劣情景下保底利润为 6100.92 万元，相比确定性基准减少 85.51 万元。问题三中，当风险厌恶系数由 0 增至 1000 时，预期利润由 6100.92 万元下降至 5314.27 万元，组合风险由 20538.30 降至 6851.50，说明风险惩罚项有效改变了排产结构。</w:t>
      </w:r>
    </w:p>
    <w:p>
      <w:r>
        <w:t>关键词：种植规划；混合整数线性规划；鲁棒优化；混合整数二次规划；PySCIPOpt</w:t>
      </w:r>
    </w:p>
    <w:p>
      <w:pPr>
        <w:pStyle w:val="Heading1"/>
      </w:pPr>
      <w:r>
        <w:t>1 问题重述</w:t>
      </w:r>
    </w:p>
    <w:p>
      <w:r>
        <w:t>题目要求在有限耕地、温室和作物适应性约束下，为 2024--2030 年制定作物种植方案。耕地包括平旱地、梯田、山坡地、水浇地、普通大棚和智慧大棚，不同地块类型可种植作物和季节安排不同。种植计划必须满足每季面积上限、作物适宜性、不能连续重茬以及三年内至少种植一次豆类等要求。</w:t>
      </w:r>
    </w:p>
    <w:p>
      <w:r>
        <w:t>问题一假定 2024--2030 年销售量、亩产、成本和价格均与 2023 年保持稳定，并分别考虑超产滞销和超产五折销售两种情形。问题二在未来参数存在不确定性的条件下，根据题目给定的波动规则构造稳健方案。问题三进一步考虑作物之间可能存在替代、互补和价格相关性，建立带组合风险惩罚的优化模型。</w:t>
      </w:r>
    </w:p>
    <w:p>
      <w:pPr>
        <w:pStyle w:val="Heading1"/>
      </w:pPr>
      <w:r>
        <w:t>2 模型假设</w:t>
      </w:r>
    </w:p>
    <w:p>
      <w:pPr>
        <w:pStyle w:val="ListNumber"/>
      </w:pPr>
      <w:r>
        <w:t>附件二统计数据可以代表 2023 年各地块类型、作物和季节的基准亩产、成本与售价。</w:t>
      </w:r>
    </w:p>
    <w:p>
      <w:pPr>
        <w:pStyle w:val="ListNumber"/>
      </w:pPr>
      <w:r>
        <w:t>预计销量由 2023 年实际种植面积与亩产估计得到，并作为问题一的销售上限。</w:t>
      </w:r>
    </w:p>
    <w:p>
      <w:pPr>
        <w:pStyle w:val="ListNumber"/>
      </w:pPr>
      <w:r>
        <w:t>同一地块同一季允许不同作物间作，但总面积不得超过该地块面积。</w:t>
      </w:r>
    </w:p>
    <w:p>
      <w:pPr>
        <w:pStyle w:val="ListNumber"/>
      </w:pPr>
      <w:r>
        <w:t>若二元变量表示种植，则该作物在对应地块、年份、季节至少种植 0.1 亩，防止用零面积满足轮作约束。</w:t>
      </w:r>
    </w:p>
    <w:p>
      <w:pPr>
        <w:pStyle w:val="ListNumber"/>
      </w:pPr>
      <w:r>
        <w:t>问题二采用题目规则的保守边界：亩产统一下降 10%，非小麦玉米销量取 2023 年 95%，成本按 5% 复合增长，食用菌价格按 5% 下降。</w:t>
      </w:r>
    </w:p>
    <w:p>
      <w:pPr>
        <w:pStyle w:val="ListNumber"/>
      </w:pPr>
      <w:r>
        <w:t>问题三中价格相关结构由作物大类设定并通过蒙特卡洛模拟生成协方差矩阵，作为缺少真实历史序列时的近似风险度量。</w:t>
      </w:r>
    </w:p>
    <w:p>
      <w:pPr>
        <w:pStyle w:val="Heading1"/>
      </w:pPr>
      <w:r>
        <w:t>3 符号说明</w:t>
      </w:r>
    </w:p>
    <w:tbl>
      <w:tblPr>
        <w:tblStyle w:val="TableGrid"/>
        <w:tblW w:type="auto" w:w="0"/>
        <w:tblLook w:firstColumn="1" w:firstRow="1" w:lastColumn="0" w:lastRow="0" w:noHBand="0" w:noVBand="1" w:val="04A0"/>
      </w:tblPr>
      <w:tblGrid>
        <w:gridCol w:w="4320"/>
        <w:gridCol w:w="4320"/>
      </w:tblGrid>
      <w:tr>
        <w:tc>
          <w:tcPr>
            <w:tcW w:type="dxa" w:w="4320"/>
          </w:tcPr>
          <w:p>
            <w:r>
              <w:t>符号</w:t>
            </w:r>
          </w:p>
        </w:tc>
        <w:tc>
          <w:tcPr>
            <w:tcW w:type="dxa" w:w="4320"/>
          </w:tcPr>
          <w:p>
            <w:r>
              <w:t>含义</w:t>
            </w:r>
          </w:p>
        </w:tc>
      </w:tr>
      <w:tr>
        <w:tc>
          <w:tcPr>
            <w:tcW w:type="dxa" w:w="4320"/>
          </w:tcPr>
          <w:p>
            <w:r>
              <w:t>i</w:t>
            </w:r>
          </w:p>
        </w:tc>
        <w:tc>
          <w:tcPr>
            <w:tcW w:type="dxa" w:w="4320"/>
          </w:tcPr>
          <w:p>
            <w:r>
              <w:t>地块编号</w:t>
            </w:r>
          </w:p>
        </w:tc>
      </w:tr>
      <w:tr>
        <w:tc>
          <w:tcPr>
            <w:tcW w:type="dxa" w:w="4320"/>
          </w:tcPr>
          <w:p>
            <w:r>
              <w:t>j</w:t>
            </w:r>
          </w:p>
        </w:tc>
        <w:tc>
          <w:tcPr>
            <w:tcW w:type="dxa" w:w="4320"/>
          </w:tcPr>
          <w:p>
            <w:r>
              <w:t>作物名称</w:t>
            </w:r>
          </w:p>
        </w:tc>
      </w:tr>
      <w:tr>
        <w:tc>
          <w:tcPr>
            <w:tcW w:type="dxa" w:w="4320"/>
          </w:tcPr>
          <w:p>
            <w:r>
              <w:t>t</w:t>
            </w:r>
          </w:p>
        </w:tc>
        <w:tc>
          <w:tcPr>
            <w:tcW w:type="dxa" w:w="4320"/>
          </w:tcPr>
          <w:p>
            <w:r>
              <w:t>年份，t=2024,...,2030</w:t>
            </w:r>
          </w:p>
        </w:tc>
      </w:tr>
      <w:tr>
        <w:tc>
          <w:tcPr>
            <w:tcW w:type="dxa" w:w="4320"/>
          </w:tcPr>
          <w:p>
            <w:r>
              <w:t>s</w:t>
            </w:r>
          </w:p>
        </w:tc>
        <w:tc>
          <w:tcPr>
            <w:tcW w:type="dxa" w:w="4320"/>
          </w:tcPr>
          <w:p>
            <w:r>
              <w:t>季节，s=1,2</w:t>
            </w:r>
          </w:p>
        </w:tc>
      </w:tr>
      <w:tr>
        <w:tc>
          <w:tcPr>
            <w:tcW w:type="dxa" w:w="4320"/>
          </w:tcPr>
          <w:p>
            <w:r>
              <w:t>A_i</w:t>
            </w:r>
          </w:p>
        </w:tc>
        <w:tc>
          <w:tcPr>
            <w:tcW w:type="dxa" w:w="4320"/>
          </w:tcPr>
          <w:p>
            <w:r>
              <w:t>地块 i 的面积</w:t>
            </w:r>
          </w:p>
        </w:tc>
      </w:tr>
      <w:tr>
        <w:tc>
          <w:tcPr>
            <w:tcW w:type="dxa" w:w="4320"/>
          </w:tcPr>
          <w:p>
            <w:r>
              <w:t>Y_{ijst}</w:t>
            </w:r>
          </w:p>
        </w:tc>
        <w:tc>
          <w:tcPr>
            <w:tcW w:type="dxa" w:w="4320"/>
          </w:tcPr>
          <w:p>
            <w:r>
              <w:t>作物 j 在地块 i、年份 t、季节 s 的亩产</w:t>
            </w:r>
          </w:p>
        </w:tc>
      </w:tr>
      <w:tr>
        <w:tc>
          <w:tcPr>
            <w:tcW w:type="dxa" w:w="4320"/>
          </w:tcPr>
          <w:p>
            <w:r>
              <w:t>C_{ijst}</w:t>
            </w:r>
          </w:p>
        </w:tc>
        <w:tc>
          <w:tcPr>
            <w:tcW w:type="dxa" w:w="4320"/>
          </w:tcPr>
          <w:p>
            <w:r>
              <w:t>对应种植成本</w:t>
            </w:r>
          </w:p>
        </w:tc>
      </w:tr>
      <w:tr>
        <w:tc>
          <w:tcPr>
            <w:tcW w:type="dxa" w:w="4320"/>
          </w:tcPr>
          <w:p>
            <w:r>
              <w:t>P_{jt}</w:t>
            </w:r>
          </w:p>
        </w:tc>
        <w:tc>
          <w:tcPr>
            <w:tcW w:type="dxa" w:w="4320"/>
          </w:tcPr>
          <w:p>
            <w:r>
              <w:t>作物 j 在年份 t 的销售价格</w:t>
            </w:r>
          </w:p>
        </w:tc>
      </w:tr>
      <w:tr>
        <w:tc>
          <w:tcPr>
            <w:tcW w:type="dxa" w:w="4320"/>
          </w:tcPr>
          <w:p>
            <w:r>
              <w:t>D_{jt}</w:t>
            </w:r>
          </w:p>
        </w:tc>
        <w:tc>
          <w:tcPr>
            <w:tcW w:type="dxa" w:w="4320"/>
          </w:tcPr>
          <w:p>
            <w:r>
              <w:t>作物 j 在年份 t 的预计销量</w:t>
            </w:r>
          </w:p>
        </w:tc>
      </w:tr>
      <w:tr>
        <w:tc>
          <w:tcPr>
            <w:tcW w:type="dxa" w:w="4320"/>
          </w:tcPr>
          <w:p>
            <w:r>
              <w:t>x_{ijst}</w:t>
            </w:r>
          </w:p>
        </w:tc>
        <w:tc>
          <w:tcPr>
            <w:tcW w:type="dxa" w:w="4320"/>
          </w:tcPr>
          <w:p>
            <w:r>
              <w:t>连续变量，种植面积</w:t>
            </w:r>
          </w:p>
        </w:tc>
      </w:tr>
      <w:tr>
        <w:tc>
          <w:tcPr>
            <w:tcW w:type="dxa" w:w="4320"/>
          </w:tcPr>
          <w:p>
            <w:r>
              <w:t>y_{ijst}</w:t>
            </w:r>
          </w:p>
        </w:tc>
        <w:tc>
          <w:tcPr>
            <w:tcW w:type="dxa" w:w="4320"/>
          </w:tcPr>
          <w:p>
            <w:r>
              <w:t>0-1 变量，是否种植</w:t>
            </w:r>
          </w:p>
        </w:tc>
      </w:tr>
      <w:tr>
        <w:tc>
          <w:tcPr>
            <w:tcW w:type="dxa" w:w="4320"/>
          </w:tcPr>
          <w:p>
            <w:r>
              <w:t>W_{jt}</w:t>
            </w:r>
          </w:p>
        </w:tc>
        <w:tc>
          <w:tcPr>
            <w:tcW w:type="dxa" w:w="4320"/>
          </w:tcPr>
          <w:p>
            <w:r>
              <w:t>正常价格销售量</w:t>
            </w:r>
          </w:p>
        </w:tc>
      </w:tr>
      <w:tr>
        <w:tc>
          <w:tcPr>
            <w:tcW w:type="dxa" w:w="4320"/>
          </w:tcPr>
          <w:p>
            <w:r>
              <w:t>E_{jt}</w:t>
            </w:r>
          </w:p>
        </w:tc>
        <w:tc>
          <w:tcPr>
            <w:tcW w:type="dxa" w:w="4320"/>
          </w:tcPr>
          <w:p>
            <w:r>
              <w:t>超额销售或滞销量</w:t>
            </w:r>
          </w:p>
        </w:tc>
      </w:tr>
    </w:tbl>
    <w:p>
      <w:pPr>
        <w:pStyle w:val="Heading1"/>
      </w:pPr>
      <w:r>
        <w:t>4 数据处理</w:t>
      </w:r>
    </w:p>
    <w:p>
      <w:r>
        <w:t>数据层读取 `Annex1.xlsx` 和 `Annex2.xlsx`，对作物名称、地块名称、地块类型和季节字段进行空格清理与格式统一。售价区间取中点，2023 年预计销量由实际种植面积乘以相应亩产估算。最终输出为与求解器直接对接的元组键字典，例如 `area[(i)]`、`yield[(i,j,t,s)]`、`cost[(i,j,t,s)]`、`price[(j,t)]`、`demand[(j,t)]` 和 `feasible[(i,j,s)]`。</w:t>
      </w:r>
    </w:p>
    <w:p>
      <w:r>
        <w:t>清洗后共有 54 个地块、41 种作物、7 个规划年份和 2 个季节。模型使用全局七年规划，所有年份变量一次性进入同一个优化模型，不采用逐年滚动求解。</w:t>
      </w:r>
    </w:p>
    <w:p>
      <w:pPr>
        <w:pStyle w:val="Heading1"/>
      </w:pPr>
      <w:r>
        <w:t>5 问题一：确定性全局 MILP</w:t>
      </w:r>
    </w:p>
    <w:p>
      <w:r>
        <w:t>定义种植面积变量 x、种植状态变量 y、正常销量 W 和超额销量 E。情形一中超额部分不产生收入，情形二中超额部分按 50% 售价收入计入目标函数。</w:t>
      </w:r>
    </w:p>
    <w:p>
      <w:r>
        <w:t>目标函数为：</w:t>
      </w:r>
    </w:p>
    <w:p>
      <w:r>
        <w:t>max sum_t sum_j [ W[j,t] P[j,t] + alpha E[j,t] P[j,t] ]</w:t>
      </w:r>
    </w:p>
    <w:p>
      <w:r>
        <w:t xml:space="preserve">    - sum_i sum_j sum_t sum_s x[i,j,t,s] C[i,j,t,s]</w:t>
      </w:r>
    </w:p>
    <w:p>
      <w:r>
        <w:t>其中情形一 alpha=0，情形二 alpha=0.5。</w:t>
      </w:r>
    </w:p>
    <w:p>
      <w:r>
        <w:t>主要约束包括：</w:t>
      </w:r>
    </w:p>
    <w:p>
      <w:r>
        <w:t>sum_j x[i,j,t,s] &lt;= A[i]</w:t>
      </w:r>
    </w:p>
    <w:p>
      <w:r>
        <w:t>x[i,j,t,s] &lt;= A[i] y[i,j,t,s]</w:t>
      </w:r>
    </w:p>
    <w:p>
      <w:r>
        <w:t>x[i,j,t,s] &gt;= 0.1 y[i,j,t,s]</w:t>
      </w:r>
    </w:p>
    <w:p>
      <w:r>
        <w:t>y[i,j,t,1] + y[i,j,t,2] &lt;= 1</w:t>
      </w:r>
    </w:p>
    <w:p>
      <w:r>
        <w:t>y[i,j,t,2] + y[i,j,t+1,1] &lt;= 1</w:t>
      </w:r>
    </w:p>
    <w:p>
      <w:r>
        <w:t>sum_{tau=t}^{t+2} sum_{j in legume} sum_s y[i,j,tau,s] &gt;= 1</w:t>
      </w:r>
    </w:p>
    <w:p>
      <w:r>
        <w:t>W[j,t] + E[j,t] = sum_i sum_s x[i,j,t,s] Y[i,j,t,s]</w:t>
      </w:r>
    </w:p>
    <w:p>
      <w:r>
        <w:t>W[j,t] &lt;= D[j,t]</w:t>
      </w:r>
    </w:p>
    <w:p>
      <w:r>
        <w:t>问题一求解结果如下。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情形</w:t>
            </w:r>
          </w:p>
        </w:tc>
        <w:tc>
          <w:tcPr>
            <w:tcW w:type="dxa" w:w="1728"/>
          </w:tcPr>
          <w:p>
            <w:r>
              <w:t>超产处理方式</w:t>
            </w:r>
          </w:p>
        </w:tc>
        <w:tc>
          <w:tcPr>
            <w:tcW w:type="dxa" w:w="1728"/>
          </w:tcPr>
          <w:p>
            <w:r>
              <w:t>总利润/万元</w:t>
            </w:r>
          </w:p>
        </w:tc>
        <w:tc>
          <w:tcPr>
            <w:tcW w:type="dxa" w:w="1728"/>
          </w:tcPr>
          <w:p>
            <w:r>
              <w:t>求解状态</w:t>
            </w:r>
          </w:p>
        </w:tc>
        <w:tc>
          <w:tcPr>
            <w:tcW w:type="dxa" w:w="1728"/>
          </w:tcPr>
          <w:p>
            <w:r>
              <w:t>Gap</w:t>
            </w:r>
          </w:p>
        </w:tc>
      </w:tr>
      <w:tr>
        <w:tc>
          <w:tcPr>
            <w:tcW w:type="dxa" w:w="1728"/>
          </w:tcPr>
          <w:p>
            <w:r>
              <w:t>1-1</w:t>
            </w:r>
          </w:p>
        </w:tc>
        <w:tc>
          <w:tcPr>
            <w:tcW w:type="dxa" w:w="1728"/>
          </w:tcPr>
          <w:p>
            <w:r>
              <w:t>超产滞销</w:t>
            </w:r>
          </w:p>
        </w:tc>
        <w:tc>
          <w:tcPr>
            <w:tcW w:type="dxa" w:w="1728"/>
          </w:tcPr>
          <w:p>
            <w:r>
              <w:t>2868.22</w:t>
            </w:r>
          </w:p>
        </w:tc>
        <w:tc>
          <w:tcPr>
            <w:tcW w:type="dxa" w:w="1728"/>
          </w:tcPr>
          <w:p>
            <w:r>
              <w:t>已生成方案</w:t>
            </w:r>
          </w:p>
        </w:tc>
        <w:tc>
          <w:tcPr>
            <w:tcW w:type="dxa" w:w="1728"/>
          </w:tcPr>
          <w:p>
            <w:r>
              <w:t>-</w:t>
            </w:r>
          </w:p>
        </w:tc>
      </w:tr>
      <w:tr>
        <w:tc>
          <w:tcPr>
            <w:tcW w:type="dxa" w:w="1728"/>
          </w:tcPr>
          <w:p>
            <w:r>
              <w:t>1-2</w:t>
            </w:r>
          </w:p>
        </w:tc>
        <w:tc>
          <w:tcPr>
            <w:tcW w:type="dxa" w:w="1728"/>
          </w:tcPr>
          <w:p>
            <w:r>
              <w:t>超产五折销售</w:t>
            </w:r>
          </w:p>
        </w:tc>
        <w:tc>
          <w:tcPr>
            <w:tcW w:type="dxa" w:w="1728"/>
          </w:tcPr>
          <w:p>
            <w:r>
              <w:t>6186.43</w:t>
            </w:r>
          </w:p>
        </w:tc>
        <w:tc>
          <w:tcPr>
            <w:tcW w:type="dxa" w:w="1728"/>
          </w:tcPr>
          <w:p>
            <w:r>
              <w:t>solving was interrupted [gap limit reached]</w:t>
            </w:r>
          </w:p>
        </w:tc>
        <w:tc>
          <w:tcPr>
            <w:tcW w:type="dxa" w:w="1728"/>
          </w:tcPr>
          <w:p>
            <w:r>
              <w:t>0.27 %</w:t>
            </w:r>
          </w:p>
        </w:tc>
      </w:tr>
    </w:tbl>
    <w:p>
      <w:pPr>
        <w:pStyle w:val="Heading1"/>
      </w:pPr>
      <w:r>
        <w:t>6 问题二：情景鲁棒 MILP</w:t>
      </w:r>
    </w:p>
    <w:p>
      <w:r>
        <w:t>问题二在问题一全局模型基础上，仅替换参数字典。恶劣情景生成规则如下：</w:t>
      </w:r>
    </w:p>
    <w:p>
      <w:pPr>
        <w:pStyle w:val="ListNumber"/>
      </w:pPr>
      <w:r>
        <w:t>小麦、玉米销量以上一年为基础每年增长 5%。</w:t>
      </w:r>
    </w:p>
    <w:p>
      <w:pPr>
        <w:pStyle w:val="ListNumber"/>
      </w:pPr>
      <w:r>
        <w:t>其他作物销量固定为 2023 年的 95%。</w:t>
      </w:r>
    </w:p>
    <w:p>
      <w:pPr>
        <w:pStyle w:val="ListNumber"/>
      </w:pPr>
      <w:r>
        <w:t>所有作物亩产固定为 2023 年的 90%。</w:t>
      </w:r>
    </w:p>
    <w:p>
      <w:pPr>
        <w:pStyle w:val="ListNumber"/>
      </w:pPr>
      <w:r>
        <w:t>成本从 2024 年起按 5% 复合递增。</w:t>
      </w:r>
    </w:p>
    <w:p>
      <w:pPr>
        <w:pStyle w:val="ListNumber"/>
      </w:pPr>
      <w:r>
        <w:t>粮食类价格保持稳定，蔬菜类价格每年增长 5%，食用菌类价格每年下降 5%。</w:t>
      </w:r>
    </w:p>
    <w:p>
      <w:r>
        <w:t>在该情景下，模型一次性求解 2024--2030 年所有决策变量。结果为：</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Q1 确定性基准利润</w:t>
            </w:r>
          </w:p>
        </w:tc>
        <w:tc>
          <w:tcPr>
            <w:tcW w:type="dxa" w:w="4320"/>
          </w:tcPr>
          <w:p>
            <w:r>
              <w:t>6186.43 万元</w:t>
            </w:r>
          </w:p>
        </w:tc>
      </w:tr>
      <w:tr>
        <w:tc>
          <w:tcPr>
            <w:tcW w:type="dxa" w:w="4320"/>
          </w:tcPr>
          <w:p>
            <w:r>
              <w:t>Q2 鲁棒保底利润</w:t>
            </w:r>
          </w:p>
        </w:tc>
        <w:tc>
          <w:tcPr>
            <w:tcW w:type="dxa" w:w="4320"/>
          </w:tcPr>
          <w:p>
            <w:r>
              <w:t>6100.92 万元</w:t>
            </w:r>
          </w:p>
        </w:tc>
      </w:tr>
      <w:tr>
        <w:tc>
          <w:tcPr>
            <w:tcW w:type="dxa" w:w="4320"/>
          </w:tcPr>
          <w:p>
            <w:r>
              <w:t>鲁棒代价</w:t>
            </w:r>
          </w:p>
        </w:tc>
        <w:tc>
          <w:tcPr>
            <w:tcW w:type="dxa" w:w="4320"/>
          </w:tcPr>
          <w:p>
            <w:r>
              <w:t>85.51 万元</w:t>
            </w:r>
          </w:p>
        </w:tc>
      </w:tr>
      <w:tr>
        <w:tc>
          <w:tcPr>
            <w:tcW w:type="dxa" w:w="4320"/>
          </w:tcPr>
          <w:p>
            <w:r>
              <w:t>Q2 求解状态</w:t>
            </w:r>
          </w:p>
        </w:tc>
        <w:tc>
          <w:tcPr>
            <w:tcW w:type="dxa" w:w="4320"/>
          </w:tcPr>
          <w:p>
            <w:r>
              <w:t>solving was interrupted [gap limit reached]</w:t>
            </w:r>
          </w:p>
        </w:tc>
      </w:tr>
      <w:tr>
        <w:tc>
          <w:tcPr>
            <w:tcW w:type="dxa" w:w="4320"/>
          </w:tcPr>
          <w:p>
            <w:r>
              <w:t>Q2 Gap</w:t>
            </w:r>
          </w:p>
        </w:tc>
        <w:tc>
          <w:tcPr>
            <w:tcW w:type="dxa" w:w="4320"/>
          </w:tcPr>
          <w:p>
            <w:r>
              <w:t>0.42 %</w:t>
            </w:r>
          </w:p>
        </w:tc>
      </w:tr>
    </w:tbl>
    <w:p>
      <w:r>
        <w:t>对 A1 地块的七年方案抽查如下：</w:t>
      </w:r>
    </w:p>
    <w:tbl>
      <w:tblPr>
        <w:tblStyle w:val="TableGrid"/>
        <w:tblW w:type="auto" w:w="0"/>
        <w:tblLook w:firstColumn="1" w:firstRow="1" w:lastColumn="0" w:lastRow="0" w:noHBand="0" w:noVBand="1" w:val="04A0"/>
      </w:tblPr>
      <w:tblGrid>
        <w:gridCol w:w="4320"/>
        <w:gridCol w:w="4320"/>
      </w:tblGrid>
      <w:tr>
        <w:tc>
          <w:tcPr>
            <w:tcW w:type="dxa" w:w="4320"/>
          </w:tcPr>
          <w:p>
            <w:r>
              <w:t>年份</w:t>
            </w:r>
          </w:p>
        </w:tc>
        <w:tc>
          <w:tcPr>
            <w:tcW w:type="dxa" w:w="4320"/>
          </w:tcPr>
          <w:p>
            <w:r>
              <w:t>作物安排</w:t>
            </w:r>
          </w:p>
        </w:tc>
      </w:tr>
      <w:tr>
        <w:tc>
          <w:tcPr>
            <w:tcW w:type="dxa" w:w="4320"/>
          </w:tcPr>
          <w:p>
            <w:r>
              <w:t>2024</w:t>
            </w:r>
          </w:p>
        </w:tc>
        <w:tc>
          <w:tcPr>
            <w:tcW w:type="dxa" w:w="4320"/>
          </w:tcPr>
          <w:p>
            <w:r>
              <w:t>Mung Bean 33.8694 亩 + Sweet Potato 46.1306 亩</w:t>
            </w:r>
          </w:p>
        </w:tc>
      </w:tr>
      <w:tr>
        <w:tc>
          <w:tcPr>
            <w:tcW w:type="dxa" w:w="4320"/>
          </w:tcPr>
          <w:p>
            <w:r>
              <w:t>2025</w:t>
            </w:r>
          </w:p>
        </w:tc>
        <w:tc>
          <w:tcPr>
            <w:tcW w:type="dxa" w:w="4320"/>
          </w:tcPr>
          <w:p>
            <w:r>
              <w:t>Corn 80 亩</w:t>
            </w:r>
          </w:p>
        </w:tc>
      </w:tr>
      <w:tr>
        <w:tc>
          <w:tcPr>
            <w:tcW w:type="dxa" w:w="4320"/>
          </w:tcPr>
          <w:p>
            <w:r>
              <w:t>2026</w:t>
            </w:r>
          </w:p>
        </w:tc>
        <w:tc>
          <w:tcPr>
            <w:tcW w:type="dxa" w:w="4320"/>
          </w:tcPr>
          <w:p>
            <w:r>
              <w:t>Mung Bean 26.8444 亩 + Pumpkin 5.3724 亩 + Wheat 47.7831 亩</w:t>
            </w:r>
          </w:p>
        </w:tc>
      </w:tr>
      <w:tr>
        <w:tc>
          <w:tcPr>
            <w:tcW w:type="dxa" w:w="4320"/>
          </w:tcPr>
          <w:p>
            <w:r>
              <w:t>2027</w:t>
            </w:r>
          </w:p>
        </w:tc>
        <w:tc>
          <w:tcPr>
            <w:tcW w:type="dxa" w:w="4320"/>
          </w:tcPr>
          <w:p>
            <w:r>
              <w:t>Corn 80 亩</w:t>
            </w:r>
          </w:p>
        </w:tc>
      </w:tr>
      <w:tr>
        <w:tc>
          <w:tcPr>
            <w:tcW w:type="dxa" w:w="4320"/>
          </w:tcPr>
          <w:p>
            <w:r>
              <w:t>2028</w:t>
            </w:r>
          </w:p>
        </w:tc>
        <w:tc>
          <w:tcPr>
            <w:tcW w:type="dxa" w:w="4320"/>
          </w:tcPr>
          <w:p>
            <w:r>
              <w:t>Mung Bean 43.8444 亩 + Wheat 36.1556 亩</w:t>
            </w:r>
          </w:p>
        </w:tc>
      </w:tr>
      <w:tr>
        <w:tc>
          <w:tcPr>
            <w:tcW w:type="dxa" w:w="4320"/>
          </w:tcPr>
          <w:p>
            <w:r>
              <w:t>2029</w:t>
            </w:r>
          </w:p>
        </w:tc>
        <w:tc>
          <w:tcPr>
            <w:tcW w:type="dxa" w:w="4320"/>
          </w:tcPr>
          <w:p>
            <w:r>
              <w:t>Corn 80 亩</w:t>
            </w:r>
          </w:p>
        </w:tc>
      </w:tr>
      <w:tr>
        <w:tc>
          <w:tcPr>
            <w:tcW w:type="dxa" w:w="4320"/>
          </w:tcPr>
          <w:p>
            <w:r>
              <w:t>2030</w:t>
            </w:r>
          </w:p>
        </w:tc>
        <w:tc>
          <w:tcPr>
            <w:tcW w:type="dxa" w:w="4320"/>
          </w:tcPr>
          <w:p>
            <w:r>
              <w:t>Mung Bean 13.0424 亩 + Wheat 66.9576 亩</w:t>
            </w:r>
          </w:p>
        </w:tc>
      </w:tr>
    </w:tbl>
    <w:p>
      <w:r>
        <w:t>该序列不存在相邻年度同作物连续种植，并且 2024、2026、2028、2030 年均包含豆类，满足三年轮作要求。自动化检验显示 Q1 和 Q2 方案均无面积、适宜性、重茬和豆类轮作违规。</w:t>
      </w:r>
    </w:p>
    <w:p>
      <w:r>
        <w:t>鲁棒代价瀑布图见 `submission/figures/robust_waterfall.png`。分解结果如下：</w:t>
      </w:r>
    </w:p>
    <w:tbl>
      <w:tblPr>
        <w:tblStyle w:val="TableGrid"/>
        <w:tblW w:type="auto" w:w="0"/>
        <w:tblLook w:firstColumn="1" w:firstRow="1" w:lastColumn="0" w:lastRow="0" w:noHBand="0" w:noVBand="1" w:val="04A0"/>
      </w:tblPr>
      <w:tblGrid>
        <w:gridCol w:w="4320"/>
        <w:gridCol w:w="4320"/>
      </w:tblGrid>
      <w:tr>
        <w:tc>
          <w:tcPr>
            <w:tcW w:type="dxa" w:w="4320"/>
          </w:tcPr>
          <w:p>
            <w:r>
              <w:t>因素</w:t>
            </w:r>
          </w:p>
        </w:tc>
        <w:tc>
          <w:tcPr>
            <w:tcW w:type="dxa" w:w="4320"/>
          </w:tcPr>
          <w:p>
            <w:r>
              <w:t>贡献/万元</w:t>
            </w:r>
          </w:p>
        </w:tc>
      </w:tr>
      <w:tr>
        <w:tc>
          <w:tcPr>
            <w:tcW w:type="dxa" w:w="4320"/>
          </w:tcPr>
          <w:p>
            <w:r>
              <w:t>产量下降损失</w:t>
            </w:r>
          </w:p>
        </w:tc>
        <w:tc>
          <w:tcPr>
            <w:tcW w:type="dxa" w:w="4320"/>
          </w:tcPr>
          <w:p>
            <w:r>
              <w:t>-80.66</w:t>
            </w:r>
          </w:p>
        </w:tc>
      </w:tr>
      <w:tr>
        <w:tc>
          <w:tcPr>
            <w:tcW w:type="dxa" w:w="4320"/>
          </w:tcPr>
          <w:p>
            <w:r>
              <w:t>成本上升损失</w:t>
            </w:r>
          </w:p>
        </w:tc>
        <w:tc>
          <w:tcPr>
            <w:tcW w:type="dxa" w:w="4320"/>
          </w:tcPr>
          <w:p>
            <w:r>
              <w:t>-15.09</w:t>
            </w:r>
          </w:p>
        </w:tc>
      </w:tr>
      <w:tr>
        <w:tc>
          <w:tcPr>
            <w:tcW w:type="dxa" w:w="4320"/>
          </w:tcPr>
          <w:p>
            <w:r>
              <w:t>价格恶化损失</w:t>
            </w:r>
          </w:p>
        </w:tc>
        <w:tc>
          <w:tcPr>
            <w:tcW w:type="dxa" w:w="4320"/>
          </w:tcPr>
          <w:p>
            <w:r>
              <w:t>-0.00</w:t>
            </w:r>
          </w:p>
        </w:tc>
      </w:tr>
      <w:tr>
        <w:tc>
          <w:tcPr>
            <w:tcW w:type="dxa" w:w="4320"/>
          </w:tcPr>
          <w:p>
            <w:r>
              <w:t>小麦玉米销量增加对冲</w:t>
            </w:r>
          </w:p>
        </w:tc>
        <w:tc>
          <w:tcPr>
            <w:tcW w:type="dxa" w:w="4320"/>
          </w:tcPr>
          <w:p>
            <w:r>
              <w:t>10.24</w:t>
            </w:r>
          </w:p>
        </w:tc>
      </w:tr>
    </w:tbl>
    <w:p>
      <w:pPr>
        <w:pStyle w:val="Heading1"/>
      </w:pPr>
      <w:r>
        <w:t>7 问题三：带相关结构的 MIQP</w:t>
      </w:r>
    </w:p>
    <w:p>
      <w:r>
        <w:t>由于题目未提供 2017--2023 年真实价格序列，本文按照作物经济大类构造相关性结构：同类作物设为高度正相关，粮食与蔬菜设为弱负相关，食用菌与其他类别设为弱相关。结合题目中价格波动区间设置收益率标准差，通过 `numpy.random.multivariate_normal` 生成 1000 条年度收益率样本，并计算样本协方差矩阵 Sigma。</w:t>
      </w:r>
    </w:p>
    <w:p>
      <w:r>
        <w:t>令 `TotalArea[j]` 表示作物 j 在 7 年总种植面积，则组合风险项为：</w:t>
      </w:r>
    </w:p>
    <w:p>
      <w:r>
        <w:t>Risk = sum_j sum_k TotalArea[j] TotalArea[k] Sigma[j,k]</w:t>
      </w:r>
    </w:p>
    <w:p>
      <w:r>
        <w:t>问题三目标函数为：</w:t>
      </w:r>
    </w:p>
    <w:p>
      <w:r>
        <w:t>max ExpectedProfit - lambda * Risk</w:t>
      </w:r>
    </w:p>
    <w:p>
      <w:r>
        <w:t>SCIP 参数设置为 `limits/time=180` 和 `limits/gap=0.01`。对风险厌恶系数进行对数级跨度测试，结果如下。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lambda</w:t>
            </w:r>
          </w:p>
        </w:tc>
        <w:tc>
          <w:tcPr>
            <w:tcW w:type="dxa" w:w="1728"/>
          </w:tcPr>
          <w:p>
            <w:r>
              <w:t>预期利润/万元</w:t>
            </w:r>
          </w:p>
        </w:tc>
        <w:tc>
          <w:tcPr>
            <w:tcW w:type="dxa" w:w="1728"/>
          </w:tcPr>
          <w:p>
            <w:r>
              <w:t>组合风险</w:t>
            </w:r>
          </w:p>
        </w:tc>
        <w:tc>
          <w:tcPr>
            <w:tcW w:type="dxa" w:w="1728"/>
          </w:tcPr>
          <w:p>
            <w:r>
              <w:t>状态</w:t>
            </w:r>
          </w:p>
        </w:tc>
        <w:tc>
          <w:tcPr>
            <w:tcW w:type="dxa" w:w="1728"/>
          </w:tcPr>
          <w:p>
            <w:r>
              <w:t>Gap</w:t>
            </w:r>
          </w:p>
        </w:tc>
      </w:tr>
      <w:tr>
        <w:tc>
          <w:tcPr>
            <w:tcW w:type="dxa" w:w="1728"/>
          </w:tcPr>
          <w:p>
            <w:r>
              <w:t>0</w:t>
            </w:r>
          </w:p>
        </w:tc>
        <w:tc>
          <w:tcPr>
            <w:tcW w:type="dxa" w:w="1728"/>
          </w:tcPr>
          <w:p>
            <w:r>
              <w:t>6100.92</w:t>
            </w:r>
          </w:p>
        </w:tc>
        <w:tc>
          <w:tcPr>
            <w:tcW w:type="dxa" w:w="1728"/>
          </w:tcPr>
          <w:p>
            <w:r>
              <w:t>20538.30</w:t>
            </w:r>
          </w:p>
        </w:tc>
        <w:tc>
          <w:tcPr>
            <w:tcW w:type="dxa" w:w="1728"/>
          </w:tcPr>
          <w:p>
            <w:r>
              <w:t>GAPLIMIT</w:t>
            </w:r>
          </w:p>
        </w:tc>
        <w:tc>
          <w:tcPr>
            <w:tcW w:type="dxa" w:w="1728"/>
          </w:tcPr>
          <w:p>
            <w:r>
              <w:t>0.42 %</w:t>
            </w:r>
          </w:p>
        </w:tc>
      </w:tr>
      <w:tr>
        <w:tc>
          <w:tcPr>
            <w:tcW w:type="dxa" w:w="1728"/>
          </w:tcPr>
          <w:p>
            <w:r>
              <w:t>10</w:t>
            </w:r>
          </w:p>
        </w:tc>
        <w:tc>
          <w:tcPr>
            <w:tcW w:type="dxa" w:w="1728"/>
          </w:tcPr>
          <w:p>
            <w:r>
              <w:t>6111.60</w:t>
            </w:r>
          </w:p>
        </w:tc>
        <w:tc>
          <w:tcPr>
            <w:tcW w:type="dxa" w:w="1728"/>
          </w:tcPr>
          <w:p>
            <w:r>
              <w:t>20556.91</w:t>
            </w:r>
          </w:p>
        </w:tc>
        <w:tc>
          <w:tcPr>
            <w:tcW w:type="dxa" w:w="1728"/>
          </w:tcPr>
          <w:p>
            <w:r>
              <w:t>GAPLIMIT</w:t>
            </w:r>
          </w:p>
        </w:tc>
        <w:tc>
          <w:tcPr>
            <w:tcW w:type="dxa" w:w="1728"/>
          </w:tcPr>
          <w:p>
            <w:r>
              <w:t>0.24 %</w:t>
            </w:r>
          </w:p>
        </w:tc>
      </w:tr>
      <w:tr>
        <w:tc>
          <w:tcPr>
            <w:tcW w:type="dxa" w:w="1728"/>
          </w:tcPr>
          <w:p>
            <w:r>
              <w:t>50</w:t>
            </w:r>
          </w:p>
        </w:tc>
        <w:tc>
          <w:tcPr>
            <w:tcW w:type="dxa" w:w="1728"/>
          </w:tcPr>
          <w:p>
            <w:r>
              <w:t>6109.82</w:t>
            </w:r>
          </w:p>
        </w:tc>
        <w:tc>
          <w:tcPr>
            <w:tcW w:type="dxa" w:w="1728"/>
          </w:tcPr>
          <w:p>
            <w:r>
              <w:t>20559.87</w:t>
            </w:r>
          </w:p>
        </w:tc>
        <w:tc>
          <w:tcPr>
            <w:tcW w:type="dxa" w:w="1728"/>
          </w:tcPr>
          <w:p>
            <w:r>
              <w:t>GAPLIMIT</w:t>
            </w:r>
          </w:p>
        </w:tc>
        <w:tc>
          <w:tcPr>
            <w:tcW w:type="dxa" w:w="1728"/>
          </w:tcPr>
          <w:p>
            <w:r>
              <w:t>0.27 %</w:t>
            </w:r>
          </w:p>
        </w:tc>
      </w:tr>
      <w:tr>
        <w:tc>
          <w:tcPr>
            <w:tcW w:type="dxa" w:w="1728"/>
          </w:tcPr>
          <w:p>
            <w:r>
              <w:t>100</w:t>
            </w:r>
          </w:p>
        </w:tc>
        <w:tc>
          <w:tcPr>
            <w:tcW w:type="dxa" w:w="1728"/>
          </w:tcPr>
          <w:p>
            <w:r>
              <w:t>6104.85</w:t>
            </w:r>
          </w:p>
        </w:tc>
        <w:tc>
          <w:tcPr>
            <w:tcW w:type="dxa" w:w="1728"/>
          </w:tcPr>
          <w:p>
            <w:r>
              <w:t>20555.47</w:t>
            </w:r>
          </w:p>
        </w:tc>
        <w:tc>
          <w:tcPr>
            <w:tcW w:type="dxa" w:w="1728"/>
          </w:tcPr>
          <w:p>
            <w:r>
              <w:t>GAPLIMIT</w:t>
            </w:r>
          </w:p>
        </w:tc>
        <w:tc>
          <w:tcPr>
            <w:tcW w:type="dxa" w:w="1728"/>
          </w:tcPr>
          <w:p>
            <w:r>
              <w:t>0.37 %</w:t>
            </w:r>
          </w:p>
        </w:tc>
      </w:tr>
      <w:tr>
        <w:tc>
          <w:tcPr>
            <w:tcW w:type="dxa" w:w="1728"/>
          </w:tcPr>
          <w:p>
            <w:r>
              <w:t>200</w:t>
            </w:r>
          </w:p>
        </w:tc>
        <w:tc>
          <w:tcPr>
            <w:tcW w:type="dxa" w:w="1728"/>
          </w:tcPr>
          <w:p>
            <w:r>
              <w:t>6098.44</w:t>
            </w:r>
          </w:p>
        </w:tc>
        <w:tc>
          <w:tcPr>
            <w:tcW w:type="dxa" w:w="1728"/>
          </w:tcPr>
          <w:p>
            <w:r>
              <w:t>20496.78</w:t>
            </w:r>
          </w:p>
        </w:tc>
        <w:tc>
          <w:tcPr>
            <w:tcW w:type="dxa" w:w="1728"/>
          </w:tcPr>
          <w:p>
            <w:r>
              <w:t>GAPLIMIT</w:t>
            </w:r>
          </w:p>
        </w:tc>
        <w:tc>
          <w:tcPr>
            <w:tcW w:type="dxa" w:w="1728"/>
          </w:tcPr>
          <w:p>
            <w:r>
              <w:t>0.48 %</w:t>
            </w:r>
          </w:p>
        </w:tc>
      </w:tr>
      <w:tr>
        <w:tc>
          <w:tcPr>
            <w:tcW w:type="dxa" w:w="1728"/>
          </w:tcPr>
          <w:p>
            <w:r>
              <w:t>500</w:t>
            </w:r>
          </w:p>
        </w:tc>
        <w:tc>
          <w:tcPr>
            <w:tcW w:type="dxa" w:w="1728"/>
          </w:tcPr>
          <w:p>
            <w:r>
              <w:t>5900.43</w:t>
            </w:r>
          </w:p>
        </w:tc>
        <w:tc>
          <w:tcPr>
            <w:tcW w:type="dxa" w:w="1728"/>
          </w:tcPr>
          <w:p>
            <w:r>
              <w:t>15415.53</w:t>
            </w:r>
          </w:p>
        </w:tc>
        <w:tc>
          <w:tcPr>
            <w:tcW w:type="dxa" w:w="1728"/>
          </w:tcPr>
          <w:p>
            <w:r>
              <w:t>GAPLIMIT</w:t>
            </w:r>
          </w:p>
        </w:tc>
        <w:tc>
          <w:tcPr>
            <w:tcW w:type="dxa" w:w="1728"/>
          </w:tcPr>
          <w:p>
            <w:r>
              <w:t>0.31 %</w:t>
            </w:r>
          </w:p>
        </w:tc>
      </w:tr>
      <w:tr>
        <w:tc>
          <w:tcPr>
            <w:tcW w:type="dxa" w:w="1728"/>
          </w:tcPr>
          <w:p>
            <w:r>
              <w:t>1000</w:t>
            </w:r>
          </w:p>
        </w:tc>
        <w:tc>
          <w:tcPr>
            <w:tcW w:type="dxa" w:w="1728"/>
          </w:tcPr>
          <w:p>
            <w:r>
              <w:t>5314.27</w:t>
            </w:r>
          </w:p>
        </w:tc>
        <w:tc>
          <w:tcPr>
            <w:tcW w:type="dxa" w:w="1728"/>
          </w:tcPr>
          <w:p>
            <w:r>
              <w:t>6851.50</w:t>
            </w:r>
          </w:p>
        </w:tc>
        <w:tc>
          <w:tcPr>
            <w:tcW w:type="dxa" w:w="1728"/>
          </w:tcPr>
          <w:p>
            <w:r>
              <w:t>GAPLIMIT</w:t>
            </w:r>
          </w:p>
        </w:tc>
        <w:tc>
          <w:tcPr>
            <w:tcW w:type="dxa" w:w="1728"/>
          </w:tcPr>
          <w:p>
            <w:r>
              <w:t>0.26 %</w:t>
            </w:r>
          </w:p>
        </w:tc>
      </w:tr>
    </w:tbl>
    <w:p>
      <w:r>
        <w:t>当 lambda 从 0 增加到 1000 时，预期利润下降 786.65 万元，组合风险下降 66.64%。这表明风险惩罚突破了求解 Gap 噪声，对种植组合产生实质影响。帕累托前沿图见 `submission/figures/pareto_frontier.png`。</w:t>
      </w:r>
    </w:p>
    <w:p>
      <w:pPr>
        <w:pStyle w:val="Heading1"/>
      </w:pPr>
      <w:r>
        <w:t>8 模型评价</w:t>
      </w:r>
    </w:p>
    <w:p>
      <w:r>
        <w:t>本文模型的核心优点是将 7 年规划作为一个统一的全局优化问题处理，能够同时考虑跨年度重茬约束和三年豆类轮作要求，避免逐年贪心决策导致未来不可行。数据层统一输出元组键字典，使模型结构与 PySCIPOpt 变量下标保持一致，降低了数据错配风险。鲁棒模型能给出恶劣情景下的保底利润，MIQP 模型则进一步刻画了作物组合风险和收益之间的权衡。</w:t>
      </w:r>
    </w:p>
    <w:p>
      <w:r>
        <w:t>模型仍有进一步改进空间。首先，第三问的协方差矩阵来自模拟而非真实历史价格序列，因此风险估计依赖类别相关性假设。其次，若需要更平滑的帕累托前沿，可进一步使用 epsilon-constraint 方法，即固定风险上限并最大化利润，以减少 lambda 加权法在整数模型中产生的跳跃。</w:t>
      </w:r>
    </w:p>
    <w:p>
      <w:pPr>
        <w:pStyle w:val="Heading1"/>
      </w:pPr>
      <w:r>
        <w:t>9 结论</w:t>
      </w:r>
    </w:p>
    <w:p>
      <w:r>
        <w:t>本文给出了 2024--2030 年农作物种植计划的全局 MILP、情景鲁棒 MILP 和相关风险 MIQP 模型，并完成了结果文件导出。确定性超产五折销售基准利润为 6186.43 万元，恶劣情景鲁棒利润为 6100.92 万元，鲁棒代价为 85.51 万元。第三问结果显示，风险厌恶系数提高后，模型会显著牺牲收益以降低组合风险，为实际农业经营中的稳健决策提供了量化依据。</w:t>
      </w:r>
    </w:p>
    <w:p>
      <w:pPr>
        <w:pStyle w:val="Heading1"/>
      </w:pPr>
      <w:r>
        <w:t>主要结果表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问题</w:t>
            </w:r>
          </w:p>
        </w:tc>
        <w:tc>
          <w:tcPr>
            <w:tcW w:type="dxa" w:w="2160"/>
          </w:tcPr>
          <w:p>
            <w:r>
              <w:t>利润/万元</w:t>
            </w:r>
          </w:p>
        </w:tc>
        <w:tc>
          <w:tcPr>
            <w:tcW w:type="dxa" w:w="2160"/>
          </w:tcPr>
          <w:p>
            <w:r>
              <w:t>状态</w:t>
            </w:r>
          </w:p>
        </w:tc>
        <w:tc>
          <w:tcPr>
            <w:tcW w:type="dxa" w:w="2160"/>
          </w:tcPr>
          <w:p>
            <w:r>
              <w:t>Gap</w:t>
            </w:r>
          </w:p>
        </w:tc>
      </w:tr>
      <w:tr>
        <w:tc>
          <w:tcPr>
            <w:tcW w:type="dxa" w:w="2160"/>
          </w:tcPr>
          <w:p>
            <w:r>
              <w:t>Q1-1</w:t>
            </w:r>
          </w:p>
        </w:tc>
        <w:tc>
          <w:tcPr>
            <w:tcW w:type="dxa" w:w="2160"/>
          </w:tcPr>
          <w:p>
            <w:r>
              <w:t>2868.22</w:t>
            </w:r>
          </w:p>
        </w:tc>
        <w:tc>
          <w:tcPr>
            <w:tcW w:type="dxa" w:w="2160"/>
          </w:tcPr>
          <w:p>
            <w:r>
              <w:t>已生成方案</w:t>
            </w:r>
          </w:p>
        </w:tc>
        <w:tc>
          <w:tcPr>
            <w:tcW w:type="dxa" w:w="2160"/>
          </w:tcPr>
          <w:p>
            <w:r>
              <w:t>-</w:t>
            </w:r>
          </w:p>
        </w:tc>
      </w:tr>
      <w:tr>
        <w:tc>
          <w:tcPr>
            <w:tcW w:type="dxa" w:w="2160"/>
          </w:tcPr>
          <w:p>
            <w:r>
              <w:t>Q1-2</w:t>
            </w:r>
          </w:p>
        </w:tc>
        <w:tc>
          <w:tcPr>
            <w:tcW w:type="dxa" w:w="2160"/>
          </w:tcPr>
          <w:p>
            <w:r>
              <w:t>6186.43</w:t>
            </w:r>
          </w:p>
        </w:tc>
        <w:tc>
          <w:tcPr>
            <w:tcW w:type="dxa" w:w="2160"/>
          </w:tcPr>
          <w:p>
            <w:r>
              <w:t>solving was interrupted [gap limit reached]</w:t>
            </w:r>
          </w:p>
        </w:tc>
        <w:tc>
          <w:tcPr>
            <w:tcW w:type="dxa" w:w="2160"/>
          </w:tcPr>
          <w:p>
            <w:r>
              <w:t>0.27 %</w:t>
            </w:r>
          </w:p>
        </w:tc>
      </w:tr>
      <w:tr>
        <w:tc>
          <w:tcPr>
            <w:tcW w:type="dxa" w:w="2160"/>
          </w:tcPr>
          <w:p>
            <w:r>
              <w:t>Q2</w:t>
            </w:r>
          </w:p>
        </w:tc>
        <w:tc>
          <w:tcPr>
            <w:tcW w:type="dxa" w:w="2160"/>
          </w:tcPr>
          <w:p>
            <w:r>
              <w:t>6100.92</w:t>
            </w:r>
          </w:p>
        </w:tc>
        <w:tc>
          <w:tcPr>
            <w:tcW w:type="dxa" w:w="2160"/>
          </w:tcPr>
          <w:p>
            <w:r>
              <w:t>solving was interrupted [gap limit reached]</w:t>
            </w:r>
          </w:p>
        </w:tc>
        <w:tc>
          <w:tcPr>
            <w:tcW w:type="dxa" w:w="2160"/>
          </w:tcPr>
          <w:p>
            <w:r>
              <w:t>0.42 %</w:t>
            </w:r>
          </w:p>
        </w:tc>
      </w:tr>
    </w:tbl>
    <w:p>
      <w:pPr>
        <w:pStyle w:val="Heading1"/>
      </w:pPr>
      <w:r>
        <w:t>Q2鲁棒代价瀑布图</w:t>
      </w:r>
    </w:p>
    <w:p>
      <w:r>
        <w:drawing>
          <wp:inline xmlns:a="http://schemas.openxmlformats.org/drawingml/2006/main" xmlns:pic="http://schemas.openxmlformats.org/drawingml/2006/picture">
            <wp:extent cx="5669280" cy="2989257"/>
            <wp:docPr id="1" name="Picture 1"/>
            <wp:cNvGraphicFramePr>
              <a:graphicFrameLocks noChangeAspect="1"/>
            </wp:cNvGraphicFramePr>
            <a:graphic>
              <a:graphicData uri="http://schemas.openxmlformats.org/drawingml/2006/picture">
                <pic:pic>
                  <pic:nvPicPr>
                    <pic:cNvPr id="0" name="robust_waterfall.png"/>
                    <pic:cNvPicPr/>
                  </pic:nvPicPr>
                  <pic:blipFill>
                    <a:blip r:embed="rId9"/>
                    <a:stretch>
                      <a:fillRect/>
                    </a:stretch>
                  </pic:blipFill>
                  <pic:spPr>
                    <a:xfrm>
                      <a:off x="0" y="0"/>
                      <a:ext cx="5669280" cy="2989257"/>
                    </a:xfrm>
                    <a:prstGeom prst="rect"/>
                  </pic:spPr>
                </pic:pic>
              </a:graphicData>
            </a:graphic>
          </wp:inline>
        </w:drawing>
      </w:r>
    </w:p>
    <w:p>
      <w:pPr>
        <w:pStyle w:val="Heading1"/>
      </w:pPr>
      <w:r>
        <w:t>Q3帕累托前沿图</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pareto_frontier.png"/>
                    <pic:cNvPicPr/>
                  </pic:nvPicPr>
                  <pic:blipFill>
                    <a:blip r:embed="rId10"/>
                    <a:stretch>
                      <a:fillRect/>
                    </a:stretch>
                  </pic:blipFill>
                  <pic:spPr>
                    <a:xfrm>
                      <a:off x="0" y="0"/>
                      <a:ext cx="5669280" cy="35433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