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3E48" w14:textId="77777777" w:rsidR="000D43EC" w:rsidRDefault="00000000">
      <w:pPr>
        <w:spacing w:after="120"/>
        <w:jc w:val="center"/>
      </w:pPr>
      <w:r>
        <w:rPr>
          <w:b/>
          <w:bCs/>
          <w:color w:val="2E4D91"/>
          <w:sz w:val="30"/>
          <w:szCs w:val="30"/>
        </w:rPr>
        <w:t>Evaluating LLM Causal Knowledge Extraction from Central Bank Communications</w:t>
      </w:r>
    </w:p>
    <w:p w14:paraId="76844B09" w14:textId="77777777" w:rsidR="000D43EC" w:rsidRDefault="00000000">
      <w:pPr>
        <w:spacing w:before="80" w:after="80"/>
        <w:jc w:val="center"/>
      </w:pPr>
      <w:r>
        <w:rPr>
          <w:color w:val="555555"/>
        </w:rPr>
        <w:t xml:space="preserve">CPSC 532V — Commonsense Reasoning in </w:t>
      </w:r>
      <w:proofErr w:type="gramStart"/>
      <w:r>
        <w:rPr>
          <w:color w:val="555555"/>
        </w:rPr>
        <w:t>NLP  |</w:t>
      </w:r>
      <w:proofErr w:type="gramEnd"/>
      <w:r>
        <w:rPr>
          <w:color w:val="555555"/>
        </w:rPr>
        <w:t xml:space="preserve">  Final Project Proposal</w:t>
      </w:r>
    </w:p>
    <w:p w14:paraId="4C3F9447" w14:textId="77777777" w:rsidR="000D43EC" w:rsidRDefault="00000000">
      <w:pPr>
        <w:spacing w:before="40" w:after="320"/>
        <w:jc w:val="center"/>
      </w:pPr>
      <w:r>
        <w:rPr>
          <w:color w:val="888888"/>
          <w:sz w:val="20"/>
          <w:szCs w:val="20"/>
        </w:rPr>
        <w:t xml:space="preserve">University of British </w:t>
      </w:r>
      <w:proofErr w:type="gramStart"/>
      <w:r>
        <w:rPr>
          <w:color w:val="888888"/>
          <w:sz w:val="20"/>
          <w:szCs w:val="20"/>
        </w:rPr>
        <w:t>Columbia  |</w:t>
      </w:r>
      <w:proofErr w:type="gramEnd"/>
      <w:r>
        <w:rPr>
          <w:color w:val="888888"/>
          <w:sz w:val="20"/>
          <w:szCs w:val="20"/>
        </w:rPr>
        <w:t xml:space="preserve">  2025</w:t>
      </w:r>
    </w:p>
    <w:p w14:paraId="3E2832F2" w14:textId="77777777" w:rsidR="000D43EC" w:rsidRDefault="000D43EC">
      <w:pPr>
        <w:pBdr>
          <w:bottom w:val="single" w:sz="6" w:space="1" w:color="2E4D91"/>
        </w:pBdr>
        <w:spacing w:after="320"/>
      </w:pPr>
    </w:p>
    <w:p w14:paraId="27374EE0" w14:textId="77777777" w:rsidR="000D43EC" w:rsidRDefault="00000000">
      <w:pPr>
        <w:pStyle w:val="Heading1"/>
      </w:pPr>
      <w:r>
        <w:t>1. Research Problem</w:t>
      </w:r>
    </w:p>
    <w:p w14:paraId="2A55AC06" w14:textId="22E24FFC" w:rsidR="000D43EC" w:rsidRDefault="00000000" w:rsidP="00106070">
      <w:pPr>
        <w:spacing w:before="80" w:after="80" w:line="276" w:lineRule="auto"/>
      </w:pPr>
      <w:r>
        <w:t>Resources like ATOMIC (Sap et al., 2019) were built through expensive crowdsourcing because extracting causal knowledge from raw text is hard. A natural question is whether LLMs can now automate this process for specialized domains. This project tests that question on Federal Open Market Committee (FOMC) meeting minutes — documents that are unusually dense with causal reasoning, expressed in a distinctive register characterized by deliberate hedging, domain-specific vocabulary, and frequent implicit rather than explicit causal structure.</w:t>
      </w:r>
    </w:p>
    <w:p w14:paraId="33B52DA2" w14:textId="77777777" w:rsidR="000D43EC" w:rsidRDefault="00000000">
      <w:pPr>
        <w:spacing w:before="80" w:after="80" w:line="276" w:lineRule="auto"/>
      </w:pPr>
      <w:r>
        <w:t>The research question is: how reliably can LLMs extract causal triples from expert institutional text, and do failure rates and failure modes vary systematically across linguistic complexity and economic regime? This framing also resolves a methodological problem: any temporal comparison of extracted causal graphs would be confounded by changes in linguistic register across periods. By making extraction quality the primary question, we address this confound directly.</w:t>
      </w:r>
    </w:p>
    <w:p w14:paraId="48A47652" w14:textId="77777777" w:rsidR="000D43EC" w:rsidRDefault="000D43EC">
      <w:pPr>
        <w:spacing w:before="80" w:after="80"/>
      </w:pPr>
    </w:p>
    <w:p w14:paraId="685BF2CA" w14:textId="77777777" w:rsidR="000D43EC" w:rsidRDefault="00000000">
      <w:pPr>
        <w:pStyle w:val="Heading1"/>
      </w:pPr>
      <w:r>
        <w:t>2. Literature Review</w:t>
      </w:r>
    </w:p>
    <w:p w14:paraId="52E540FA" w14:textId="5F23333D" w:rsidR="00106070" w:rsidRPr="00106070" w:rsidRDefault="00106070" w:rsidP="00106070">
      <w:pPr>
        <w:spacing w:before="80" w:after="80"/>
      </w:pPr>
      <w:r w:rsidRPr="00106070">
        <w:t xml:space="preserve">Causal knowledge base construction has relied on crowdsourcing because automated extraction from raw text remains unreliable. ATOMIC (Sap et al., 2019) encoded 880,000 if-then causal triples via crowdsourcing using relations such as </w:t>
      </w:r>
      <w:proofErr w:type="spellStart"/>
      <w:r w:rsidRPr="00106070">
        <w:t>xCause</w:t>
      </w:r>
      <w:proofErr w:type="spellEnd"/>
      <w:r w:rsidRPr="00106070">
        <w:t xml:space="preserve">, </w:t>
      </w:r>
      <w:proofErr w:type="spellStart"/>
      <w:r w:rsidRPr="00106070">
        <w:t>xEffect</w:t>
      </w:r>
      <w:proofErr w:type="spellEnd"/>
      <w:r w:rsidRPr="00106070">
        <w:t xml:space="preserve">, and </w:t>
      </w:r>
      <w:proofErr w:type="spellStart"/>
      <w:r w:rsidRPr="00106070">
        <w:t>xIntent</w:t>
      </w:r>
      <w:proofErr w:type="spellEnd"/>
      <w:r w:rsidRPr="00106070">
        <w:t>; COMET-ATOMIC 2020 (Hwang et al., 2021) extended this to 1.3 million inference rules. These resources substantially improved downstream reasoning performance, but their construction depended on human annotators and is not easily scalable to specialized domains. Our project directly tests whether LLMs can replace human annotators in this pipeline for institutional economic text.</w:t>
      </w:r>
    </w:p>
    <w:p w14:paraId="3FFA9A2D" w14:textId="51537293" w:rsidR="00106070" w:rsidRPr="00106070" w:rsidRDefault="00106070" w:rsidP="00106070">
      <w:pPr>
        <w:spacing w:before="80" w:after="80"/>
      </w:pPr>
      <w:r w:rsidRPr="00106070">
        <w:t>Causal relation extraction has a long NLP history. Early pattern-based approaches (</w:t>
      </w:r>
      <w:proofErr w:type="spellStart"/>
      <w:r w:rsidRPr="00106070">
        <w:t>Girju</w:t>
      </w:r>
      <w:proofErr w:type="spellEnd"/>
      <w:r w:rsidRPr="00106070">
        <w:t>, 2003; Khoo et al., 2000) were followed by neural sequence labeling methods (Dasgupta et al., 2018; Li et al., 2021) that improved performance on newswire benchmarks. However, performance degrades significantly on domain-specific or hedged text. Recent LLM-based extractors show competitive general-domain performance (Wadhwa et al., 2023; Guo et al., 2023) but remain poorly evaluated on specialized domains with distinctive vocabulary and implicit causal structure — both of which characterize central bank language. Text-derived knowledge is further subject to reporting bias (Gordon &amp; Van Durme, 2013): the causal beliefs held most strongly tend to be expressed most implicitly, as they form the unstated background of expert discourse.</w:t>
      </w:r>
    </w:p>
    <w:p w14:paraId="0BF984A5" w14:textId="77777777" w:rsidR="00106070" w:rsidRPr="00106070" w:rsidRDefault="00106070" w:rsidP="00106070">
      <w:pPr>
        <w:spacing w:before="80" w:after="80"/>
      </w:pPr>
    </w:p>
    <w:p w14:paraId="7E626EAD" w14:textId="1F730BF3" w:rsidR="00106070" w:rsidRPr="00106070" w:rsidRDefault="00106070" w:rsidP="00106070">
      <w:pPr>
        <w:spacing w:before="80" w:after="80"/>
      </w:pPr>
      <w:r w:rsidRPr="00106070">
        <w:t>In central bank NLP, prior work focuses on sentiment classification (“hawkish/dovish</w:t>
      </w:r>
      <w:r w:rsidR="008851C6">
        <w:t>”)</w:t>
      </w:r>
      <w:r w:rsidRPr="00106070">
        <w:t xml:space="preserve"> or topic modeling (Hansen et al., 2018; Shapiro &amp; Wilson, 2022). The closest prior work manually coded </w:t>
      </w:r>
      <w:r w:rsidRPr="00106070">
        <w:lastRenderedPageBreak/>
        <w:t xml:space="preserve">causal language in FOMC statements (Acosta &amp; Meade, 2015) but remains small-scale and does not evaluate LLM extraction quality. To our knowledge, no prior work has characterized LLM causal extraction faithfulness on central bank </w:t>
      </w:r>
      <w:proofErr w:type="gramStart"/>
      <w:r w:rsidRPr="00106070">
        <w:t>text, or</w:t>
      </w:r>
      <w:proofErr w:type="gramEnd"/>
      <w:r w:rsidRPr="00106070">
        <w:t xml:space="preserve"> analyzed how failure modes vary across economic regimes with distinct linguistic registers.</w:t>
      </w:r>
    </w:p>
    <w:p w14:paraId="6E8D25BC" w14:textId="77777777" w:rsidR="00106070" w:rsidRDefault="00106070">
      <w:pPr>
        <w:spacing w:before="80" w:after="80"/>
      </w:pPr>
    </w:p>
    <w:p w14:paraId="17EC039A" w14:textId="77777777" w:rsidR="000D43EC" w:rsidRDefault="00000000">
      <w:pPr>
        <w:pStyle w:val="Heading1"/>
      </w:pPr>
      <w:r>
        <w:t>3. Expected Contribution</w:t>
      </w:r>
    </w:p>
    <w:p w14:paraId="5452D714" w14:textId="77777777" w:rsidR="000D43EC" w:rsidRDefault="00000000">
      <w:pPr>
        <w:spacing w:before="80" w:after="80" w:line="276" w:lineRule="auto"/>
      </w:pPr>
      <w:r>
        <w:rPr>
          <w:b/>
          <w:bCs/>
        </w:rPr>
        <w:t xml:space="preserve">Complexity-stratified faithfulness benchmark: </w:t>
      </w:r>
      <w:r>
        <w:t>Faithfulness rates for LLM causal extraction from FOMC minutes, stratified by a 1–5 complexity score that captures passage explicitness, hedging, and domain difficulty in a single interpretable dimension.</w:t>
      </w:r>
    </w:p>
    <w:p w14:paraId="0911F395" w14:textId="77777777" w:rsidR="000D43EC" w:rsidRDefault="000D43EC">
      <w:pPr>
        <w:spacing w:before="80" w:after="80"/>
      </w:pPr>
    </w:p>
    <w:p w14:paraId="10BA6264" w14:textId="77777777" w:rsidR="000D43EC" w:rsidRDefault="00000000">
      <w:pPr>
        <w:spacing w:before="80" w:after="80" w:line="276" w:lineRule="auto"/>
      </w:pPr>
      <w:r>
        <w:rPr>
          <w:b/>
          <w:bCs/>
        </w:rPr>
        <w:t xml:space="preserve">Regime-sensitive failure mode analysis: </w:t>
      </w:r>
      <w:r>
        <w:t>Comparison of faithfulness rates and failure mode distributions across three economic periods, testing whether Faithfulness/Hedge Failure is more prevalent in novel regimes — directly connecting to the parametric faithfulness literature and reporting bias themes of the course.</w:t>
      </w:r>
    </w:p>
    <w:p w14:paraId="595D3FD6" w14:textId="77777777" w:rsidR="000D43EC" w:rsidRDefault="000D43EC">
      <w:pPr>
        <w:spacing w:before="80" w:after="80"/>
      </w:pPr>
    </w:p>
    <w:p w14:paraId="6966E6B5" w14:textId="77777777" w:rsidR="000D43EC" w:rsidRDefault="00000000">
      <w:pPr>
        <w:pStyle w:val="Heading1"/>
      </w:pPr>
      <w:r>
        <w:t>4. Dataset</w:t>
      </w:r>
    </w:p>
    <w:p w14:paraId="2BAD9229" w14:textId="567AB5B4" w:rsidR="000D43EC" w:rsidRDefault="00000000">
      <w:pPr>
        <w:spacing w:before="80" w:after="80" w:line="276" w:lineRule="auto"/>
      </w:pPr>
      <w:r>
        <w:t xml:space="preserve">We use the FOMC Meeting Statements and Minutes dataset (Tasca, 2023; Kaggle), which provides pre-cleaned plain text of all FOMC minutes from 1993 to the present, supplemented by the </w:t>
      </w:r>
      <w:proofErr w:type="spellStart"/>
      <w:r>
        <w:t>HuggingFace</w:t>
      </w:r>
      <w:proofErr w:type="spellEnd"/>
      <w:r>
        <w:t xml:space="preserve"> “Trillion Dollar Words” dataset (Shah et al., 2023). We sample 10 meetings per period (30 total) across three macroeconomic regimes: Great Moderation (1994–2007, conventional policy language), </w:t>
      </w:r>
      <w:proofErr w:type="gramStart"/>
      <w:r>
        <w:t>Post-Crisis ZLB Era</w:t>
      </w:r>
      <w:proofErr w:type="gramEnd"/>
      <w:r>
        <w:t xml:space="preserve"> (2008–2019, new vocabulary around QE and forward guidance), and Post-COVID Surge (2020–2023, novel supply chain and pandemic demand language). Within each document we target the “Staff Review of the Economic Situation” and “Participants’ Views” sections, identified by header matching, segmented into passages of 3–5 sentences using NLTK. As a sanity check, we verify that 12 canonical economic causal relationships— such as rate increases causing reduced borrowing and oil prices causing headline inflation — appear in the extracted set with correct directionality.</w:t>
      </w:r>
    </w:p>
    <w:p w14:paraId="3CCCF1A8" w14:textId="77777777" w:rsidR="000D43EC" w:rsidRDefault="000D43EC">
      <w:pPr>
        <w:spacing w:before="80" w:after="80"/>
      </w:pPr>
    </w:p>
    <w:p w14:paraId="1D5F8DCE" w14:textId="77777777" w:rsidR="000D43EC" w:rsidRDefault="00000000">
      <w:pPr>
        <w:pStyle w:val="Heading1"/>
      </w:pPr>
      <w:r>
        <w:t>5. Methodology</w:t>
      </w:r>
    </w:p>
    <w:p w14:paraId="75CFCE28" w14:textId="77777777" w:rsidR="000D43EC" w:rsidRDefault="00000000">
      <w:pPr>
        <w:pStyle w:val="Heading2"/>
      </w:pPr>
      <w:r>
        <w:t>5.1 Causal Triple Extraction</w:t>
      </w:r>
    </w:p>
    <w:p w14:paraId="4024C8D2" w14:textId="77777777" w:rsidR="000D43EC" w:rsidRDefault="00000000">
      <w:pPr>
        <w:spacing w:before="80" w:after="80" w:line="276" w:lineRule="auto"/>
      </w:pPr>
      <w:r>
        <w:t>Each passage is processed by Gemini 1.5 Pro via the Google AI API. The prompt requests structured JSON output with five fields: cause, connector (verbatim causal language), effect, hedge (any hedging language), and direction (positive/negative/ambiguous). The prompt instructs the model to extract only causal relationships — not correlations — and to preserve hedging rather than flatten it. A held-out set of 20 passages is used for iterative prompt refinement before running at scale.</w:t>
      </w:r>
    </w:p>
    <w:p w14:paraId="5E38F688" w14:textId="77777777" w:rsidR="000D43EC" w:rsidRDefault="000D43EC">
      <w:pPr>
        <w:spacing w:before="80" w:after="80"/>
      </w:pPr>
    </w:p>
    <w:p w14:paraId="4A569BDE" w14:textId="77777777" w:rsidR="000D43EC" w:rsidRDefault="00000000">
      <w:pPr>
        <w:pStyle w:val="Heading2"/>
      </w:pPr>
      <w:r>
        <w:lastRenderedPageBreak/>
        <w:t>5.2 Manual Evaluation with Complexity Scoring</w:t>
      </w:r>
    </w:p>
    <w:p w14:paraId="77A67307" w14:textId="77777777" w:rsidR="000D43EC" w:rsidRDefault="00000000">
      <w:pPr>
        <w:spacing w:before="80" w:after="80" w:line="276" w:lineRule="auto"/>
      </w:pPr>
      <w:r>
        <w:t>Each passage receives a Complexity Score (1–5) assigned during manual review, replacing multiple computed linguistic features with a single interpretable dimension:</w:t>
      </w:r>
    </w:p>
    <w:p w14:paraId="4797DC83" w14:textId="77777777" w:rsidR="000D43EC" w:rsidRDefault="000D43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0D43EC" w14:paraId="55DF3E0E" w14:textId="77777777">
        <w:tblPrEx>
          <w:tblCellMar>
            <w:top w:w="0" w:type="dxa"/>
            <w:bottom w:w="0" w:type="dxa"/>
          </w:tblCellMar>
        </w:tblPrEx>
        <w:trPr>
          <w:tblHeader/>
        </w:trPr>
        <w:tc>
          <w:tcPr>
            <w:tcW w:w="90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27F368EE" w14:textId="77777777" w:rsidR="000D43EC" w:rsidRDefault="00000000">
            <w:r>
              <w:rPr>
                <w:b/>
                <w:bCs/>
                <w:color w:val="FFFFFF"/>
                <w:sz w:val="20"/>
                <w:szCs w:val="20"/>
              </w:rPr>
              <w:t>Score</w:t>
            </w:r>
          </w:p>
        </w:tc>
        <w:tc>
          <w:tcPr>
            <w:tcW w:w="846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400D360C" w14:textId="77777777" w:rsidR="000D43EC" w:rsidRDefault="00000000">
            <w:r>
              <w:rPr>
                <w:b/>
                <w:bCs/>
                <w:color w:val="FFFFFF"/>
                <w:sz w:val="20"/>
                <w:szCs w:val="20"/>
              </w:rPr>
              <w:t>Description</w:t>
            </w:r>
          </w:p>
        </w:tc>
      </w:tr>
      <w:tr w:rsidR="000D43EC" w14:paraId="7C68B8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5C74CD" w14:textId="77777777" w:rsidR="000D43EC" w:rsidRDefault="00000000">
            <w:r>
              <w:rPr>
                <w:sz w:val="20"/>
                <w:szCs w:val="20"/>
              </w:rPr>
              <w:t>1–2</w:t>
            </w:r>
          </w:p>
        </w:tc>
        <w:tc>
          <w:tcPr>
            <w:tcW w:w="8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F9D4E2" w14:textId="77777777" w:rsidR="000D43EC" w:rsidRDefault="00000000">
            <w:r>
              <w:rPr>
                <w:sz w:val="20"/>
                <w:szCs w:val="20"/>
              </w:rPr>
              <w:t>Explicit causal statement, minimal hedging (e.g., “Rising energy prices led to higher inflation”)</w:t>
            </w:r>
          </w:p>
        </w:tc>
      </w:tr>
      <w:tr w:rsidR="000D43EC" w14:paraId="1F35A4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64F2" w14:textId="77777777" w:rsidR="000D43EC" w:rsidRDefault="00000000">
            <w:r>
              <w:rPr>
                <w:sz w:val="20"/>
                <w:szCs w:val="20"/>
              </w:rPr>
              <w:t>3</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87EE" w14:textId="77777777" w:rsidR="000D43EC" w:rsidRDefault="00000000">
            <w:r>
              <w:rPr>
                <w:sz w:val="20"/>
                <w:szCs w:val="20"/>
              </w:rPr>
              <w:t>Moderate hedging or mild implicit structure (e.g., “Financial conditions appeared to weigh on investment”)</w:t>
            </w:r>
          </w:p>
        </w:tc>
      </w:tr>
      <w:tr w:rsidR="000D43EC" w14:paraId="2800D9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F4CA0B" w14:textId="77777777" w:rsidR="000D43EC" w:rsidRDefault="00000000">
            <w:r>
              <w:rPr>
                <w:sz w:val="20"/>
                <w:szCs w:val="20"/>
              </w:rPr>
              <w:t>4–5</w:t>
            </w:r>
          </w:p>
        </w:tc>
        <w:tc>
          <w:tcPr>
            <w:tcW w:w="8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7F864" w14:textId="77777777" w:rsidR="000D43EC" w:rsidRDefault="00000000">
            <w:r>
              <w:rPr>
                <w:sz w:val="20"/>
                <w:szCs w:val="20"/>
              </w:rPr>
              <w:t>Heavy hedging, multi-hop chains, or highly implicit causation requiring domain context</w:t>
            </w:r>
          </w:p>
        </w:tc>
      </w:tr>
    </w:tbl>
    <w:p w14:paraId="43A45CFD" w14:textId="77777777" w:rsidR="000D43EC" w:rsidRDefault="000D43EC">
      <w:pPr>
        <w:spacing w:before="80" w:after="80"/>
      </w:pPr>
    </w:p>
    <w:p w14:paraId="139021D1" w14:textId="77777777" w:rsidR="000D43EC" w:rsidRDefault="00000000">
      <w:pPr>
        <w:spacing w:before="80" w:after="80" w:line="276" w:lineRule="auto"/>
      </w:pPr>
      <w:r>
        <w:t>Each extracted triple is then judged binary: faithful (accurately represents a causal relationship in the source, with correct direction and preserved hedging) or unfaithful. Unfaithful triples receive one of three failure mode labels:</w:t>
      </w:r>
    </w:p>
    <w:p w14:paraId="1B6E027B" w14:textId="77777777" w:rsidR="000D43EC" w:rsidRDefault="000D43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4260"/>
      </w:tblGrid>
      <w:tr w:rsidR="000D43EC" w14:paraId="771C8D27" w14:textId="77777777">
        <w:tblPrEx>
          <w:tblCellMar>
            <w:top w:w="0" w:type="dxa"/>
            <w:bottom w:w="0" w:type="dxa"/>
          </w:tblCellMar>
        </w:tblPrEx>
        <w:trPr>
          <w:tblHeader/>
        </w:trPr>
        <w:tc>
          <w:tcPr>
            <w:tcW w:w="230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6661DAF5" w14:textId="77777777" w:rsidR="000D43EC" w:rsidRDefault="00000000">
            <w:r>
              <w:rPr>
                <w:b/>
                <w:bCs/>
                <w:color w:val="FFFFFF"/>
                <w:sz w:val="20"/>
                <w:szCs w:val="20"/>
              </w:rPr>
              <w:t>Failure Mode</w:t>
            </w:r>
          </w:p>
        </w:tc>
        <w:tc>
          <w:tcPr>
            <w:tcW w:w="280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5319E4A2" w14:textId="77777777" w:rsidR="000D43EC" w:rsidRDefault="00000000">
            <w:r>
              <w:rPr>
                <w:b/>
                <w:bCs/>
                <w:color w:val="FFFFFF"/>
                <w:sz w:val="20"/>
                <w:szCs w:val="20"/>
              </w:rPr>
              <w:t>Definition</w:t>
            </w:r>
          </w:p>
        </w:tc>
        <w:tc>
          <w:tcPr>
            <w:tcW w:w="426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23650FD1" w14:textId="77777777" w:rsidR="000D43EC" w:rsidRDefault="00000000">
            <w:r>
              <w:rPr>
                <w:b/>
                <w:bCs/>
                <w:color w:val="FFFFFF"/>
                <w:sz w:val="20"/>
                <w:szCs w:val="20"/>
              </w:rPr>
              <w:t>Course Connection</w:t>
            </w:r>
          </w:p>
        </w:tc>
      </w:tr>
      <w:tr w:rsidR="000D43EC" w14:paraId="55B37EE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601545" w14:textId="77777777" w:rsidR="000D43EC" w:rsidRDefault="00000000">
            <w:r>
              <w:rPr>
                <w:sz w:val="20"/>
                <w:szCs w:val="20"/>
              </w:rPr>
              <w:t>Hallucination / Correlation Confusion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1CB48A" w14:textId="77777777" w:rsidR="000D43EC" w:rsidRDefault="00000000">
            <w:r>
              <w:rPr>
                <w:sz w:val="20"/>
                <w:szCs w:val="20"/>
              </w:rPr>
              <w:t>Triple absent from source, or correlation extracted as causation</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46B5A7" w14:textId="77777777" w:rsidR="000D43EC" w:rsidRDefault="00000000">
            <w:r>
              <w:rPr>
                <w:sz w:val="20"/>
                <w:szCs w:val="20"/>
              </w:rPr>
              <w:t>Model pattern-matches a plausible economic relationship rather than reading what is written</w:t>
            </w:r>
          </w:p>
        </w:tc>
      </w:tr>
      <w:tr w:rsidR="000D43EC" w14:paraId="08F1CB5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7C5A5" w14:textId="77777777" w:rsidR="000D43EC" w:rsidRDefault="00000000">
            <w:r>
              <w:rPr>
                <w:sz w:val="20"/>
                <w:szCs w:val="20"/>
              </w:rPr>
              <w:t>Direction / Entity Error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3C75" w14:textId="77777777" w:rsidR="000D43EC" w:rsidRDefault="00000000">
            <w:r>
              <w:rPr>
                <w:sz w:val="20"/>
                <w:szCs w:val="20"/>
              </w:rPr>
              <w:t>Cause and effect reversed, or wrong entity extracted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3577" w14:textId="77777777" w:rsidR="000D43EC" w:rsidRDefault="00000000">
            <w:r>
              <w:rPr>
                <w:sz w:val="20"/>
                <w:szCs w:val="20"/>
              </w:rPr>
              <w:t>Model imposes a known causal schema rather than extracting the stated one</w:t>
            </w:r>
          </w:p>
        </w:tc>
      </w:tr>
      <w:tr w:rsidR="000D43EC" w14:paraId="50D4509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133395" w14:textId="77777777" w:rsidR="000D43EC" w:rsidRDefault="00000000">
            <w:r>
              <w:rPr>
                <w:sz w:val="20"/>
                <w:szCs w:val="20"/>
              </w:rPr>
              <w:t>Faithfulness / Hedge Failure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AEA695" w14:textId="77777777" w:rsidR="000D43EC" w:rsidRDefault="00000000">
            <w:r>
              <w:rPr>
                <w:sz w:val="20"/>
                <w:szCs w:val="20"/>
              </w:rPr>
              <w:t>“May cause” extracted as “causes” — hedge stripped</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397898" w14:textId="77777777" w:rsidR="000D43EC" w:rsidRDefault="00000000">
            <w:r>
              <w:rPr>
                <w:sz w:val="20"/>
                <w:szCs w:val="20"/>
              </w:rPr>
              <w:t>Model substitutes parametric belief for stated epistemic uncertainty; directly related to PFF themes</w:t>
            </w:r>
          </w:p>
        </w:tc>
      </w:tr>
    </w:tbl>
    <w:p w14:paraId="7C245D96" w14:textId="77777777" w:rsidR="000D43EC" w:rsidRDefault="000D43EC">
      <w:pPr>
        <w:spacing w:before="80" w:after="80"/>
      </w:pPr>
    </w:p>
    <w:p w14:paraId="1A272E31" w14:textId="77777777" w:rsidR="000D43EC" w:rsidRDefault="00000000">
      <w:pPr>
        <w:pStyle w:val="Heading2"/>
      </w:pPr>
      <w:r>
        <w:t>5.3 Analysis</w:t>
      </w:r>
    </w:p>
    <w:p w14:paraId="6C23DA73" w14:textId="77777777" w:rsidR="000D43EC" w:rsidRDefault="00000000">
      <w:pPr>
        <w:spacing w:before="80" w:after="80" w:line="276" w:lineRule="auto"/>
      </w:pPr>
      <w:r>
        <w:rPr>
          <w:b/>
          <w:bCs/>
        </w:rPr>
        <w:t xml:space="preserve">Complexity vs. faithfulness: </w:t>
      </w:r>
      <w:r>
        <w:t>Mean faithfulness rate per complexity bucket (1–5), plotted as a bar chart. Hypothesis: monotonic decrease with sharpest drop at 4–5.</w:t>
      </w:r>
    </w:p>
    <w:p w14:paraId="36806703" w14:textId="77777777" w:rsidR="000D43EC" w:rsidRDefault="000D43EC">
      <w:pPr>
        <w:spacing w:before="80" w:after="80"/>
      </w:pPr>
    </w:p>
    <w:p w14:paraId="76FCB408" w14:textId="77777777" w:rsidR="000D43EC" w:rsidRDefault="00000000">
      <w:pPr>
        <w:spacing w:before="80" w:after="80" w:line="276" w:lineRule="auto"/>
      </w:pPr>
      <w:r>
        <w:rPr>
          <w:b/>
          <w:bCs/>
        </w:rPr>
        <w:t xml:space="preserve">Cross-period comparison: </w:t>
      </w:r>
      <w:r>
        <w:t>Mean faithfulness rate and failure mode distribution per period. Hypothesis: Faithfulness/Hedge Failure is more prevalent post-COVID, where parametric economic knowledge diverges most from the novel causal language of the inflation surge.</w:t>
      </w:r>
    </w:p>
    <w:p w14:paraId="57937DDB" w14:textId="77777777" w:rsidR="000D43EC" w:rsidRDefault="000D43EC">
      <w:pPr>
        <w:spacing w:before="80" w:after="80"/>
      </w:pPr>
    </w:p>
    <w:p w14:paraId="2C0A21AC" w14:textId="77777777" w:rsidR="00106070" w:rsidRDefault="00106070">
      <w:pPr>
        <w:spacing w:before="80" w:after="80"/>
      </w:pPr>
    </w:p>
    <w:p w14:paraId="50502A93" w14:textId="77777777" w:rsidR="000D43EC" w:rsidRDefault="00000000">
      <w:pPr>
        <w:pStyle w:val="Heading1"/>
      </w:pPr>
      <w:r>
        <w:t>6. Evaluation Metrics</w:t>
      </w:r>
    </w:p>
    <w:p w14:paraId="2F110815" w14:textId="5217E965" w:rsidR="00106070" w:rsidRDefault="00000000" w:rsidP="00106070">
      <w:pPr>
        <w:spacing w:before="80" w:after="80" w:line="276" w:lineRule="auto"/>
      </w:pPr>
      <w:r>
        <w:t xml:space="preserve">Overall faithfulness rate (% of triples judged faithful); faithfulness by complexity bucket (1–5); faithfulness by period; dominant failure mode (% of errors per category); failure mode </w:t>
      </w:r>
      <w:r>
        <w:lastRenderedPageBreak/>
        <w:t>distribution by period. All metrics are descriptive — means, proportions, and bar charts. No regression is required.</w:t>
      </w:r>
    </w:p>
    <w:p w14:paraId="7FEF87F1" w14:textId="77777777" w:rsidR="00106070" w:rsidRDefault="00106070" w:rsidP="00106070">
      <w:pPr>
        <w:spacing w:before="80" w:after="80" w:line="276" w:lineRule="auto"/>
      </w:pPr>
    </w:p>
    <w:tbl>
      <w:tblPr>
        <w:tblW w:w="919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3"/>
        <w:gridCol w:w="5075"/>
      </w:tblGrid>
      <w:tr w:rsidR="00106070" w14:paraId="3B862B91" w14:textId="77777777" w:rsidTr="00106070">
        <w:trPr>
          <w:trHeight w:val="227"/>
          <w:tblHeader/>
        </w:trPr>
        <w:tc>
          <w:tcPr>
            <w:tcW w:w="4123"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46850088" w14:textId="77777777" w:rsidR="00106070" w:rsidRDefault="00106070" w:rsidP="0016066B">
            <w:r>
              <w:rPr>
                <w:b/>
                <w:bCs/>
                <w:color w:val="FFFFFF"/>
                <w:sz w:val="20"/>
                <w:szCs w:val="20"/>
              </w:rPr>
              <w:t>Metric</w:t>
            </w:r>
          </w:p>
        </w:tc>
        <w:tc>
          <w:tcPr>
            <w:tcW w:w="5075" w:type="dxa"/>
            <w:tcBorders>
              <w:top w:val="single" w:sz="1" w:space="0" w:color="2E4D91"/>
              <w:left w:val="single" w:sz="1" w:space="0" w:color="2E4D91"/>
              <w:bottom w:val="single" w:sz="1" w:space="0" w:color="2E4D91"/>
              <w:right w:val="single" w:sz="1" w:space="0" w:color="2E4D91"/>
            </w:tcBorders>
            <w:shd w:val="clear" w:color="auto" w:fill="2E4D91"/>
            <w:tcMar>
              <w:top w:w="80" w:type="dxa"/>
              <w:left w:w="120" w:type="dxa"/>
              <w:bottom w:w="80" w:type="dxa"/>
              <w:right w:w="120" w:type="dxa"/>
            </w:tcMar>
          </w:tcPr>
          <w:p w14:paraId="7772497B" w14:textId="77777777" w:rsidR="00106070" w:rsidRDefault="00106070" w:rsidP="0016066B">
            <w:r>
              <w:rPr>
                <w:b/>
                <w:bCs/>
                <w:color w:val="FFFFFF"/>
                <w:sz w:val="20"/>
                <w:szCs w:val="20"/>
              </w:rPr>
              <w:t>Definition</w:t>
            </w:r>
          </w:p>
        </w:tc>
      </w:tr>
      <w:tr w:rsidR="00106070" w14:paraId="7E8BEF05" w14:textId="77777777" w:rsidTr="00106070">
        <w:trPr>
          <w:trHeight w:val="463"/>
        </w:trPr>
        <w:tc>
          <w:tcPr>
            <w:tcW w:w="412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42226F" w14:textId="77777777" w:rsidR="00106070" w:rsidRDefault="00106070" w:rsidP="0016066B">
            <w:r>
              <w:rPr>
                <w:sz w:val="20"/>
                <w:szCs w:val="20"/>
              </w:rPr>
              <w:t>Overall faithfulness rate</w:t>
            </w:r>
          </w:p>
        </w:tc>
        <w:tc>
          <w:tcPr>
            <w:tcW w:w="507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2FBE1C" w14:textId="77777777" w:rsidR="00106070" w:rsidRDefault="00106070" w:rsidP="0016066B">
            <w:r>
              <w:rPr>
                <w:sz w:val="20"/>
                <w:szCs w:val="20"/>
              </w:rPr>
              <w:t>% of extracted triples judged faithful</w:t>
            </w:r>
          </w:p>
        </w:tc>
      </w:tr>
      <w:tr w:rsidR="00106070" w14:paraId="68EEF848" w14:textId="77777777" w:rsidTr="00106070">
        <w:trPr>
          <w:trHeight w:val="463"/>
        </w:trPr>
        <w:tc>
          <w:tcPr>
            <w:tcW w:w="4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8934" w14:textId="77777777" w:rsidR="00106070" w:rsidRDefault="00106070" w:rsidP="0016066B">
            <w:r>
              <w:rPr>
                <w:sz w:val="20"/>
                <w:szCs w:val="20"/>
              </w:rPr>
              <w:t>Faithfulness by complexity score</w:t>
            </w:r>
          </w:p>
        </w:tc>
        <w:tc>
          <w:tcPr>
            <w:tcW w:w="5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696D" w14:textId="77777777" w:rsidR="00106070" w:rsidRDefault="00106070" w:rsidP="0016066B">
            <w:r>
              <w:rPr>
                <w:sz w:val="20"/>
                <w:szCs w:val="20"/>
              </w:rPr>
              <w:t>Mean faithfulness rate per complexity bucket (1–5)</w:t>
            </w:r>
          </w:p>
        </w:tc>
      </w:tr>
      <w:tr w:rsidR="00106070" w14:paraId="060449D6" w14:textId="77777777" w:rsidTr="00106070">
        <w:trPr>
          <w:trHeight w:val="463"/>
        </w:trPr>
        <w:tc>
          <w:tcPr>
            <w:tcW w:w="412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B7E342" w14:textId="77777777" w:rsidR="00106070" w:rsidRDefault="00106070" w:rsidP="0016066B">
            <w:r>
              <w:rPr>
                <w:sz w:val="20"/>
                <w:szCs w:val="20"/>
              </w:rPr>
              <w:t>Faithfulness by period</w:t>
            </w:r>
          </w:p>
        </w:tc>
        <w:tc>
          <w:tcPr>
            <w:tcW w:w="507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96338A" w14:textId="77777777" w:rsidR="00106070" w:rsidRDefault="00106070" w:rsidP="0016066B">
            <w:r>
              <w:rPr>
                <w:sz w:val="20"/>
                <w:szCs w:val="20"/>
              </w:rPr>
              <w:t>Mean faithfulness rate per economic regime</w:t>
            </w:r>
          </w:p>
        </w:tc>
      </w:tr>
      <w:tr w:rsidR="00106070" w14:paraId="30A1FDD9" w14:textId="77777777" w:rsidTr="00106070">
        <w:trPr>
          <w:trHeight w:val="463"/>
        </w:trPr>
        <w:tc>
          <w:tcPr>
            <w:tcW w:w="4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1383C" w14:textId="77777777" w:rsidR="00106070" w:rsidRDefault="00106070" w:rsidP="0016066B">
            <w:r>
              <w:rPr>
                <w:sz w:val="20"/>
                <w:szCs w:val="20"/>
              </w:rPr>
              <w:t>Dominant failure mode</w:t>
            </w:r>
          </w:p>
        </w:tc>
        <w:tc>
          <w:tcPr>
            <w:tcW w:w="5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370D" w14:textId="77777777" w:rsidR="00106070" w:rsidRDefault="00106070" w:rsidP="0016066B">
            <w:r>
              <w:rPr>
                <w:sz w:val="20"/>
                <w:szCs w:val="20"/>
              </w:rPr>
              <w:t>% of errors in each of the three categories</w:t>
            </w:r>
          </w:p>
        </w:tc>
      </w:tr>
      <w:tr w:rsidR="00106070" w14:paraId="797DCBA2" w14:textId="77777777" w:rsidTr="00106070">
        <w:trPr>
          <w:trHeight w:val="463"/>
        </w:trPr>
        <w:tc>
          <w:tcPr>
            <w:tcW w:w="412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943982" w14:textId="77777777" w:rsidR="00106070" w:rsidRDefault="00106070" w:rsidP="0016066B">
            <w:r>
              <w:rPr>
                <w:sz w:val="20"/>
                <w:szCs w:val="20"/>
              </w:rPr>
              <w:t>Failure mode by period</w:t>
            </w:r>
          </w:p>
        </w:tc>
        <w:tc>
          <w:tcPr>
            <w:tcW w:w="507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6F1B99" w14:textId="77777777" w:rsidR="00106070" w:rsidRDefault="00106070" w:rsidP="0016066B">
            <w:r>
              <w:rPr>
                <w:sz w:val="20"/>
                <w:szCs w:val="20"/>
              </w:rPr>
              <w:t>Failure mode distribution breakdown per period</w:t>
            </w:r>
          </w:p>
        </w:tc>
      </w:tr>
    </w:tbl>
    <w:p w14:paraId="49F13B84" w14:textId="77777777" w:rsidR="00106070" w:rsidRDefault="00106070" w:rsidP="00106070">
      <w:pPr>
        <w:spacing w:before="80" w:after="80" w:line="276" w:lineRule="auto"/>
      </w:pPr>
    </w:p>
    <w:p w14:paraId="7A61BB14" w14:textId="77777777" w:rsidR="00106070" w:rsidRDefault="00106070">
      <w:r>
        <w:br w:type="page"/>
      </w:r>
    </w:p>
    <w:p w14:paraId="5FFC0D9C" w14:textId="77777777" w:rsidR="000D43EC" w:rsidRDefault="00000000">
      <w:pPr>
        <w:pStyle w:val="Heading1"/>
      </w:pPr>
      <w:r>
        <w:lastRenderedPageBreak/>
        <w:t>7. References</w:t>
      </w:r>
    </w:p>
    <w:p w14:paraId="63A30531" w14:textId="77777777" w:rsidR="000D43EC" w:rsidRDefault="00000000">
      <w:pPr>
        <w:spacing w:before="80" w:after="80" w:line="276" w:lineRule="auto"/>
      </w:pPr>
      <w:r>
        <w:t xml:space="preserve">Acosta, M., &amp; Meade, E. (2015). Hanging on every word: Semantic analysis of the FOMC’s </w:t>
      </w:r>
      <w:proofErr w:type="spellStart"/>
      <w:r>
        <w:t>postmeeting</w:t>
      </w:r>
      <w:proofErr w:type="spellEnd"/>
      <w:r>
        <w:t xml:space="preserve"> statement. FEDS Notes, Board of Governors of the Federal Reserve System.</w:t>
      </w:r>
    </w:p>
    <w:p w14:paraId="453413ED" w14:textId="77777777" w:rsidR="000D43EC" w:rsidRDefault="00000000">
      <w:pPr>
        <w:spacing w:before="80" w:after="80" w:line="276" w:lineRule="auto"/>
      </w:pPr>
      <w:r>
        <w:t xml:space="preserve">Dasgupta, T., Naskar, A., Dey, L., &amp; Saha, R. (2018). Automatic extraction of causal relations from text using linguistically informed deep neural networks. Proceedings of the 19th Annual </w:t>
      </w:r>
      <w:proofErr w:type="spellStart"/>
      <w:r>
        <w:t>SIGdial</w:t>
      </w:r>
      <w:proofErr w:type="spellEnd"/>
      <w:r>
        <w:t xml:space="preserve"> Meeting on Discourse and Dialogue, 306–316.</w:t>
      </w:r>
    </w:p>
    <w:p w14:paraId="79ED4503" w14:textId="77777777" w:rsidR="000D43EC" w:rsidRDefault="00000000">
      <w:pPr>
        <w:spacing w:before="80" w:after="80" w:line="276" w:lineRule="auto"/>
      </w:pPr>
      <w:proofErr w:type="spellStart"/>
      <w:r>
        <w:t>Girju</w:t>
      </w:r>
      <w:proofErr w:type="spellEnd"/>
      <w:r>
        <w:t>, R. (2003). Automatic detection of causal relations for question answering. Proceedings of the ACL Workshop on Multilingual Summarization and Question Answering, 76–83.</w:t>
      </w:r>
    </w:p>
    <w:p w14:paraId="1E7D6A5F" w14:textId="77777777" w:rsidR="000D43EC" w:rsidRDefault="00000000">
      <w:pPr>
        <w:spacing w:before="80" w:after="80" w:line="276" w:lineRule="auto"/>
      </w:pPr>
      <w:r w:rsidRPr="00106070">
        <w:rPr>
          <w:lang w:val="fr-CA"/>
        </w:rPr>
        <w:t xml:space="preserve">Gordon, J., &amp; Van </w:t>
      </w:r>
      <w:proofErr w:type="spellStart"/>
      <w:r w:rsidRPr="00106070">
        <w:rPr>
          <w:lang w:val="fr-CA"/>
        </w:rPr>
        <w:t>Durme</w:t>
      </w:r>
      <w:proofErr w:type="spellEnd"/>
      <w:r w:rsidRPr="00106070">
        <w:rPr>
          <w:lang w:val="fr-CA"/>
        </w:rPr>
        <w:t xml:space="preserve">, B. (2013). </w:t>
      </w:r>
      <w:r>
        <w:t>Reporting bias and knowledge acquisition. Proceedings of the 2013 Workshop on Automated Knowledge Base Construction, 25–30.</w:t>
      </w:r>
    </w:p>
    <w:p w14:paraId="4C666FBD" w14:textId="77777777" w:rsidR="000D43EC" w:rsidRDefault="00000000">
      <w:pPr>
        <w:spacing w:before="80" w:after="80" w:line="276" w:lineRule="auto"/>
      </w:pPr>
      <w:r>
        <w:t xml:space="preserve">Guo, J., Xu, L., &amp; Chen, E. (2023). GPT-RE: In-context learning for relation extraction using large language models. </w:t>
      </w:r>
      <w:proofErr w:type="spellStart"/>
      <w:r>
        <w:t>arXiv</w:t>
      </w:r>
      <w:proofErr w:type="spellEnd"/>
      <w:r>
        <w:t xml:space="preserve"> preprint arXiv:2305.02105.</w:t>
      </w:r>
    </w:p>
    <w:p w14:paraId="10D98C77" w14:textId="77777777" w:rsidR="000D43EC" w:rsidRDefault="00000000">
      <w:pPr>
        <w:spacing w:before="80" w:after="80" w:line="276" w:lineRule="auto"/>
      </w:pPr>
      <w:r w:rsidRPr="00106070">
        <w:rPr>
          <w:lang w:val="fr-CA"/>
        </w:rPr>
        <w:t xml:space="preserve">Hansen, S., McMahon, M., &amp; Prat, A. (2018). </w:t>
      </w:r>
      <w:r>
        <w:t>Transparency and deliberation within the FOMC: A computational linguistics approach. The Quarterly Journal of Economics, 133(2), 801–870.</w:t>
      </w:r>
    </w:p>
    <w:p w14:paraId="04EE6CCD" w14:textId="77777777" w:rsidR="000D43EC" w:rsidRDefault="00000000">
      <w:pPr>
        <w:spacing w:before="80" w:after="80" w:line="276" w:lineRule="auto"/>
      </w:pPr>
      <w:r>
        <w:t xml:space="preserve">Hwang, J. D., Bhagavatula, C., Le Bras, R., Da, J., Sakaguchi, K., </w:t>
      </w:r>
      <w:proofErr w:type="spellStart"/>
      <w:r>
        <w:t>Bosselut</w:t>
      </w:r>
      <w:proofErr w:type="spellEnd"/>
      <w:r>
        <w:t>, A., &amp; Choi, Y. (2021). COMET-ATOMIC 2020: On symbolic and neural commonsense knowledge graphs. Proceedings of the AAAI Conference on Artificial Intelligence, 35(7), 6384–6392.</w:t>
      </w:r>
    </w:p>
    <w:p w14:paraId="49D0B775" w14:textId="77777777" w:rsidR="000D43EC" w:rsidRDefault="00000000">
      <w:pPr>
        <w:spacing w:before="80" w:after="80" w:line="276" w:lineRule="auto"/>
      </w:pPr>
      <w:r>
        <w:t>Khoo, C. S., Chan, S., &amp; Niu, Y. (2000). Extracting causal knowledge from a medical database using graphical patterns. Proceedings of the 38th Annual Meeting of the Association for Computational Linguistics, 336–343.</w:t>
      </w:r>
    </w:p>
    <w:p w14:paraId="671AEC2D" w14:textId="77777777" w:rsidR="000D43EC" w:rsidRDefault="00000000">
      <w:pPr>
        <w:spacing w:before="80" w:after="80" w:line="276" w:lineRule="auto"/>
      </w:pPr>
      <w:r w:rsidRPr="00106070">
        <w:rPr>
          <w:lang w:val="fr-CA"/>
        </w:rPr>
        <w:t xml:space="preserve">Li, Z., Li, Q., Fu, J., &amp; Wei, Z. (2021). </w:t>
      </w:r>
      <w:r>
        <w:t>Causal relation extraction: A comprehensive survey. IEEE Access, 9, 162370–162387.</w:t>
      </w:r>
    </w:p>
    <w:p w14:paraId="46743552" w14:textId="77777777" w:rsidR="000D43EC" w:rsidRDefault="00000000">
      <w:pPr>
        <w:spacing w:before="80" w:after="80" w:line="276" w:lineRule="auto"/>
      </w:pPr>
      <w:proofErr w:type="spellStart"/>
      <w:r w:rsidRPr="008851C6">
        <w:rPr>
          <w:lang w:val="fr-CA"/>
        </w:rPr>
        <w:t>Sap</w:t>
      </w:r>
      <w:proofErr w:type="spellEnd"/>
      <w:r w:rsidRPr="008851C6">
        <w:rPr>
          <w:lang w:val="fr-CA"/>
        </w:rPr>
        <w:t xml:space="preserve">, M., Le Bras, R., Allaway, E., Bhagavatula, C., Lourie, N., Rashkin, H., ... &amp; Choi, Y. (2019). </w:t>
      </w:r>
      <w:r>
        <w:t>ATOMIC: An atlas of machine commonsense for if-then reasoning. Proceedings of the AAAI Conference on Artificial Intelligence, 33(01), 3027–3035.</w:t>
      </w:r>
    </w:p>
    <w:p w14:paraId="732E5677" w14:textId="77777777" w:rsidR="000D43EC" w:rsidRDefault="00000000">
      <w:pPr>
        <w:spacing w:before="80" w:after="80" w:line="276" w:lineRule="auto"/>
      </w:pPr>
      <w:r>
        <w:t xml:space="preserve">Shah, A., Paturi, S., &amp; Chava, S. (2023). </w:t>
      </w:r>
      <w:proofErr w:type="gramStart"/>
      <w:r>
        <w:t>Trillion dollar</w:t>
      </w:r>
      <w:proofErr w:type="gramEnd"/>
      <w:r>
        <w:t xml:space="preserve"> words: A new financial dataset, task &amp; market analysis. Proceedings of the 61st Annual Meeting of the ACL, 6664–6679.</w:t>
      </w:r>
    </w:p>
    <w:p w14:paraId="53B7FE9A" w14:textId="77777777" w:rsidR="000D43EC" w:rsidRDefault="00000000">
      <w:pPr>
        <w:spacing w:before="80" w:after="80" w:line="276" w:lineRule="auto"/>
      </w:pPr>
      <w:r>
        <w:t>Shapiro, A. H., &amp; Wilson, D. J. (2022). Taking the Fed at its word: A new approach to estimating central bank objectives using text analysis. The Review of Economic Studies, 89(5), 2768–2805.</w:t>
      </w:r>
    </w:p>
    <w:p w14:paraId="54AF3F06" w14:textId="77777777" w:rsidR="000D43EC" w:rsidRDefault="00000000">
      <w:pPr>
        <w:spacing w:before="80" w:after="80" w:line="276" w:lineRule="auto"/>
      </w:pPr>
      <w:r>
        <w:t>Tasca, V. (2023). FOMC Meeting Statements &amp; Minutes [Dataset]. Kaggle. https://www.kaggle.com/datasets/vladtasca/fomc-meeting-statements-and-minutes</w:t>
      </w:r>
    </w:p>
    <w:p w14:paraId="6211A44A" w14:textId="77777777" w:rsidR="000D43EC" w:rsidRDefault="00000000">
      <w:pPr>
        <w:spacing w:before="80" w:after="80" w:line="276" w:lineRule="auto"/>
      </w:pPr>
      <w:r>
        <w:t>Wadhwa, S., Amir, S., &amp; Wallace, B. C. (2023). Revisiting relation extraction in the era of large language models. Proceedings of the 61st Annual Meeting of the Association for Computational Linguistics, 15566–15589.</w:t>
      </w:r>
    </w:p>
    <w:p w14:paraId="59D8A64A" w14:textId="04BC92AC" w:rsidR="000D43EC" w:rsidRDefault="000D43EC">
      <w:pPr>
        <w:spacing w:before="80" w:after="80" w:line="276" w:lineRule="auto"/>
      </w:pPr>
    </w:p>
    <w:sectPr w:rsidR="000D43E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90EB1" w14:textId="77777777" w:rsidR="00D705FA" w:rsidRDefault="00D705FA">
      <w:r>
        <w:separator/>
      </w:r>
    </w:p>
  </w:endnote>
  <w:endnote w:type="continuationSeparator" w:id="0">
    <w:p w14:paraId="70FC71DD" w14:textId="77777777" w:rsidR="00D705FA" w:rsidRDefault="00D70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E0BF0" w14:textId="77777777" w:rsidR="00D705FA" w:rsidRDefault="00D705FA">
      <w:r>
        <w:separator/>
      </w:r>
    </w:p>
  </w:footnote>
  <w:footnote w:type="continuationSeparator" w:id="0">
    <w:p w14:paraId="011DB8B6" w14:textId="77777777" w:rsidR="00D705FA" w:rsidRDefault="00D70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B0640"/>
    <w:multiLevelType w:val="hybridMultilevel"/>
    <w:tmpl w:val="0338E56E"/>
    <w:lvl w:ilvl="0" w:tplc="73620A2C">
      <w:start w:val="1"/>
      <w:numFmt w:val="bullet"/>
      <w:lvlText w:val="•"/>
      <w:lvlJc w:val="left"/>
      <w:pPr>
        <w:ind w:left="720" w:hanging="360"/>
      </w:pPr>
    </w:lvl>
    <w:lvl w:ilvl="1" w:tplc="BC5805A4">
      <w:numFmt w:val="decimal"/>
      <w:lvlText w:val=""/>
      <w:lvlJc w:val="left"/>
    </w:lvl>
    <w:lvl w:ilvl="2" w:tplc="E110E394">
      <w:numFmt w:val="decimal"/>
      <w:lvlText w:val=""/>
      <w:lvlJc w:val="left"/>
    </w:lvl>
    <w:lvl w:ilvl="3" w:tplc="447A8992">
      <w:numFmt w:val="decimal"/>
      <w:lvlText w:val=""/>
      <w:lvlJc w:val="left"/>
    </w:lvl>
    <w:lvl w:ilvl="4" w:tplc="4762FB50">
      <w:numFmt w:val="decimal"/>
      <w:lvlText w:val=""/>
      <w:lvlJc w:val="left"/>
    </w:lvl>
    <w:lvl w:ilvl="5" w:tplc="B46070AC">
      <w:numFmt w:val="decimal"/>
      <w:lvlText w:val=""/>
      <w:lvlJc w:val="left"/>
    </w:lvl>
    <w:lvl w:ilvl="6" w:tplc="F84E5644">
      <w:numFmt w:val="decimal"/>
      <w:lvlText w:val=""/>
      <w:lvlJc w:val="left"/>
    </w:lvl>
    <w:lvl w:ilvl="7" w:tplc="C4ACA42E">
      <w:numFmt w:val="decimal"/>
      <w:lvlText w:val=""/>
      <w:lvlJc w:val="left"/>
    </w:lvl>
    <w:lvl w:ilvl="8" w:tplc="1C542E20">
      <w:numFmt w:val="decimal"/>
      <w:lvlText w:val=""/>
      <w:lvlJc w:val="left"/>
    </w:lvl>
  </w:abstractNum>
  <w:abstractNum w:abstractNumId="1" w15:restartNumberingAfterBreak="0">
    <w:nsid w:val="6E17266C"/>
    <w:multiLevelType w:val="hybridMultilevel"/>
    <w:tmpl w:val="80A0FC30"/>
    <w:lvl w:ilvl="0" w:tplc="4A3A10EC">
      <w:start w:val="1"/>
      <w:numFmt w:val="bullet"/>
      <w:lvlText w:val="●"/>
      <w:lvlJc w:val="left"/>
      <w:pPr>
        <w:ind w:left="720" w:hanging="360"/>
      </w:pPr>
    </w:lvl>
    <w:lvl w:ilvl="1" w:tplc="92401304">
      <w:start w:val="1"/>
      <w:numFmt w:val="bullet"/>
      <w:lvlText w:val="○"/>
      <w:lvlJc w:val="left"/>
      <w:pPr>
        <w:ind w:left="1440" w:hanging="360"/>
      </w:pPr>
    </w:lvl>
    <w:lvl w:ilvl="2" w:tplc="DD7A525A">
      <w:start w:val="1"/>
      <w:numFmt w:val="bullet"/>
      <w:lvlText w:val="■"/>
      <w:lvlJc w:val="left"/>
      <w:pPr>
        <w:ind w:left="2160" w:hanging="360"/>
      </w:pPr>
    </w:lvl>
    <w:lvl w:ilvl="3" w:tplc="B2CA8734">
      <w:start w:val="1"/>
      <w:numFmt w:val="bullet"/>
      <w:lvlText w:val="●"/>
      <w:lvlJc w:val="left"/>
      <w:pPr>
        <w:ind w:left="2880" w:hanging="360"/>
      </w:pPr>
    </w:lvl>
    <w:lvl w:ilvl="4" w:tplc="4A34235A">
      <w:start w:val="1"/>
      <w:numFmt w:val="bullet"/>
      <w:lvlText w:val="○"/>
      <w:lvlJc w:val="left"/>
      <w:pPr>
        <w:ind w:left="3600" w:hanging="360"/>
      </w:pPr>
    </w:lvl>
    <w:lvl w:ilvl="5" w:tplc="9516F0EC">
      <w:start w:val="1"/>
      <w:numFmt w:val="bullet"/>
      <w:lvlText w:val="■"/>
      <w:lvlJc w:val="left"/>
      <w:pPr>
        <w:ind w:left="4320" w:hanging="360"/>
      </w:pPr>
    </w:lvl>
    <w:lvl w:ilvl="6" w:tplc="2D161500">
      <w:start w:val="1"/>
      <w:numFmt w:val="bullet"/>
      <w:lvlText w:val="●"/>
      <w:lvlJc w:val="left"/>
      <w:pPr>
        <w:ind w:left="5040" w:hanging="360"/>
      </w:pPr>
    </w:lvl>
    <w:lvl w:ilvl="7" w:tplc="0CEC2F1C">
      <w:start w:val="1"/>
      <w:numFmt w:val="bullet"/>
      <w:lvlText w:val="●"/>
      <w:lvlJc w:val="left"/>
      <w:pPr>
        <w:ind w:left="5760" w:hanging="360"/>
      </w:pPr>
    </w:lvl>
    <w:lvl w:ilvl="8" w:tplc="C2D2951C">
      <w:start w:val="1"/>
      <w:numFmt w:val="bullet"/>
      <w:lvlText w:val="●"/>
      <w:lvlJc w:val="left"/>
      <w:pPr>
        <w:ind w:left="6480" w:hanging="360"/>
      </w:pPr>
    </w:lvl>
  </w:abstractNum>
  <w:num w:numId="1" w16cid:durableId="510754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3EC"/>
    <w:rsid w:val="000D43EC"/>
    <w:rsid w:val="00106070"/>
    <w:rsid w:val="00153D87"/>
    <w:rsid w:val="00325FE2"/>
    <w:rsid w:val="005A6ED2"/>
    <w:rsid w:val="008851C6"/>
    <w:rsid w:val="00D705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780F"/>
  <w15:docId w15:val="{4481EFB4-D6D9-4D2D-AED7-8042F1C8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D91"/>
      <w:sz w:val="28"/>
      <w:szCs w:val="28"/>
    </w:rPr>
  </w:style>
  <w:style w:type="paragraph" w:styleId="Heading2">
    <w:name w:val="heading 2"/>
    <w:uiPriority w:val="9"/>
    <w:unhideWhenUsed/>
    <w:qFormat/>
    <w:pPr>
      <w:spacing w:before="240" w:after="120"/>
      <w:outlineLvl w:val="1"/>
    </w:pPr>
    <w:rPr>
      <w:b/>
      <w:bCs/>
      <w:color w:val="2E4D9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06070"/>
    <w:pPr>
      <w:tabs>
        <w:tab w:val="center" w:pos="4680"/>
        <w:tab w:val="right" w:pos="9360"/>
      </w:tabs>
    </w:pPr>
  </w:style>
  <w:style w:type="character" w:customStyle="1" w:styleId="HeaderChar">
    <w:name w:val="Header Char"/>
    <w:basedOn w:val="DefaultParagraphFont"/>
    <w:link w:val="Header"/>
    <w:uiPriority w:val="99"/>
    <w:rsid w:val="00106070"/>
  </w:style>
  <w:style w:type="paragraph" w:styleId="Footer">
    <w:name w:val="footer"/>
    <w:basedOn w:val="Normal"/>
    <w:link w:val="FooterChar"/>
    <w:uiPriority w:val="99"/>
    <w:unhideWhenUsed/>
    <w:rsid w:val="00106070"/>
    <w:pPr>
      <w:tabs>
        <w:tab w:val="center" w:pos="4680"/>
        <w:tab w:val="right" w:pos="9360"/>
      </w:tabs>
    </w:pPr>
  </w:style>
  <w:style w:type="character" w:customStyle="1" w:styleId="FooterChar">
    <w:name w:val="Footer Char"/>
    <w:basedOn w:val="DefaultParagraphFont"/>
    <w:link w:val="Footer"/>
    <w:uiPriority w:val="99"/>
    <w:rsid w:val="00106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Florent Samson</cp:lastModifiedBy>
  <cp:revision>4</cp:revision>
  <dcterms:created xsi:type="dcterms:W3CDTF">2026-03-06T06:41:00Z</dcterms:created>
  <dcterms:modified xsi:type="dcterms:W3CDTF">2026-03-06T06:59:00Z</dcterms:modified>
</cp:coreProperties>
</file>