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45D6" w14:textId="77777777" w:rsidR="0077087C" w:rsidRDefault="0077087C" w:rsidP="0077087C">
      <w:r>
        <w:t>1. Completezza dimensionale</w:t>
      </w:r>
    </w:p>
    <w:p w14:paraId="2CD32987" w14:textId="2E672C50" w:rsidR="0077087C" w:rsidRDefault="0077087C" w:rsidP="0077087C">
      <w:r>
        <w:t xml:space="preserve">Analizza quante e quali dimensioni rilevanti della AI </w:t>
      </w:r>
      <w:proofErr w:type="spellStart"/>
      <w:r>
        <w:t>readiness</w:t>
      </w:r>
      <w:proofErr w:type="spellEnd"/>
      <w:r>
        <w:t xml:space="preserve"> sono coperte dal framework e, soprattutto, quanto siano bilanciate. Verifica che il modello non si concentri unicamente su aspetti tecnologici, ma includa in modo equilibrato componenti strategiche, organizzative, umane, etico-legali e di competenze, restituendo così una fotografia sistemica e non solo verticale su una singola funzione aziendale.</w:t>
      </w:r>
    </w:p>
    <w:p w14:paraId="69676302" w14:textId="6CBDCC7F" w:rsidR="0077087C" w:rsidRDefault="0077087C" w:rsidP="0077087C">
      <w:r>
        <w:t xml:space="preserve">2. </w:t>
      </w:r>
      <w:r w:rsidRPr="0077087C">
        <w:t>Capacità di guidare l'azione</w:t>
      </w:r>
    </w:p>
    <w:p w14:paraId="5216B72E" w14:textId="77081208" w:rsidR="0077087C" w:rsidRDefault="0077087C" w:rsidP="00A861A5">
      <w:r>
        <w:t xml:space="preserve">Valuta se il framework si limita a descrivere lo stato di maturità oppure produce indicazioni prescrittive per il miglioramento. Misura la presenza di piani d’azione, raccomandazioni mirate per ciascun livello e percorsi evolutivi espliciti che indichino concretamente quali passi compiere per colmare i </w:t>
      </w:r>
      <w:proofErr w:type="gramStart"/>
      <w:r>
        <w:t>gap</w:t>
      </w:r>
      <w:proofErr w:type="gramEnd"/>
      <w:r>
        <w:t xml:space="preserve"> rilevati</w:t>
      </w:r>
      <w:r w:rsidR="00A861A5">
        <w:t>, questo rappresenta un valore aggiunto e di notevole importanza per il framework.</w:t>
      </w:r>
      <w:r w:rsidR="00A861A5">
        <w:br/>
        <w:t xml:space="preserve">Misura se il framework, oltre a fotografare lo stato attuale, fornisce indicazioni concrete su cosa una PMI debba fare per passare da un livello attuale a quello successivo. </w:t>
      </w:r>
    </w:p>
    <w:p w14:paraId="6AEB9EAD" w14:textId="77777777" w:rsidR="00A861A5" w:rsidRPr="00F47642" w:rsidRDefault="00A861A5" w:rsidP="00A861A5">
      <w:pPr>
        <w:rPr>
          <w:color w:val="000000" w:themeColor="text1"/>
        </w:rPr>
      </w:pPr>
      <w:r w:rsidRPr="00F47642">
        <w:rPr>
          <w:color w:val="000000" w:themeColor="text1"/>
        </w:rPr>
        <w:t>3. Adattabilità e usabilità per PMI</w:t>
      </w:r>
    </w:p>
    <w:p w14:paraId="6C3348EF" w14:textId="6A5CC79E" w:rsidR="00A861A5" w:rsidRDefault="00A861A5" w:rsidP="00A861A5">
      <w:pPr>
        <w:rPr>
          <w:color w:val="000000" w:themeColor="text1"/>
        </w:rPr>
      </w:pPr>
      <w:r w:rsidRPr="00F47642">
        <w:rPr>
          <w:color w:val="000000" w:themeColor="text1"/>
        </w:rPr>
        <w:t xml:space="preserve">Questo criterio analizza se il framework è stato progettato espressamente per piccole e medie imprese, oppure se costituisce un adattamento di modelli pensati per realtà </w:t>
      </w:r>
      <w:proofErr w:type="spellStart"/>
      <w:r w:rsidRPr="00F47642">
        <w:rPr>
          <w:color w:val="000000" w:themeColor="text1"/>
        </w:rPr>
        <w:t>enterprise</w:t>
      </w:r>
      <w:proofErr w:type="spellEnd"/>
      <w:r w:rsidRPr="00F47642">
        <w:rPr>
          <w:color w:val="000000" w:themeColor="text1"/>
        </w:rPr>
        <w:t xml:space="preserve"> dotate di dipartimenti R&amp;D, Chief Information Officer e budget strutturati. In concreto, verifica se il vincolo dimensionale è dichiarato in modo esplicito e se l’intera architettura del framework è calibrata sulle limitazioni tipiche di una PMI: numero contenuto di item e fasi, linguaggio accessibile anche a non specialisti, ruoli aziendali effettivamente presenti in una piccola organizzazione, tempo di somministrazione sostenibile e assenza di presupposti che diano per scontata la disponibilità di figure specialistiche (data scientist, compliance </w:t>
      </w:r>
      <w:proofErr w:type="spellStart"/>
      <w:r w:rsidRPr="00F47642">
        <w:rPr>
          <w:color w:val="000000" w:themeColor="text1"/>
        </w:rPr>
        <w:t>officer</w:t>
      </w:r>
      <w:proofErr w:type="spellEnd"/>
      <w:r w:rsidRPr="00F47642">
        <w:rPr>
          <w:color w:val="000000" w:themeColor="text1"/>
        </w:rPr>
        <w:t>, IT manager dedicati). Un framework che assume implicitamente un organigramma da multinazionale o che richiede competenze raramente presenti in una piccola impresa risulta di fatto inutilizzabile nel contesto per il quale viene selezionato.</w:t>
      </w:r>
    </w:p>
    <w:p w14:paraId="0AF0E694" w14:textId="77777777" w:rsidR="00A861A5" w:rsidRDefault="00A861A5" w:rsidP="00A861A5">
      <w:pPr>
        <w:rPr>
          <w:color w:val="000000" w:themeColor="text1"/>
        </w:rPr>
      </w:pPr>
      <w:r>
        <w:rPr>
          <w:color w:val="000000" w:themeColor="text1"/>
        </w:rPr>
        <w:t>4</w:t>
      </w:r>
      <w:r w:rsidRPr="00F47642">
        <w:rPr>
          <w:color w:val="000000" w:themeColor="text1"/>
        </w:rPr>
        <w:t>. Sensibilità e Adattamento al Settore</w:t>
      </w:r>
    </w:p>
    <w:p w14:paraId="56CA76BC" w14:textId="77777777" w:rsidR="00A861A5" w:rsidRPr="00F47642" w:rsidRDefault="00A861A5" w:rsidP="00A861A5">
      <w:pPr>
        <w:rPr>
          <w:color w:val="000000" w:themeColor="text1"/>
        </w:rPr>
      </w:pPr>
      <w:r w:rsidRPr="00223AE2">
        <w:rPr>
          <w:color w:val="000000" w:themeColor="text1"/>
        </w:rPr>
        <w:t>Misura quanto il framework è customizzabile alla realtà settoriale e ai processi specifici della singola PMI, dato che i processi core (e dove l'AI genera valore) variano fortemente per settore.</w:t>
      </w:r>
      <w:r>
        <w:rPr>
          <w:color w:val="000000" w:themeColor="text1"/>
        </w:rPr>
        <w:br/>
        <w:t>A</w:t>
      </w:r>
      <w:r w:rsidRPr="00F47642">
        <w:rPr>
          <w:color w:val="000000" w:themeColor="text1"/>
        </w:rPr>
        <w:t>nalizza quanto il framework riconosca che i processi a reale valore aggiunto – e dunque le opportunità di intervento dell’intelligenza artificiale – cambiano radicalmente da settore a settore e da modello di business a modello di business. In termini operativi, misura se il framework offre logiche di adattamento contestuale oppure si presenta come una griglia universale one-size-</w:t>
      </w:r>
      <w:proofErr w:type="spellStart"/>
      <w:r w:rsidRPr="00F47642">
        <w:rPr>
          <w:color w:val="000000" w:themeColor="text1"/>
        </w:rPr>
        <w:t>fits</w:t>
      </w:r>
      <w:proofErr w:type="spellEnd"/>
      <w:r w:rsidRPr="00F47642">
        <w:rPr>
          <w:color w:val="000000" w:themeColor="text1"/>
        </w:rPr>
        <w:t>-</w:t>
      </w:r>
      <w:proofErr w:type="spellStart"/>
      <w:r w:rsidRPr="00F47642">
        <w:rPr>
          <w:color w:val="000000" w:themeColor="text1"/>
        </w:rPr>
        <w:t>all</w:t>
      </w:r>
      <w:proofErr w:type="spellEnd"/>
      <w:r w:rsidRPr="00F47642">
        <w:rPr>
          <w:color w:val="000000" w:themeColor="text1"/>
        </w:rPr>
        <w:t>, rigida e indifferenziata.</w:t>
      </w:r>
    </w:p>
    <w:p w14:paraId="3039E244" w14:textId="77777777" w:rsidR="00A861A5" w:rsidRDefault="00A861A5" w:rsidP="00A861A5">
      <w:pPr>
        <w:rPr>
          <w:color w:val="000000" w:themeColor="text1"/>
        </w:rPr>
      </w:pPr>
      <w:r w:rsidRPr="00F47642">
        <w:rPr>
          <w:color w:val="000000" w:themeColor="text1"/>
        </w:rPr>
        <w:t xml:space="preserve">La posta in gioco è sostanziale: il “vero valore” di una PMI manifatturiera è diverso da quello di una PMI di servizi, e un framework insensibile al contesto produce inevitabilmente raccomandazioni generiche, poco azionabili e spesso fuori bersaglio. Al contrario, un </w:t>
      </w:r>
      <w:r w:rsidRPr="00F47642">
        <w:rPr>
          <w:color w:val="000000" w:themeColor="text1"/>
        </w:rPr>
        <w:lastRenderedPageBreak/>
        <w:t>framework che incorpora meccanismi di contestualizzazione – anche fino al caso estremo di una taratura su un singolo settore, che ne dimostra la logica ma ne limita la trasferibilità – restituisce diagnosi pertinenti e indicazioni immediatamente traducibili in azioni specifiche per la realtà della singola impresa. Questo criterio cattura precisamente la capacità del framework di non disperdersi nella genericità.</w:t>
      </w:r>
    </w:p>
    <w:p w14:paraId="09899C9F" w14:textId="77777777" w:rsidR="00A861A5" w:rsidRDefault="00A861A5" w:rsidP="00A861A5">
      <w:r>
        <w:t>5. Granularità e profondità di analisi</w:t>
      </w:r>
    </w:p>
    <w:p w14:paraId="06BBE1E5" w14:textId="1F35BF58" w:rsidR="00A861A5" w:rsidRDefault="00A861A5" w:rsidP="00A861A5">
      <w:r>
        <w:t xml:space="preserve">Esamina la capacità del framework di articolare le dimensioni di </w:t>
      </w:r>
      <w:proofErr w:type="spellStart"/>
      <w:r>
        <w:t>readiness</w:t>
      </w:r>
      <w:proofErr w:type="spellEnd"/>
      <w:r>
        <w:t xml:space="preserve"> su più livelli di dettaglio, scendendo da categorie astratte di alto livello fino a </w:t>
      </w:r>
      <w:r w:rsidR="004B1328">
        <w:t>sottodimensioni</w:t>
      </w:r>
      <w:r>
        <w:t xml:space="preserve"> operative e indicatori concreti. Misura quanto l’analisi sia in grado di “andare in profondità” per cogliere sfumature, anziché arrestarsi a una valutazione generica.</w:t>
      </w:r>
      <w:r w:rsidR="004B1328">
        <w:br/>
      </w:r>
    </w:p>
    <w:p w14:paraId="775D7AE1" w14:textId="4686FB8F" w:rsidR="004B1328" w:rsidRPr="007E1B55" w:rsidRDefault="004B1328" w:rsidP="004B1328">
      <w:pPr>
        <w:rPr>
          <w:color w:val="000000" w:themeColor="text1"/>
        </w:rPr>
      </w:pPr>
      <w:r w:rsidRPr="007E1B55">
        <w:rPr>
          <w:color w:val="000000" w:themeColor="text1"/>
        </w:rPr>
        <w:t xml:space="preserve">6. Facilità d’uso </w:t>
      </w:r>
    </w:p>
    <w:p w14:paraId="4B5B6F32" w14:textId="126B56EC" w:rsidR="004B1328" w:rsidRDefault="00D94AED" w:rsidP="00D94AED">
      <w:pPr>
        <w:rPr>
          <w:color w:val="000000" w:themeColor="text1"/>
        </w:rPr>
      </w:pPr>
      <w:r w:rsidRPr="00D94AED">
        <w:rPr>
          <w:color w:val="000000" w:themeColor="text1"/>
        </w:rPr>
        <w:t xml:space="preserve">Valuta l’impegno pratico richiesto per applicare il framework in azienda: chiarezza degli item, complessità del linguaggio, tempo necessario alla compilazione e immediatezza complessiva del processo di </w:t>
      </w:r>
      <w:proofErr w:type="spellStart"/>
      <w:r w:rsidRPr="00D94AED">
        <w:rPr>
          <w:color w:val="000000" w:themeColor="text1"/>
        </w:rPr>
        <w:t>assessment</w:t>
      </w:r>
      <w:proofErr w:type="spellEnd"/>
      <w:r w:rsidRPr="00D94AED">
        <w:rPr>
          <w:color w:val="000000" w:themeColor="text1"/>
        </w:rPr>
        <w:t>. Un framework è tanto più utile in una PMI quanto più riduce il carico operativo senza rinunciare al rigore analitico.</w:t>
      </w:r>
    </w:p>
    <w:p w14:paraId="28BEAF77" w14:textId="77777777" w:rsidR="00D94AED" w:rsidRDefault="00D94AED" w:rsidP="00D94AED">
      <w:r>
        <w:t>7. Modularità Applicativa dell'</w:t>
      </w:r>
      <w:proofErr w:type="spellStart"/>
      <w:r>
        <w:t>Assessment</w:t>
      </w:r>
      <w:proofErr w:type="spellEnd"/>
    </w:p>
    <w:p w14:paraId="23792302" w14:textId="398A8497" w:rsidR="00D94AED" w:rsidRDefault="00D94AED" w:rsidP="00D94AED">
      <w:r>
        <w:t>Questo criterio valuta la flessibilità di esecuzione del framework. Misura se lo strumento costringe l'azienda a un'autovalutazione monolitica e rigida sull'intera organizzazione, oppure se consente un approccio modulare, permettendo di isolare e analizzare specifiche funzioni aziendali, dipartimenti o singoli processi.</w:t>
      </w:r>
      <w:r>
        <w:br/>
      </w:r>
    </w:p>
    <w:p w14:paraId="04252752" w14:textId="77777777" w:rsidR="00D94AED" w:rsidRDefault="00D94AED" w:rsidP="00D94AED">
      <w:r>
        <w:t>8. Orientamento al valore di business</w:t>
      </w:r>
    </w:p>
    <w:p w14:paraId="6F12B9F1" w14:textId="224F1105" w:rsidR="00D94AED" w:rsidRDefault="00D94AED" w:rsidP="00D94AED">
      <w:r>
        <w:t xml:space="preserve">Analizza se il framework parte dall’identificazione dei processi core e della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 xml:space="preserve"> dell’impresa, focalizzando l’</w:t>
      </w:r>
      <w:proofErr w:type="spellStart"/>
      <w:r>
        <w:t>assessment</w:t>
      </w:r>
      <w:proofErr w:type="spellEnd"/>
      <w:r>
        <w:t xml:space="preserve"> di </w:t>
      </w:r>
      <w:proofErr w:type="spellStart"/>
      <w:r>
        <w:t>readiness</w:t>
      </w:r>
      <w:proofErr w:type="spellEnd"/>
      <w:r>
        <w:t xml:space="preserve"> proprio su dove l’AI può generare il maggiore impatto competitivo. </w:t>
      </w:r>
      <w:r w:rsidR="00130230">
        <w:t>Misura la presenza di una fase di mappatura della "</w:t>
      </w:r>
      <w:proofErr w:type="spellStart"/>
      <w:r w:rsidR="00130230">
        <w:t>value</w:t>
      </w:r>
      <w:proofErr w:type="spellEnd"/>
      <w:r w:rsidR="00130230">
        <w:t xml:space="preserve"> chain", volta a stabilire dove l'azienda crea realmente valore per i propri clienti.</w:t>
      </w:r>
      <w:r w:rsidR="00130230">
        <w:br/>
        <w:t>Serve ad assicurare che l'adozione dell'AI venga indirizzata verso i processi "core" per un reale miglioramento della competitività, evitando di certificare una maturità fine a sé stessa su attività marginali.</w:t>
      </w:r>
    </w:p>
    <w:p w14:paraId="382BA540" w14:textId="77777777" w:rsidR="00130230" w:rsidRDefault="00130230" w:rsidP="00130230"/>
    <w:p w14:paraId="354C5B71" w14:textId="77777777" w:rsidR="00130230" w:rsidRDefault="00130230" w:rsidP="00130230"/>
    <w:p w14:paraId="7CE7621A" w14:textId="77777777" w:rsidR="00130230" w:rsidRDefault="00130230" w:rsidP="00130230"/>
    <w:p w14:paraId="7421E280" w14:textId="77777777" w:rsidR="00130230" w:rsidRDefault="00130230" w:rsidP="00130230"/>
    <w:p w14:paraId="4A7B1AC9" w14:textId="53AB77DB" w:rsidR="00D94AED" w:rsidRDefault="00130230" w:rsidP="00130230">
      <w:r>
        <w:br/>
      </w:r>
    </w:p>
    <w:p w14:paraId="481257F9" w14:textId="6275B573" w:rsidR="00130230" w:rsidRDefault="00130230" w:rsidP="00130230">
      <w:r>
        <w:lastRenderedPageBreak/>
        <w:t xml:space="preserve">9. </w:t>
      </w:r>
      <w:r w:rsidR="00F4668E" w:rsidRPr="00F4668E">
        <w:t>Protezione dei Dati e Compliance (Privacy &amp; Security)</w:t>
      </w:r>
    </w:p>
    <w:p w14:paraId="534A9480" w14:textId="02C5C8E6" w:rsidR="00130230" w:rsidRDefault="00130230" w:rsidP="00130230">
      <w:r>
        <w:t>Questo criterio valuta in che misura il framework indaga le pratiche di sicurezza, la protezione dei dati e la governance legale dell'azienda in relazione all'AI. Analizza se il modello verifica la presenza di policy aziendali per il rispetto delle normative (es. GDPR), la tutela dei segreti industriali e la consapevolezza sui rischi legati all'immissione di informazioni proprietarie all'interno di strumenti AI pubblici. Misura, in sintesi, l'integrazione delle dimensioni di mitigazione del rischio e dell'etica dei dati.</w:t>
      </w:r>
    </w:p>
    <w:p w14:paraId="02DED2CE" w14:textId="77777777" w:rsidR="00A33EC3" w:rsidRDefault="00A33EC3" w:rsidP="00130230"/>
    <w:p w14:paraId="28C284D0" w14:textId="77777777" w:rsidR="00A33EC3" w:rsidRPr="006963C3" w:rsidRDefault="00A33EC3" w:rsidP="00A33EC3">
      <w:pPr>
        <w:rPr>
          <w:color w:val="000000" w:themeColor="text1"/>
        </w:rPr>
      </w:pPr>
      <w:r w:rsidRPr="006963C3">
        <w:rPr>
          <w:color w:val="000000" w:themeColor="text1"/>
        </w:rPr>
        <w:t xml:space="preserve">10. Evidenza Empirica e Referenze di Successo </w:t>
      </w:r>
    </w:p>
    <w:p w14:paraId="496DF61B" w14:textId="77777777" w:rsidR="00A33EC3" w:rsidRPr="00520DE5" w:rsidRDefault="00A33EC3" w:rsidP="00A33EC3">
      <w:pPr>
        <w:rPr>
          <w:color w:val="000000" w:themeColor="text1"/>
        </w:rPr>
      </w:pPr>
      <w:r w:rsidRPr="006963C3">
        <w:rPr>
          <w:color w:val="000000" w:themeColor="text1"/>
        </w:rPr>
        <w:t>Questo criterio analizza se il framework di implementazione è stato già adottato con esiti positivi da piccole e medie imprese o da organizzazioni di scala e settore comparabili, e se tali esperienze sono supportate da risultati documentati. In termini pratici, risponde alla domanda fondamentale che ogni manager si pone prima di impegnare risorse: «Qualcuno con un profilo simile al mio lo ha già applicato? Ha funzionato?». Un framework privo di evidenze empiriche o di referenze tangibili lascia l’impresa esposta a un salto nel buio, senza la rassicurazione di un percorso già collaudato e senza la possibilità di tarare le aspettative su benchmark realistici.</w:t>
      </w:r>
    </w:p>
    <w:p w14:paraId="60F4C1FA" w14:textId="77777777" w:rsidR="00A33EC3" w:rsidRDefault="00A33EC3" w:rsidP="00130230"/>
    <w:sectPr w:rsidR="00A33E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7FB2"/>
    <w:multiLevelType w:val="hybridMultilevel"/>
    <w:tmpl w:val="6EE4B8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3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7C"/>
    <w:rsid w:val="000B55B2"/>
    <w:rsid w:val="00130230"/>
    <w:rsid w:val="004B1328"/>
    <w:rsid w:val="0077087C"/>
    <w:rsid w:val="00A04091"/>
    <w:rsid w:val="00A1056A"/>
    <w:rsid w:val="00A33EC3"/>
    <w:rsid w:val="00A861A5"/>
    <w:rsid w:val="00D94AED"/>
    <w:rsid w:val="00F4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14AF"/>
  <w15:chartTrackingRefBased/>
  <w15:docId w15:val="{600DB319-6569-A84F-9E61-01043D4F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7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08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08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08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08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08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08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08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08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08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08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Mottarelli Davide</dc:creator>
  <cp:keywords/>
  <dc:description/>
  <cp:lastModifiedBy>Mottarelli Davide</cp:lastModifiedBy>
  <cp:revision>2</cp:revision>
  <dcterms:created xsi:type="dcterms:W3CDTF">2026-06-10T14:38:00Z</dcterms:created>
  <dcterms:modified xsi:type="dcterms:W3CDTF">2026-06-10T19:34:00Z</dcterms:modified>
</cp:coreProperties>
</file>