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8EA5" w14:textId="1D8A2578" w:rsidR="002839A8" w:rsidRPr="001917AE" w:rsidRDefault="00FE5C0B" w:rsidP="00A770B6">
      <w:pPr>
        <w:pStyle w:val="Title"/>
        <w:rPr>
          <w:sz w:val="48"/>
          <w:szCs w:val="48"/>
        </w:rPr>
      </w:pPr>
      <w:r w:rsidRPr="001917AE">
        <w:rPr>
          <w:sz w:val="48"/>
          <w:szCs w:val="48"/>
        </w:rPr>
        <w:t>Arquitectura de Sistema Edusaldo</w:t>
      </w:r>
    </w:p>
    <w:p w14:paraId="464D6490" w14:textId="697178DC" w:rsidR="00FE5C0B" w:rsidRPr="001917AE" w:rsidRDefault="00FE5C0B" w:rsidP="00A770B6">
      <w:pPr>
        <w:pStyle w:val="Heading1"/>
        <w:rPr>
          <w:sz w:val="32"/>
          <w:szCs w:val="32"/>
        </w:rPr>
      </w:pPr>
      <w:r w:rsidRPr="001917AE">
        <w:rPr>
          <w:sz w:val="32"/>
          <w:szCs w:val="32"/>
        </w:rPr>
        <w:t xml:space="preserve">1. </w:t>
      </w:r>
      <w:r w:rsidR="00676FCF" w:rsidRPr="001917AE">
        <w:rPr>
          <w:sz w:val="32"/>
          <w:szCs w:val="32"/>
        </w:rPr>
        <w:t>Objetivo y Criterios de la Arquitectura</w:t>
      </w:r>
    </w:p>
    <w:p w14:paraId="64DC71F3" w14:textId="3BDFB698" w:rsidR="00676FCF" w:rsidRPr="001917AE" w:rsidRDefault="00676FCF" w:rsidP="00A770B6">
      <w:pPr>
        <w:pStyle w:val="Heading2"/>
        <w:rPr>
          <w:sz w:val="24"/>
          <w:szCs w:val="24"/>
        </w:rPr>
      </w:pPr>
      <w:r w:rsidRPr="001917AE">
        <w:rPr>
          <w:sz w:val="24"/>
          <w:szCs w:val="24"/>
        </w:rPr>
        <w:t>1.1. Propósito</w:t>
      </w:r>
    </w:p>
    <w:p w14:paraId="37A6C95F" w14:textId="2BE6C264" w:rsidR="00676FCF" w:rsidRPr="001917AE" w:rsidRDefault="00676FCF" w:rsidP="00676FCF">
      <w:pPr>
        <w:rPr>
          <w:sz w:val="20"/>
          <w:szCs w:val="20"/>
        </w:rPr>
      </w:pPr>
      <w:r w:rsidRPr="001917AE">
        <w:rPr>
          <w:sz w:val="20"/>
          <w:szCs w:val="20"/>
        </w:rPr>
        <w:t>EduSaldo se implementará bajo la arquitectura de microservicios, tomando como referencia funcional el prototipo HTML/JavaScript desarrollado en la EA1 para modelar las reglas de negocio en el backend y reconstruir progresivamente las interfaces en React.</w:t>
      </w:r>
    </w:p>
    <w:p w14:paraId="351BA8F2" w14:textId="0CFC9DEC" w:rsidR="00676FCF" w:rsidRPr="001917AE" w:rsidRDefault="00676FCF" w:rsidP="00676FCF">
      <w:pPr>
        <w:rPr>
          <w:sz w:val="20"/>
          <w:szCs w:val="20"/>
        </w:rPr>
      </w:pPr>
      <w:r>
        <w:t>La arquitectura se compone de cuatro microservicios de negocio más un API Gateway como punto único de entrada. Esta distribución garantiza una separación clara de responsabilidades por dominios (Domain-Driven Design), asegurando alta cohesión y bajo acoplamiento sin incurrir en una sobre fragmentación de proyectos.</w:t>
      </w:r>
    </w:p>
    <w:p w14:paraId="50171DC2" w14:textId="34B9818C" w:rsidR="00676FCF" w:rsidRPr="001917AE" w:rsidRDefault="00676FCF" w:rsidP="00A770B6">
      <w:pPr>
        <w:pStyle w:val="Heading2"/>
        <w:rPr>
          <w:sz w:val="24"/>
          <w:szCs w:val="24"/>
        </w:rPr>
      </w:pPr>
      <w:r w:rsidRPr="001917AE">
        <w:rPr>
          <w:sz w:val="24"/>
          <w:szCs w:val="24"/>
        </w:rPr>
        <w:t>1.2. Criterios de diseño</w:t>
      </w:r>
    </w:p>
    <w:p w14:paraId="3E88D61A" w14:textId="10424E54" w:rsidR="00676FCF" w:rsidRPr="001917AE" w:rsidRDefault="00676FCF" w:rsidP="00676FCF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1917AE">
        <w:rPr>
          <w:sz w:val="20"/>
          <w:szCs w:val="20"/>
        </w:rPr>
        <w:t>Backend y Arquitectura: Java / Spring Boot con Maven, arquitectura en capas (Controller, Service, Repository), DTOs para transferencia de datos y manejo global de excepciones (`@RestControllerAdvice`).</w:t>
      </w:r>
    </w:p>
    <w:p w14:paraId="228A836E" w14:textId="5AC39D98" w:rsidR="00676FCF" w:rsidRPr="001917AE" w:rsidRDefault="00676FCF" w:rsidP="00676FCF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1917AE">
        <w:rPr>
          <w:sz w:val="20"/>
          <w:szCs w:val="20"/>
        </w:rPr>
        <w:t>Frontend: React, desacoplado del backend y comunicándose exclusivamente a través del Gateway.</w:t>
      </w:r>
    </w:p>
    <w:p w14:paraId="36E0E096" w14:textId="1F4A031C" w:rsidR="00676FCF" w:rsidRPr="001917AE" w:rsidRDefault="00676FCF" w:rsidP="00676FCF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1917AE">
        <w:rPr>
          <w:sz w:val="20"/>
          <w:szCs w:val="20"/>
        </w:rPr>
        <w:t>Persistencia: Bases de datos MySQL independientes por microservicio administradas con Spring Data JPA/Hibernate.</w:t>
      </w:r>
    </w:p>
    <w:p w14:paraId="6C14BB39" w14:textId="660B928A" w:rsidR="00676FCF" w:rsidRPr="001917AE" w:rsidRDefault="00676FCF" w:rsidP="00676FCF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1917AE">
        <w:rPr>
          <w:sz w:val="20"/>
          <w:szCs w:val="20"/>
        </w:rPr>
        <w:t>Comunicación e Integración: API Gateway central (puerto 8099), APIs REST síncronas con HTTP/JSON, clientes HTTP tipados (OpenFeign/WebClient) y documentación viva mediante OpenAPI / Swagger.</w:t>
      </w:r>
    </w:p>
    <w:p w14:paraId="725F66A6" w14:textId="0AF8D039" w:rsidR="00676FCF" w:rsidRPr="001917AE" w:rsidRDefault="00676FCF" w:rsidP="00676FCF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1917AE">
        <w:rPr>
          <w:sz w:val="20"/>
          <w:szCs w:val="20"/>
        </w:rPr>
        <w:t>Seguridad y Trazabilidad: Autenticación y autorización basada en JWT por roles, validación estricta de payloads (`@Valid`) y auditoría de operaciones críticas.</w:t>
      </w:r>
    </w:p>
    <w:p w14:paraId="14CCF1B4" w14:textId="6501A3E1" w:rsidR="00676FCF" w:rsidRPr="001917AE" w:rsidRDefault="00676FCF" w:rsidP="00676FCF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1917AE">
        <w:rPr>
          <w:sz w:val="20"/>
          <w:szCs w:val="20"/>
        </w:rPr>
        <w:t>Calidad y Despliegue: Pruebas unitarias con JUnit 5 y Mockito, métricas de cobertura con JaCoCo, configuración externalizada en `application.yml` y control de versiones con Git/GitHub.</w:t>
      </w:r>
    </w:p>
    <w:p w14:paraId="259E4136" w14:textId="77777777" w:rsidR="00FE5C0B" w:rsidRPr="001917AE" w:rsidRDefault="00FE5C0B" w:rsidP="00676FCF">
      <w:pPr>
        <w:pStyle w:val="Heading1"/>
        <w:rPr>
          <w:sz w:val="32"/>
          <w:szCs w:val="32"/>
        </w:rPr>
      </w:pPr>
      <w:r w:rsidRPr="001917AE">
        <w:rPr>
          <w:sz w:val="32"/>
          <w:szCs w:val="32"/>
        </w:rPr>
        <w:t>2. Esquema general</w:t>
      </w:r>
    </w:p>
    <w:p w14:paraId="4338780E" w14:textId="72D8A0B8" w:rsidR="00FE5C0B" w:rsidRPr="001917AE" w:rsidRDefault="00FE5C0B" w:rsidP="00676FCF">
      <w:pPr>
        <w:rPr>
          <w:sz w:val="16"/>
          <w:szCs w:val="20"/>
        </w:rPr>
      </w:pPr>
      <w:r w:rsidRPr="001917AE">
        <w:rPr>
          <w:sz w:val="20"/>
          <w:szCs w:val="20"/>
        </w:rPr>
        <w:t xml:space="preserve">Frontend React -&gt; API </w:t>
      </w:r>
      <w:r w:rsidR="001917AE" w:rsidRPr="001917AE">
        <w:rPr>
          <w:sz w:val="20"/>
          <w:szCs w:val="20"/>
        </w:rPr>
        <w:t>Gateway</w:t>
      </w:r>
      <w:r w:rsidRPr="001917AE">
        <w:rPr>
          <w:sz w:val="20"/>
          <w:szCs w:val="20"/>
        </w:rPr>
        <w:t xml:space="preserve"> (8099) -&gt; Microservicios</w:t>
      </w:r>
    </w:p>
    <w:p w14:paraId="31C31F8D" w14:textId="01418C10" w:rsidR="00FE5C0B" w:rsidRPr="001917AE" w:rsidRDefault="00FE5C0B" w:rsidP="00676FCF">
      <w:pPr>
        <w:rPr>
          <w:sz w:val="20"/>
          <w:szCs w:val="20"/>
        </w:rPr>
      </w:pPr>
      <w:r w:rsidRPr="001917AE">
        <w:rPr>
          <w:sz w:val="20"/>
          <w:szCs w:val="20"/>
        </w:rPr>
        <w:t>React no accederá directamente a los microservicios. Todas las solicitudes se realizarán al Gateway, que redirigirá cada petición al servicio correspondiente. Cada microservicio será responsable de su propio dominio y de sus propios datos.</w:t>
      </w:r>
    </w:p>
    <w:p w14:paraId="49EBBAAA" w14:textId="56F0C81E" w:rsidR="002839A8" w:rsidRPr="001917AE" w:rsidRDefault="00E92101" w:rsidP="00676FCF">
      <w:pPr>
        <w:pStyle w:val="Heading2"/>
        <w:rPr>
          <w:sz w:val="24"/>
          <w:szCs w:val="24"/>
        </w:rPr>
      </w:pPr>
      <w:r w:rsidRPr="001917AE">
        <w:rPr>
          <w:sz w:val="24"/>
          <w:szCs w:val="24"/>
        </w:rPr>
        <w:t xml:space="preserve">2.1. Condiciones técnicas </w:t>
      </w:r>
      <w:r w:rsidR="006D7578" w:rsidRPr="001917AE">
        <w:rPr>
          <w:sz w:val="24"/>
          <w:szCs w:val="24"/>
        </w:rPr>
        <w:t>comunes</w:t>
      </w:r>
    </w:p>
    <w:p w14:paraId="696E605F" w14:textId="77777777" w:rsidR="00D522FB" w:rsidRPr="001917AE" w:rsidRDefault="00D522FB" w:rsidP="00676FCF">
      <w:pPr>
        <w:pStyle w:val="Heading3"/>
        <w:rPr>
          <w:sz w:val="22"/>
          <w:szCs w:val="22"/>
        </w:rPr>
      </w:pPr>
      <w:r w:rsidRPr="001917AE">
        <w:rPr>
          <w:sz w:val="22"/>
          <w:szCs w:val="22"/>
        </w:rPr>
        <w:t>1. Arquitectura y propiedad de datos</w:t>
      </w:r>
    </w:p>
    <w:p w14:paraId="4A741931" w14:textId="77777777" w:rsidR="00D522FB" w:rsidRPr="001917AE" w:rsidRDefault="00D522FB" w:rsidP="00676FCF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1917AE">
        <w:rPr>
          <w:sz w:val="20"/>
          <w:szCs w:val="20"/>
        </w:rPr>
        <w:t xml:space="preserve">Cada microservicio es una aplicación Spring Boot/Maven </w:t>
      </w:r>
      <w:r w:rsidRPr="001917AE">
        <w:rPr>
          <w:b/>
          <w:bCs/>
          <w:sz w:val="20"/>
          <w:szCs w:val="20"/>
        </w:rPr>
        <w:t>independiente</w:t>
      </w:r>
      <w:r w:rsidRPr="001917AE">
        <w:rPr>
          <w:sz w:val="20"/>
          <w:szCs w:val="20"/>
        </w:rPr>
        <w:t>.</w:t>
      </w:r>
    </w:p>
    <w:p w14:paraId="62F7503B" w14:textId="77777777" w:rsidR="00D522FB" w:rsidRPr="001917AE" w:rsidRDefault="00D522FB" w:rsidP="00676FCF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1917AE">
        <w:rPr>
          <w:sz w:val="20"/>
          <w:szCs w:val="20"/>
        </w:rPr>
        <w:t xml:space="preserve">Cada microservicio es </w:t>
      </w:r>
      <w:r w:rsidRPr="001917AE">
        <w:rPr>
          <w:b/>
          <w:bCs/>
          <w:sz w:val="20"/>
          <w:szCs w:val="20"/>
        </w:rPr>
        <w:t>dueño exclusivo de su propia base de datos</w:t>
      </w:r>
      <w:r w:rsidRPr="001917AE">
        <w:rPr>
          <w:sz w:val="20"/>
          <w:szCs w:val="20"/>
        </w:rPr>
        <w:t xml:space="preserve"> MySQL; está prohibido consultar directamente la base de otro servicio. </w:t>
      </w:r>
      <w:r w:rsidRPr="001917AE">
        <w:rPr>
          <w:b/>
          <w:bCs/>
          <w:sz w:val="20"/>
          <w:szCs w:val="20"/>
        </w:rPr>
        <w:t>Cualquier dato remoto se obtiene mediante API REST y DTO</w:t>
      </w:r>
      <w:r w:rsidRPr="001917AE">
        <w:rPr>
          <w:sz w:val="20"/>
          <w:szCs w:val="20"/>
        </w:rPr>
        <w:t>.</w:t>
      </w:r>
    </w:p>
    <w:p w14:paraId="44CDC2B2" w14:textId="77777777" w:rsidR="00D522FB" w:rsidRPr="001917AE" w:rsidRDefault="00D522FB" w:rsidP="00676FCF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1917AE">
        <w:rPr>
          <w:sz w:val="20"/>
          <w:szCs w:val="20"/>
        </w:rPr>
        <w:t xml:space="preserve">Los identificadores de entidades externas </w:t>
      </w:r>
      <w:r w:rsidRPr="001917AE">
        <w:rPr>
          <w:i/>
          <w:iCs/>
          <w:sz w:val="20"/>
          <w:szCs w:val="20"/>
        </w:rPr>
        <w:t>pueden</w:t>
      </w:r>
      <w:r w:rsidRPr="001917AE">
        <w:rPr>
          <w:sz w:val="20"/>
          <w:szCs w:val="20"/>
        </w:rPr>
        <w:t xml:space="preserve"> almacenarse como referencia, pero no implican una relación JPA entre bases de datos de microservicios diferentes.</w:t>
      </w:r>
    </w:p>
    <w:p w14:paraId="24B309A5" w14:textId="77777777" w:rsidR="00D522FB" w:rsidRPr="001917AE" w:rsidRDefault="00D522FB" w:rsidP="00676FCF">
      <w:pPr>
        <w:pStyle w:val="Heading3"/>
        <w:rPr>
          <w:sz w:val="22"/>
          <w:szCs w:val="22"/>
        </w:rPr>
      </w:pPr>
      <w:r w:rsidRPr="001917AE">
        <w:rPr>
          <w:sz w:val="22"/>
          <w:szCs w:val="22"/>
        </w:rPr>
        <w:t>2. Comunicación entre microservicios</w:t>
      </w:r>
    </w:p>
    <w:p w14:paraId="0385D6C3" w14:textId="77777777" w:rsidR="00D522FB" w:rsidRPr="001917AE" w:rsidRDefault="00D522FB" w:rsidP="00676FCF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1917AE">
        <w:rPr>
          <w:sz w:val="20"/>
          <w:szCs w:val="20"/>
        </w:rPr>
        <w:t xml:space="preserve">Comunicación </w:t>
      </w:r>
      <w:r w:rsidRPr="001917AE">
        <w:rPr>
          <w:b/>
          <w:bCs/>
          <w:sz w:val="20"/>
          <w:szCs w:val="20"/>
        </w:rPr>
        <w:t>síncrona</w:t>
      </w:r>
      <w:r w:rsidRPr="001917AE">
        <w:rPr>
          <w:sz w:val="20"/>
          <w:szCs w:val="20"/>
        </w:rPr>
        <w:t xml:space="preserve"> REST/HTTP/JSON mediante DTO y cliente HTTP (OpenFeign/WebClient/RestClient según implementación del curso), todo con contratos claramente definidos.</w:t>
      </w:r>
    </w:p>
    <w:p w14:paraId="408CA5D2" w14:textId="77777777" w:rsidR="00D522FB" w:rsidRPr="001917AE" w:rsidRDefault="00D522FB" w:rsidP="00676FCF">
      <w:pPr>
        <w:pStyle w:val="Heading3"/>
        <w:rPr>
          <w:sz w:val="22"/>
          <w:szCs w:val="22"/>
        </w:rPr>
      </w:pPr>
      <w:r w:rsidRPr="001917AE">
        <w:rPr>
          <w:sz w:val="22"/>
          <w:szCs w:val="22"/>
        </w:rPr>
        <w:t>3. Estructura interna y reglas de negocio</w:t>
      </w:r>
    </w:p>
    <w:p w14:paraId="6EC23EDB" w14:textId="77777777" w:rsidR="00D522FB" w:rsidRPr="001917AE" w:rsidRDefault="00D522FB" w:rsidP="00676FCF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1917AE">
        <w:rPr>
          <w:sz w:val="20"/>
          <w:szCs w:val="20"/>
        </w:rPr>
        <w:t xml:space="preserve">Estructura interna: cada servicio </w:t>
      </w:r>
      <w:r w:rsidRPr="001917AE">
        <w:rPr>
          <w:b/>
          <w:bCs/>
          <w:sz w:val="20"/>
          <w:szCs w:val="20"/>
        </w:rPr>
        <w:t>debe</w:t>
      </w:r>
      <w:r w:rsidRPr="001917AE">
        <w:rPr>
          <w:sz w:val="20"/>
          <w:szCs w:val="20"/>
        </w:rPr>
        <w:t xml:space="preserve"> implementar el </w:t>
      </w:r>
      <w:r w:rsidRPr="001917AE">
        <w:rPr>
          <w:b/>
          <w:bCs/>
          <w:sz w:val="20"/>
          <w:szCs w:val="20"/>
        </w:rPr>
        <w:t>patrón CSR</w:t>
      </w:r>
      <w:r w:rsidRPr="001917AE">
        <w:rPr>
          <w:sz w:val="20"/>
          <w:szCs w:val="20"/>
        </w:rPr>
        <w:t xml:space="preserve"> (Controller, Service, Repository), Entity/Base de Datos, DTO y manejo de errores.</w:t>
      </w:r>
    </w:p>
    <w:p w14:paraId="2CF24208" w14:textId="77777777" w:rsidR="00D522FB" w:rsidRPr="001917AE" w:rsidRDefault="00D522FB" w:rsidP="00676FCF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1917AE">
        <w:rPr>
          <w:sz w:val="20"/>
          <w:szCs w:val="20"/>
        </w:rPr>
        <w:lastRenderedPageBreak/>
        <w:t xml:space="preserve">Las </w:t>
      </w:r>
      <w:r w:rsidRPr="001917AE">
        <w:rPr>
          <w:b/>
          <w:bCs/>
          <w:sz w:val="20"/>
          <w:szCs w:val="20"/>
        </w:rPr>
        <w:t>reglas de negocio</w:t>
      </w:r>
      <w:r w:rsidRPr="001917AE">
        <w:rPr>
          <w:sz w:val="20"/>
          <w:szCs w:val="20"/>
        </w:rPr>
        <w:t xml:space="preserve"> importantes se implementarán en </w:t>
      </w:r>
      <w:r w:rsidRPr="001917AE">
        <w:rPr>
          <w:b/>
          <w:bCs/>
          <w:sz w:val="20"/>
          <w:szCs w:val="20"/>
        </w:rPr>
        <w:t>Spring Boot</w:t>
      </w:r>
      <w:r w:rsidRPr="001917AE">
        <w:rPr>
          <w:sz w:val="20"/>
          <w:szCs w:val="20"/>
        </w:rPr>
        <w:t>, no en React.</w:t>
      </w:r>
    </w:p>
    <w:p w14:paraId="64DC0B17" w14:textId="77777777" w:rsidR="00D522FB" w:rsidRPr="001917AE" w:rsidRDefault="00D522FB" w:rsidP="00676FCF">
      <w:pPr>
        <w:pStyle w:val="Heading3"/>
        <w:rPr>
          <w:sz w:val="22"/>
          <w:szCs w:val="22"/>
        </w:rPr>
      </w:pPr>
      <w:r w:rsidRPr="001917AE">
        <w:rPr>
          <w:sz w:val="22"/>
          <w:szCs w:val="22"/>
        </w:rPr>
        <w:t>4. Seguridad, validación y auditoría</w:t>
      </w:r>
    </w:p>
    <w:p w14:paraId="68A2578E" w14:textId="77777777" w:rsidR="00D522FB" w:rsidRPr="001917AE" w:rsidRDefault="00D522FB" w:rsidP="00676FCF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1917AE">
        <w:rPr>
          <w:sz w:val="20"/>
          <w:szCs w:val="20"/>
        </w:rPr>
        <w:t>JWT y autorización por roles; validaciones con @Valid y errores con @RestControllerAdvice/@ExceptionHandler.</w:t>
      </w:r>
    </w:p>
    <w:p w14:paraId="3705D97F" w14:textId="77777777" w:rsidR="00D522FB" w:rsidRPr="001917AE" w:rsidRDefault="00D522FB" w:rsidP="00676FCF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1917AE">
        <w:rPr>
          <w:sz w:val="20"/>
          <w:szCs w:val="20"/>
        </w:rPr>
        <w:t>Las operaciones sensibles deben conservar trazabilidad: usuario, fecha/hora, motivo, referencia y autorizaciones cuando corresponda.</w:t>
      </w:r>
    </w:p>
    <w:p w14:paraId="7675C117" w14:textId="77777777" w:rsidR="00D522FB" w:rsidRPr="001917AE" w:rsidRDefault="00D522FB" w:rsidP="00676FCF">
      <w:pPr>
        <w:pStyle w:val="Heading3"/>
        <w:rPr>
          <w:sz w:val="22"/>
          <w:szCs w:val="22"/>
        </w:rPr>
      </w:pPr>
      <w:r w:rsidRPr="001917AE">
        <w:rPr>
          <w:sz w:val="22"/>
          <w:szCs w:val="22"/>
        </w:rPr>
        <w:t>5. API Gateway y frontend</w:t>
      </w:r>
    </w:p>
    <w:p w14:paraId="1E7D7509" w14:textId="77777777" w:rsidR="00D522FB" w:rsidRPr="001917AE" w:rsidRDefault="00D522FB" w:rsidP="00676FCF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1917AE">
        <w:rPr>
          <w:b/>
          <w:bCs/>
          <w:sz w:val="20"/>
          <w:szCs w:val="20"/>
        </w:rPr>
        <w:t>React no llama directamente a los microservicios</w:t>
      </w:r>
      <w:r w:rsidRPr="001917AE">
        <w:rPr>
          <w:sz w:val="20"/>
          <w:szCs w:val="20"/>
        </w:rPr>
        <w:t>, sino que consumirá el backend mediante el API Gateway, que actuará como entrada central e intermediario en el puerto 8099.</w:t>
      </w:r>
    </w:p>
    <w:p w14:paraId="4DFFA07A" w14:textId="77777777" w:rsidR="00D522FB" w:rsidRPr="001917AE" w:rsidRDefault="00D522FB" w:rsidP="00676FCF">
      <w:pPr>
        <w:pStyle w:val="Heading3"/>
        <w:rPr>
          <w:sz w:val="22"/>
          <w:szCs w:val="22"/>
        </w:rPr>
      </w:pPr>
      <w:r w:rsidRPr="001917AE">
        <w:rPr>
          <w:sz w:val="22"/>
          <w:szCs w:val="22"/>
        </w:rPr>
        <w:t>6. Documentación y pruebas</w:t>
      </w:r>
    </w:p>
    <w:p w14:paraId="62BC49BA" w14:textId="77777777" w:rsidR="00D522FB" w:rsidRPr="001917AE" w:rsidRDefault="00D522FB" w:rsidP="00676FCF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1917AE">
        <w:rPr>
          <w:sz w:val="20"/>
          <w:szCs w:val="20"/>
        </w:rPr>
        <w:t>Cada servicio deberá documentar sus endpoints con Swagger/OpenAPI; pruebas de endpoints con Postman o equivalente.</w:t>
      </w:r>
    </w:p>
    <w:p w14:paraId="6C654381" w14:textId="77777777" w:rsidR="00D522FB" w:rsidRPr="001917AE" w:rsidRDefault="00D522FB" w:rsidP="00676FCF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1917AE">
        <w:rPr>
          <w:sz w:val="20"/>
          <w:szCs w:val="20"/>
        </w:rPr>
        <w:t>Pruebas unitarias JUnit 5 + Mockito y cobertura JaCoCo.</w:t>
      </w:r>
    </w:p>
    <w:p w14:paraId="03DB8B07" w14:textId="77777777" w:rsidR="00D522FB" w:rsidRPr="001917AE" w:rsidRDefault="00D522FB" w:rsidP="00676FCF">
      <w:pPr>
        <w:pStyle w:val="Heading3"/>
        <w:rPr>
          <w:sz w:val="22"/>
          <w:szCs w:val="22"/>
        </w:rPr>
      </w:pPr>
      <w:r w:rsidRPr="001917AE">
        <w:rPr>
          <w:sz w:val="22"/>
          <w:szCs w:val="22"/>
        </w:rPr>
        <w:t>7. Configuración y ejecución</w:t>
      </w:r>
    </w:p>
    <w:p w14:paraId="18713308" w14:textId="77777777" w:rsidR="00D522FB" w:rsidRPr="001917AE" w:rsidRDefault="00D522FB" w:rsidP="00676FCF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1917AE">
        <w:rPr>
          <w:sz w:val="20"/>
          <w:szCs w:val="20"/>
        </w:rPr>
        <w:t>Configuración por application.yml; ejecución local; Docker no es requisito.</w:t>
      </w:r>
    </w:p>
    <w:p w14:paraId="5E1044D4" w14:textId="77777777" w:rsidR="00E92101" w:rsidRPr="001917AE" w:rsidRDefault="00D522FB" w:rsidP="00676FCF">
      <w:pPr>
        <w:pStyle w:val="Heading3"/>
        <w:rPr>
          <w:sz w:val="22"/>
          <w:szCs w:val="22"/>
        </w:rPr>
      </w:pPr>
      <w:r w:rsidRPr="001917AE">
        <w:rPr>
          <w:sz w:val="22"/>
          <w:szCs w:val="22"/>
        </w:rPr>
        <w:t>8. Operaciones distribuidas</w:t>
      </w:r>
    </w:p>
    <w:p w14:paraId="53FE8A4B" w14:textId="68108D79" w:rsidR="00D522FB" w:rsidRPr="001917AE" w:rsidRDefault="00D522FB" w:rsidP="00676FCF">
      <w:pPr>
        <w:pStyle w:val="ListParagraph"/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sz w:val="20"/>
          <w:szCs w:val="20"/>
        </w:rPr>
      </w:pPr>
      <w:r w:rsidRPr="001917AE">
        <w:rPr>
          <w:sz w:val="20"/>
          <w:szCs w:val="20"/>
        </w:rPr>
        <w:t>Operaciones distribuidas de saldo/stock deben usar idempotencia y compensación ante fallo parcial.</w:t>
      </w:r>
    </w:p>
    <w:p w14:paraId="0AAA48FD" w14:textId="455C9C3A" w:rsidR="00FE5C0B" w:rsidRPr="001917AE" w:rsidRDefault="00FE5C0B" w:rsidP="00676FCF">
      <w:pPr>
        <w:pStyle w:val="Heading1"/>
        <w:rPr>
          <w:sz w:val="32"/>
          <w:szCs w:val="32"/>
        </w:rPr>
      </w:pPr>
      <w:r w:rsidRPr="001917AE">
        <w:rPr>
          <w:sz w:val="32"/>
          <w:szCs w:val="32"/>
        </w:rPr>
        <w:t>3. Microservicios</w:t>
      </w:r>
    </w:p>
    <w:tbl>
      <w:tblPr>
        <w:tblStyle w:val="TableGrid"/>
        <w:tblW w:w="10458" w:type="dxa"/>
        <w:tblLook w:val="04A0" w:firstRow="1" w:lastRow="0" w:firstColumn="1" w:lastColumn="0" w:noHBand="0" w:noVBand="1"/>
      </w:tblPr>
      <w:tblGrid>
        <w:gridCol w:w="794"/>
        <w:gridCol w:w="1433"/>
        <w:gridCol w:w="2375"/>
        <w:gridCol w:w="5856"/>
      </w:tblGrid>
      <w:tr w:rsidR="00F02AC2" w:rsidRPr="001917AE" w14:paraId="75DC5E4F" w14:textId="77777777" w:rsidTr="00F02AC2">
        <w:tc>
          <w:tcPr>
            <w:tcW w:w="794" w:type="dxa"/>
            <w:shd w:val="clear" w:color="auto" w:fill="D9EAD3"/>
            <w:vAlign w:val="center"/>
          </w:tcPr>
          <w:p w14:paraId="41BEBF64" w14:textId="77777777" w:rsidR="00F02AC2" w:rsidRPr="001917AE" w:rsidRDefault="00F02AC2" w:rsidP="00676FCF">
            <w:pPr>
              <w:rPr>
                <w:sz w:val="20"/>
                <w:szCs w:val="20"/>
              </w:rPr>
            </w:pPr>
            <w:r w:rsidRPr="001917AE">
              <w:rPr>
                <w:sz w:val="20"/>
                <w:szCs w:val="20"/>
              </w:rPr>
              <w:t>Puerto</w:t>
            </w:r>
          </w:p>
        </w:tc>
        <w:tc>
          <w:tcPr>
            <w:tcW w:w="1378" w:type="dxa"/>
            <w:shd w:val="clear" w:color="auto" w:fill="D9EAD3"/>
            <w:vAlign w:val="center"/>
          </w:tcPr>
          <w:p w14:paraId="4DC142FB" w14:textId="77777777" w:rsidR="00F02AC2" w:rsidRPr="001917AE" w:rsidRDefault="00F02AC2" w:rsidP="00676FCF">
            <w:pPr>
              <w:rPr>
                <w:sz w:val="20"/>
                <w:szCs w:val="20"/>
              </w:rPr>
            </w:pPr>
            <w:r w:rsidRPr="001917AE">
              <w:rPr>
                <w:sz w:val="20"/>
                <w:szCs w:val="20"/>
              </w:rPr>
              <w:t>Servicio</w:t>
            </w:r>
          </w:p>
        </w:tc>
        <w:tc>
          <w:tcPr>
            <w:tcW w:w="2375" w:type="dxa"/>
            <w:shd w:val="clear" w:color="auto" w:fill="D9EAD3"/>
          </w:tcPr>
          <w:p w14:paraId="23A9E44D" w14:textId="50A50F65" w:rsidR="00F02AC2" w:rsidRPr="001917AE" w:rsidRDefault="00F02AC2" w:rsidP="00676FCF">
            <w:pPr>
              <w:rPr>
                <w:sz w:val="20"/>
                <w:szCs w:val="20"/>
              </w:rPr>
            </w:pPr>
            <w:r w:rsidRPr="001917AE">
              <w:rPr>
                <w:sz w:val="20"/>
                <w:szCs w:val="20"/>
              </w:rPr>
              <w:t>Base de datos</w:t>
            </w:r>
          </w:p>
        </w:tc>
        <w:tc>
          <w:tcPr>
            <w:tcW w:w="5911" w:type="dxa"/>
            <w:shd w:val="clear" w:color="auto" w:fill="D9EAD3"/>
            <w:vAlign w:val="center"/>
          </w:tcPr>
          <w:p w14:paraId="0A33875B" w14:textId="5ADE58DC" w:rsidR="00F02AC2" w:rsidRPr="001917AE" w:rsidRDefault="00F02AC2" w:rsidP="00676FCF">
            <w:pPr>
              <w:rPr>
                <w:sz w:val="20"/>
                <w:szCs w:val="20"/>
              </w:rPr>
            </w:pPr>
            <w:r w:rsidRPr="001917AE">
              <w:rPr>
                <w:sz w:val="20"/>
                <w:szCs w:val="20"/>
              </w:rPr>
              <w:t>Responsabilidad</w:t>
            </w:r>
          </w:p>
        </w:tc>
      </w:tr>
      <w:tr w:rsidR="00F02AC2" w:rsidRPr="001917AE" w14:paraId="23604B93" w14:textId="77777777" w:rsidTr="00F02AC2">
        <w:tc>
          <w:tcPr>
            <w:tcW w:w="794" w:type="dxa"/>
            <w:vAlign w:val="center"/>
          </w:tcPr>
          <w:p w14:paraId="221AFC01" w14:textId="76794B66" w:rsidR="00F02AC2" w:rsidRPr="001917AE" w:rsidRDefault="00F02AC2" w:rsidP="00676FCF">
            <w:pPr>
              <w:rPr>
                <w:sz w:val="20"/>
                <w:szCs w:val="20"/>
              </w:rPr>
            </w:pPr>
            <w:r w:rsidRPr="001917AE">
              <w:rPr>
                <w:sz w:val="20"/>
                <w:szCs w:val="20"/>
              </w:rPr>
              <w:t>8099</w:t>
            </w:r>
          </w:p>
        </w:tc>
        <w:tc>
          <w:tcPr>
            <w:tcW w:w="1378" w:type="dxa"/>
            <w:vAlign w:val="center"/>
          </w:tcPr>
          <w:p w14:paraId="00427D39" w14:textId="77777777" w:rsidR="00F02AC2" w:rsidRPr="001917AE" w:rsidRDefault="00F02AC2" w:rsidP="00676FCF">
            <w:pPr>
              <w:rPr>
                <w:sz w:val="20"/>
                <w:szCs w:val="20"/>
              </w:rPr>
            </w:pPr>
            <w:r w:rsidRPr="001917AE">
              <w:rPr>
                <w:sz w:val="20"/>
                <w:szCs w:val="20"/>
              </w:rPr>
              <w:t>API Gateway</w:t>
            </w:r>
          </w:p>
        </w:tc>
        <w:tc>
          <w:tcPr>
            <w:tcW w:w="2375" w:type="dxa"/>
          </w:tcPr>
          <w:p w14:paraId="1B1E9BFD" w14:textId="55DAB8BE" w:rsidR="00F02AC2" w:rsidRPr="001917AE" w:rsidRDefault="008F2B33" w:rsidP="00676FCF">
            <w:pPr>
              <w:rPr>
                <w:sz w:val="20"/>
                <w:szCs w:val="20"/>
              </w:rPr>
            </w:pPr>
            <w:r w:rsidRPr="001917AE">
              <w:rPr>
                <w:sz w:val="20"/>
                <w:szCs w:val="20"/>
              </w:rPr>
              <w:t xml:space="preserve">Sin BD de negocio </w:t>
            </w:r>
          </w:p>
        </w:tc>
        <w:tc>
          <w:tcPr>
            <w:tcW w:w="5911" w:type="dxa"/>
            <w:vAlign w:val="center"/>
          </w:tcPr>
          <w:p w14:paraId="11CA926E" w14:textId="7099616A" w:rsidR="00F02AC2" w:rsidRPr="001917AE" w:rsidRDefault="00F02AC2" w:rsidP="00676FCF">
            <w:pPr>
              <w:rPr>
                <w:sz w:val="20"/>
                <w:szCs w:val="20"/>
              </w:rPr>
            </w:pPr>
            <w:r w:rsidRPr="001917AE">
              <w:rPr>
                <w:sz w:val="20"/>
                <w:szCs w:val="20"/>
              </w:rPr>
              <w:t>Entrada única desde React y enrutamiento hacia los microservicios.</w:t>
            </w:r>
          </w:p>
        </w:tc>
      </w:tr>
      <w:tr w:rsidR="00F02AC2" w:rsidRPr="001917AE" w14:paraId="570587DC" w14:textId="77777777" w:rsidTr="00F02AC2">
        <w:tc>
          <w:tcPr>
            <w:tcW w:w="794" w:type="dxa"/>
            <w:vAlign w:val="center"/>
          </w:tcPr>
          <w:p w14:paraId="403FFE6E" w14:textId="77777777" w:rsidR="00F02AC2" w:rsidRPr="001917AE" w:rsidRDefault="00F02AC2" w:rsidP="00676FCF">
            <w:pPr>
              <w:rPr>
                <w:sz w:val="20"/>
                <w:szCs w:val="20"/>
              </w:rPr>
            </w:pPr>
            <w:r w:rsidRPr="001917AE">
              <w:rPr>
                <w:sz w:val="20"/>
                <w:szCs w:val="20"/>
              </w:rPr>
              <w:t>8081</w:t>
            </w:r>
          </w:p>
        </w:tc>
        <w:tc>
          <w:tcPr>
            <w:tcW w:w="1378" w:type="dxa"/>
            <w:vAlign w:val="center"/>
          </w:tcPr>
          <w:p>
            <w:r>
              <w:t>Usuarios y Auth</w:t>
            </w:r>
          </w:p>
        </w:tc>
        <w:tc>
          <w:tcPr>
            <w:tcW w:w="2375" w:type="dxa"/>
          </w:tcPr>
          <w:p>
            <w:r>
              <w:t>db_usuarios</w:t>
            </w:r>
          </w:p>
        </w:tc>
        <w:tc>
          <w:tcPr>
            <w:tcW w:w="5911" w:type="dxa"/>
            <w:vAlign w:val="center"/>
          </w:tcPr>
          <w:p>
            <w:r>
              <w:t>Login JWT, usuarios polimórficos (Administrador, Encargado, Apoderado, Alumno), relación Apoderado-Alumno, configuración institucional, parámetros y auditoría.</w:t>
            </w:r>
          </w:p>
        </w:tc>
      </w:tr>
      <w:tr w:rsidR="008F2B33" w:rsidRPr="001917AE" w14:paraId="2A9B68C9" w14:textId="77777777" w:rsidTr="00F02AC2">
        <w:tc>
          <w:tcPr>
            <w:tcW w:w="794" w:type="dxa"/>
            <w:vAlign w:val="center"/>
          </w:tcPr>
          <w:p w14:paraId="0A39E5FC" w14:textId="77777777" w:rsidR="008F2B33" w:rsidRPr="001917AE" w:rsidRDefault="008F2B33" w:rsidP="00676FCF">
            <w:pPr>
              <w:rPr>
                <w:sz w:val="20"/>
                <w:szCs w:val="20"/>
              </w:rPr>
            </w:pPr>
            <w:r w:rsidRPr="001917AE">
              <w:rPr>
                <w:sz w:val="20"/>
                <w:szCs w:val="20"/>
              </w:rPr>
              <w:t>8082</w:t>
            </w:r>
          </w:p>
        </w:tc>
        <w:tc>
          <w:tcPr>
            <w:tcW w:w="1378" w:type="dxa"/>
            <w:vAlign w:val="center"/>
          </w:tcPr>
          <w:p>
            <w:r>
              <w:t>Saldos y Abonos</w:t>
            </w:r>
          </w:p>
        </w:tc>
        <w:tc>
          <w:tcPr>
            <w:tcW w:w="2375" w:type="dxa"/>
          </w:tcPr>
          <w:p>
            <w:r>
              <w:t>db_saldos</w:t>
            </w:r>
          </w:p>
        </w:tc>
        <w:tc>
          <w:tcPr>
            <w:tcW w:w="5911" w:type="dxa"/>
            <w:vAlign w:val="center"/>
          </w:tcPr>
          <w:p>
            <w:r>
              <w:t>Cuentas de saldo por alumno, invariante de saldo, abonos Webpay simulados con bloqueo temporal y movimientos de saldo.</w:t>
            </w:r>
          </w:p>
        </w:tc>
      </w:tr>
      <w:tr w:rsidR="008F2B33" w:rsidRPr="001917AE" w14:paraId="52B9FB5C" w14:textId="77777777" w:rsidTr="00F02AC2">
        <w:tc>
          <w:tcPr>
            <w:tcW w:w="794" w:type="dxa"/>
            <w:vAlign w:val="center"/>
          </w:tcPr>
          <w:p w14:paraId="270FA789" w14:textId="77777777" w:rsidR="008F2B33" w:rsidRPr="001917AE" w:rsidRDefault="008F2B33" w:rsidP="00676FCF">
            <w:pPr>
              <w:rPr>
                <w:sz w:val="20"/>
                <w:szCs w:val="20"/>
              </w:rPr>
            </w:pPr>
            <w:r w:rsidRPr="001917AE">
              <w:rPr>
                <w:sz w:val="20"/>
                <w:szCs w:val="20"/>
              </w:rPr>
              <w:t>8083</w:t>
            </w:r>
          </w:p>
        </w:tc>
        <w:tc>
          <w:tcPr>
            <w:tcW w:w="1378" w:type="dxa"/>
            <w:vAlign w:val="center"/>
          </w:tcPr>
          <w:p>
            <w:r>
              <w:t>Productos e Inventario</w:t>
            </w:r>
          </w:p>
        </w:tc>
        <w:tc>
          <w:tcPr>
            <w:tcW w:w="2375" w:type="dxa"/>
          </w:tcPr>
          <w:p>
            <w:r>
              <w:t>db_inventario</w:t>
            </w:r>
          </w:p>
        </w:tc>
        <w:tc>
          <w:tcPr>
            <w:tcW w:w="5911" w:type="dxa"/>
            <w:vAlign w:val="center"/>
          </w:tcPr>
          <w:p>
            <w:r>
              <w:t>Catálogo, categorías, stock físico/reservado/disponible, stock crítico, ingreso manual de stock y ajustes aprobados por Administrador.</w:t>
            </w:r>
          </w:p>
        </w:tc>
      </w:tr>
      <w:tr w:rsidR="008F2B33" w:rsidRPr="001917AE" w14:paraId="7A0C9384" w14:textId="77777777" w:rsidTr="00F02AC2">
        <w:tc>
          <w:tcPr>
            <w:tcW w:w="794" w:type="dxa"/>
            <w:vAlign w:val="center"/>
          </w:tcPr>
          <w:p w14:paraId="43ECEB96" w14:textId="77777777" w:rsidR="008F2B33" w:rsidRPr="001917AE" w:rsidRDefault="008F2B33" w:rsidP="00676FCF">
            <w:pPr>
              <w:rPr>
                <w:sz w:val="20"/>
                <w:szCs w:val="20"/>
              </w:rPr>
            </w:pPr>
            <w:r w:rsidRPr="001917AE">
              <w:rPr>
                <w:sz w:val="20"/>
                <w:szCs w:val="20"/>
              </w:rPr>
              <w:t>8084</w:t>
            </w:r>
          </w:p>
        </w:tc>
        <w:tc>
          <w:tcPr>
            <w:tcW w:w="1378" w:type="dxa"/>
            <w:vAlign w:val="center"/>
          </w:tcPr>
          <w:p>
            <w:r>
              <w:t>Reservas y Entregas</w:t>
            </w:r>
          </w:p>
        </w:tc>
        <w:tc>
          <w:tcPr>
            <w:tcW w:w="2375" w:type="dxa"/>
          </w:tcPr>
          <w:p>
            <w:r>
              <w:t>db_reservas</w:t>
            </w:r>
          </w:p>
        </w:tc>
        <w:tc>
          <w:tcPr>
            <w:tcW w:w="5911" w:type="dxa"/>
            <w:vAlign w:val="center"/>
          </w:tcPr>
          <w:p>
            <w:r>
              <w:t>Reservas con trazabilidad (HU31 CA2), entregas presenciales en mesón, devoluciones y notificación por correo a apoderados.</w:t>
            </w:r>
          </w:p>
        </w:tc>
      </w:tr>
    </w:tbl>
    <w:p w14:paraId="01C777A5" w14:textId="1DBE41EB" w:rsidR="00F02AC2" w:rsidRPr="001917AE" w:rsidRDefault="00F02AC2" w:rsidP="00676FCF">
      <w:pPr>
        <w:rPr>
          <w:sz w:val="20"/>
          <w:szCs w:val="20"/>
        </w:rPr>
      </w:pPr>
      <w:r w:rsidRPr="001917AE">
        <w:rPr>
          <w:sz w:val="20"/>
          <w:szCs w:val="20"/>
        </w:rPr>
        <w:t>Nota: El Gateway no contiene lógica de negocio ni comparte persistencia. Los servicios se prueban individualmente con Swagger/Postman y de forma integrada a través del Gateway.</w:t>
      </w:r>
    </w:p>
    <w:p w14:paraId="2CA92227" w14:textId="7175EA41" w:rsidR="002839A8" w:rsidRPr="00437CD7" w:rsidRDefault="00000000">
      <w:pPr>
        <w:jc w:val="center"/>
        <w:rPr>
          <w:sz w:val="16"/>
          <w:szCs w:val="16"/>
          <w:lang w:val="en-US"/>
        </w:rPr>
      </w:pPr>
      <w:r w:rsidRPr="001917AE">
        <w:rPr>
          <w:noProof/>
          <w:sz w:val="16"/>
          <w:szCs w:val="16"/>
        </w:rPr>
        <w:lastRenderedPageBreak/>
        <w:drawing>
          <wp:inline distT="0" distB="0" distL="0" distR="0" wp14:anchorId="2309B887" wp14:editId="0D80AF4C">
            <wp:extent cx="5199800" cy="3252438"/>
            <wp:effectExtent l="0" t="0" r="12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arquitectura_general.png"/>
                    <pic:cNvPicPr/>
                  </pic:nvPicPr>
                  <pic:blipFill rotWithShape="1">
                    <a:blip r:embed="rId6"/>
                    <a:srcRect l="2733" t="9992" r="2727" b="3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558" cy="3257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7A3D8" w14:textId="1172641D" w:rsidR="002839A8" w:rsidRPr="001917AE" w:rsidRDefault="00000000" w:rsidP="00FE5C0B">
      <w:pPr>
        <w:jc w:val="center"/>
        <w:rPr>
          <w:sz w:val="16"/>
          <w:szCs w:val="16"/>
        </w:rPr>
      </w:pPr>
      <w:r w:rsidRPr="001917AE">
        <w:rPr>
          <w:sz w:val="16"/>
          <w:szCs w:val="16"/>
        </w:rPr>
        <w:t>Figura 1. Arquitectura general EduSald</w:t>
      </w:r>
      <w:r w:rsidR="00760B41" w:rsidRPr="001917AE">
        <w:rPr>
          <w:sz w:val="16"/>
          <w:szCs w:val="16"/>
        </w:rPr>
        <w:t>o</w:t>
      </w:r>
      <w:r w:rsidRPr="001917AE">
        <w:rPr>
          <w:sz w:val="16"/>
          <w:szCs w:val="16"/>
        </w:rPr>
        <w:t>.</w:t>
      </w:r>
    </w:p>
    <w:p w14:paraId="54354280" w14:textId="3ADBE552" w:rsidR="002839A8" w:rsidRPr="001917AE" w:rsidRDefault="00FE5C0B" w:rsidP="00676FCF">
      <w:pPr>
        <w:pStyle w:val="Heading2"/>
        <w:rPr>
          <w:sz w:val="24"/>
          <w:szCs w:val="24"/>
        </w:rPr>
      </w:pPr>
      <w:r w:rsidRPr="001917AE">
        <w:rPr>
          <w:sz w:val="24"/>
          <w:szCs w:val="24"/>
        </w:rPr>
        <w:t>3.1. MS Auth y Usuarios - Puerto 8081</w:t>
      </w:r>
    </w:p>
    <w:p w14:paraId="3494987C" w14:textId="67507F81" w:rsidR="00FE5C0B" w:rsidRPr="001917AE" w:rsidRDefault="00FE5C0B" w:rsidP="00676FCF">
      <w:pPr>
        <w:rPr>
          <w:sz w:val="20"/>
          <w:szCs w:val="20"/>
        </w:rPr>
      </w:pPr>
      <w:r>
        <w:t>Gestionará la autenticación y los usuarios que operan EduSaldo. Los roles serán ADMINISTRADOR, ENCARGADO, APODERADO y ALUMNO (con inicio de sesión para alumnos ≥ 12 años). El Administrador concentra la gestión de usuarios, autorizaciones del sistema (como ajustes de stock) y la administración de parámetros institucionales y auditoría.</w:t>
      </w:r>
    </w:p>
    <w:p w14:paraId="312BD916" w14:textId="5BDDE53C" w:rsidR="000B5759" w:rsidRPr="001917AE" w:rsidRDefault="000B5759" w:rsidP="00676FCF">
      <w:pPr>
        <w:rPr>
          <w:sz w:val="20"/>
          <w:szCs w:val="20"/>
        </w:rPr>
      </w:pPr>
      <w:r>
        <w:t>Responsabilidad funcional: Login / JWT, Roles polimórficos, PRIMER_ACCESO, Bloqueo dinámico por política de acceso, Recuperación / reset de contraseñas, Inactivar / reactivar, Configuración institucional, Parámetros y Auditoría. Base de datos propia: db_usuarios. Historias relacionadas: HU01-HU19, HU50-HU56.</w:t>
      </w:r>
    </w:p>
    <w:p w14:paraId="43AAAF47" w14:textId="77777777" w:rsidR="00FE5C0B" w:rsidRPr="001917AE" w:rsidRDefault="00FE5C0B" w:rsidP="00676FCF">
      <w:pPr>
        <w:pStyle w:val="Heading3"/>
        <w:rPr>
          <w:sz w:val="22"/>
          <w:szCs w:val="22"/>
        </w:rPr>
      </w:pPr>
      <w:r w:rsidRPr="001917AE">
        <w:rPr>
          <w:sz w:val="22"/>
          <w:szCs w:val="22"/>
        </w:rPr>
        <w:t>Funciones principales:</w:t>
      </w:r>
    </w:p>
    <w:p w14:paraId="061315A8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>Login y autenticación.</w:t>
      </w:r>
    </w:p>
    <w:p w14:paraId="25327FDC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>Identificación del usuario y rol.</w:t>
      </w:r>
    </w:p>
    <w:p w14:paraId="1D5FECBF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>Gestión de usuarios activos/inactivos.</w:t>
      </w:r>
    </w:p>
    <w:p w14:paraId="07B7E338" w14:textId="4C9EC73B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>Control de permisos por rol.</w:t>
      </w:r>
    </w:p>
    <w:p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 xml:space="preserve">Datos personales atomizados: primer nombre, segundo nombre (opcional), primer apellido y segundo apellido (opcional).</w:t>
      </w:r>
    </w:p>
    <w:p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 xml:space="preserve">Creación de usuarios Apoderado solo a solicitud de MS Alumnos y Saldos, junto con su asociación a un alumno.</w:t>
      </w:r>
    </w:p>
    <w:p w14:paraId="1951D42C" w14:textId="77777777" w:rsidR="000B5759" w:rsidRPr="001917AE" w:rsidRDefault="000B5759" w:rsidP="00676FCF">
      <w:pPr>
        <w:pStyle w:val="Heading3"/>
        <w:rPr>
          <w:sz w:val="22"/>
          <w:szCs w:val="22"/>
        </w:rPr>
      </w:pPr>
      <w:r w:rsidRPr="001917AE">
        <w:rPr>
          <w:sz w:val="22"/>
          <w:szCs w:val="22"/>
        </w:rPr>
        <w:t>Integraciones REST</w:t>
      </w:r>
    </w:p>
    <w:p w14:paraId="73455D3E" w14:textId="0217528E" w:rsidR="000B5759" w:rsidRPr="001917AE" w:rsidRDefault="000B5759" w:rsidP="00676FCF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t>MS Usuarios y Auth ↔ 8099 API Gateway: validación de identidad, emisión de JWT y verificación de permisos por rol.</w:t>
      </w:r>
    </w:p>
    <w:p w14:paraId="62F2D7E8" w14:textId="6E25778D" w:rsidR="000B5759" w:rsidRPr="001917AE" w:rsidRDefault="000B5759" w:rsidP="00676FCF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1917AE">
        <w:rPr>
          <w:sz w:val="20"/>
          <w:szCs w:val="20"/>
        </w:rPr>
        <w:t>MS Auth y Usuarios ↔ 8099 API Gateway: JWT / rutas.</w:t>
      </w:r>
    </w:p>
    <w:p w14:paraId="656BEA48" w14:textId="4D872E22" w:rsidR="002839A8" w:rsidRPr="001917AE" w:rsidRDefault="00000000" w:rsidP="00FE5C0B">
      <w:pPr>
        <w:rPr>
          <w:sz w:val="16"/>
          <w:szCs w:val="16"/>
        </w:rPr>
      </w:pPr>
      <w:r w:rsidRPr="001917AE">
        <w:rPr>
          <w:noProof/>
          <w:sz w:val="16"/>
          <w:szCs w:val="16"/>
        </w:rPr>
        <w:lastRenderedPageBreak/>
        <w:drawing>
          <wp:inline distT="0" distB="0" distL="0" distR="0" wp14:anchorId="55797939" wp14:editId="5ED91AAF">
            <wp:extent cx="4402914" cy="5366909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S_Auth_y_Usuarios.png"/>
                    <pic:cNvPicPr/>
                  </pic:nvPicPr>
                  <pic:blipFill rotWithShape="1">
                    <a:blip r:embed="rId7"/>
                    <a:srcRect l="2461" t="2785" r="2581" b="2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640" cy="5375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7C6E3" w14:textId="77777777" w:rsidR="002839A8" w:rsidRPr="001917AE" w:rsidRDefault="00000000">
      <w:pPr>
        <w:jc w:val="center"/>
        <w:rPr>
          <w:sz w:val="16"/>
          <w:szCs w:val="16"/>
        </w:rPr>
      </w:pPr>
      <w:r w:rsidRPr="001917AE">
        <w:rPr>
          <w:sz w:val="16"/>
          <w:szCs w:val="16"/>
        </w:rPr>
        <w:t>Figura 2. Diagrama técnico de MS Auth y Usuarios.</w:t>
      </w:r>
    </w:p>
    <w:p w14:paraId="65924878" w14:textId="11502F72" w:rsidR="002839A8" w:rsidRPr="001917AE" w:rsidRDefault="00FE5C0B" w:rsidP="00676FCF">
      <w:pPr>
        <w:pStyle w:val="Heading2"/>
        <w:rPr>
          <w:sz w:val="24"/>
          <w:szCs w:val="24"/>
        </w:rPr>
      </w:pPr>
      <w:r>
        <w:t>3.2. MS Saldos y Abonos - Puerto 8082</w:t>
      </w:r>
    </w:p>
    <w:p w14:paraId="4C38D1C6" w14:textId="62D81614" w:rsidR="00FE5C0B" w:rsidRPr="001917AE" w:rsidRDefault="00FE5C0B" w:rsidP="00676FCF">
      <w:pPr>
        <w:rPr>
          <w:sz w:val="20"/>
          <w:szCs w:val="20"/>
        </w:rPr>
      </w:pPr>
      <w:r w:rsidRPr="001917AE">
        <w:rPr>
          <w:sz w:val="20"/>
          <w:szCs w:val="20"/>
        </w:rPr>
        <w:t>Administrará los alumnos, su relación con los apoderados y la cuenta de saldo de cada alumno.</w:t>
      </w:r>
      <w:r w:rsidR="000B5759" w:rsidRPr="001917AE">
        <w:rPr>
          <w:sz w:val="20"/>
          <w:szCs w:val="20"/>
        </w:rPr>
        <w:t xml:space="preserve"> El servicio debe conservar los movimientos que explican cómo se obtiene el saldo actual, no solamente almacenar un monto final.</w:t>
      </w:r>
    </w:p>
    <w:p w14:paraId="04CAAFA7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 xml:space="preserve">Alumno: RUT, primer nombre, segundo nombre (opcional), primer apellido, segundo apellido (opcional), fecha de nacimiento, curso y estado.</w:t>
      </w:r>
    </w:p>
    <w:p w14:paraId="6EC15BAD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 xml:space="preserve">Relación Apoderado-Alumno N:M: un alumno tiene uno o más apoderados y un apoderado uno o más alumnos; ninguno existe sin el otro. Las asociaciones no se eliminan: se desvinculan con fecha, responsable y motivo.</w:t>
      </w:r>
    </w:p>
    <w:p w14:paraId="0AE6FD07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>Cuenta de saldo del alumno.</w:t>
      </w:r>
    </w:p>
    <w:p w14:paraId="5A85AEB6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 xml:space="preserve">Historial de movimientos: abonos, compras, reservas, devoluciones de venta, devoluciones de saldo y ajustes.</w:t>
      </w:r>
    </w:p>
    <w:p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 xml:space="preserve">Devolución de saldo al retirarse el alumno o cambiarse de colegio: la entrega del dinero es manual, pero el Administrador la registra (apoderado receptor, monto, medio, comprobante y motivo); el saldo queda en cero y el alumno puede inactivarse.</w:t>
      </w:r>
    </w:p>
    <w:p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 xml:space="preserve">Alta en un solo paso (alumno + apoderado + asociación). Si falla la creación del usuario en MS Auth, se compensa y no queda ningún registro parcial.</w:t>
      </w:r>
    </w:p>
    <w:p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t>Alerta de saldo bajo evaluada dinámicamente mediante regla cruzoUmbralSaldoBajo() tras cada cobro, notificando a los apoderados vinculados sin requerir tabla persistente de alertas.</w:t>
      </w:r>
    </w:p>
    <w:p w14:paraId="422BB1C6" w14:textId="2246682D" w:rsidR="000B5759" w:rsidRPr="001917AE" w:rsidRDefault="00000000" w:rsidP="00676FCF">
      <w:pPr>
        <w:rPr>
          <w:sz w:val="20"/>
          <w:szCs w:val="20"/>
        </w:rPr>
      </w:pPr>
      <w:r>
        <w:t>Responsabilidad funcional: Cuentas de saldo por alumno, Invariante de saldo (saldoDisponible &gt;= 0), Abonos con pasarela simulada, token y bloqueo temporal, Liquidación de saldo por retiro del alumno y libro mayor inmutable de MovimientoSaldo. Base de datos propia: db_saldos. Historias relacionadas: HU20-HU23.</w:t>
      </w:r>
    </w:p>
    <w:p w14:paraId="214FDFF5" w14:textId="77777777" w:rsidR="000B5759" w:rsidRPr="001917AE" w:rsidRDefault="000B5759" w:rsidP="00676FCF">
      <w:pPr>
        <w:pStyle w:val="Heading3"/>
        <w:rPr>
          <w:sz w:val="22"/>
          <w:szCs w:val="22"/>
        </w:rPr>
      </w:pPr>
      <w:r w:rsidRPr="001917AE">
        <w:rPr>
          <w:sz w:val="22"/>
          <w:szCs w:val="22"/>
        </w:rPr>
        <w:t>Integraciones REST</w:t>
      </w:r>
    </w:p>
    <w:p w14:paraId="104F8A7B" w14:textId="77777777" w:rsidR="000B5759" w:rsidRPr="001917AE" w:rsidRDefault="000B5759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 xml:space="preserve">MS Alumnos y Saldos ↔ 8081 Auth y Usuarios: crear/reutilizar usuario Apoderado (apoderadoId).</w:t>
      </w:r>
    </w:p>
    <w:p w14:paraId="5680474E" w14:textId="77777777" w:rsidR="000B5759" w:rsidRPr="001917AE" w:rsidRDefault="000B5759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>MS Alumnos y Saldos ↔ 8084 Ventas y Reservas: reservar/liberar/finalizar saldo.</w:t>
      </w:r>
    </w:p>
    <w:p w14:paraId="059A1BD2" w14:textId="3F8CA5C1" w:rsidR="002839A8" w:rsidRPr="001917AE" w:rsidRDefault="000B5759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t>MS Saldos y Abonos ↔ 8099 API Gateway: consulta de saldo y acreditación/retención/cobro orquestado vía Gateway.</w:t>
      </w:r>
    </w:p>
    <w:p w14:paraId="0429F4ED" w14:textId="77777777" w:rsidR="002839A8" w:rsidRPr="001917AE" w:rsidRDefault="00000000">
      <w:pPr>
        <w:jc w:val="center"/>
        <w:rPr>
          <w:sz w:val="16"/>
          <w:szCs w:val="16"/>
        </w:rPr>
      </w:pPr>
      <w:r w:rsidRPr="001917AE">
        <w:rPr>
          <w:sz w:val="16"/>
          <w:szCs w:val="16"/>
        </w:rPr>
        <w:t>Figura 3. Diagrama técnico de MS Alumnos y Saldos.</w:t>
      </w:r>
    </w:p>
    <w:p w14:paraId="5FAB57FA" w14:textId="52B5EB61" w:rsidR="002839A8" w:rsidRPr="001917AE" w:rsidRDefault="00FE5C0B" w:rsidP="00676FCF">
      <w:pPr>
        <w:pStyle w:val="Heading2"/>
        <w:rPr>
          <w:sz w:val="24"/>
          <w:szCs w:val="24"/>
        </w:rPr>
      </w:pPr>
      <w:r w:rsidRPr="001917AE">
        <w:rPr>
          <w:sz w:val="24"/>
          <w:szCs w:val="24"/>
        </w:rPr>
        <w:t>3.3. MS Productos e Inventario - Puerto 8083</w:t>
      </w:r>
    </w:p>
    <w:p w14:paraId="273A3F63" w14:textId="77777777" w:rsidR="00FE5C0B" w:rsidRPr="001917AE" w:rsidRDefault="00FE5C0B" w:rsidP="00676FCF">
      <w:pPr>
        <w:rPr>
          <w:sz w:val="20"/>
          <w:szCs w:val="20"/>
        </w:rPr>
      </w:pPr>
      <w:r w:rsidRPr="001917AE">
        <w:rPr>
          <w:sz w:val="20"/>
          <w:szCs w:val="20"/>
        </w:rPr>
        <w:t>Será el único responsable del catálogo de productos y del stock.</w:t>
      </w:r>
    </w:p>
    <w:p w14:paraId="5C5652D2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>Productos, SKU y código de barras.</w:t>
      </w:r>
    </w:p>
    <w:p w14:paraId="76B4232B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>Categorías.</w:t>
      </w:r>
    </w:p>
    <w:p w14:paraId="77B62EF7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>Precio de venta y porcentaje de utilidad sobre costo.</w:t>
      </w:r>
    </w:p>
    <w:p w14:paraId="2334ADCC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>Stock físico, reservado y disponible.</w:t>
      </w:r>
    </w:p>
    <w:p w14:paraId="36FC2C86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>Stock crítico.</w:t>
      </w:r>
    </w:p>
    <w:p w14:paraId="0344DA1D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t>Ajustes de stock: el Encargado detecta la diferencia y solicita el ajuste (SolicitudAjusteStock); el Administrador revisa y aprueba o rechaza la solicitud de ajuste. Al aprobarse, se actualiza el stock físico y se genera el MovimientoInventario.</w:t>
      </w:r>
    </w:p>
    <w:p w14:paraId="03703E51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t>Ingreso manual de stock: el Encargado registra recepciones físicas de mercadería mediante IngresoStock y DetalleIngresoStock (con proveedor y documento de referencia como texto libre opcional).</w:t>
      </w:r>
    </w:p>
    <w:p w14:paraId="04134A40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t>Trazabilidad completa mediante MovimientoInventario para los 6 tipos (INGRESO, RESERVA, LIBERACION, ENTREGA, DEVOLUCION, AJUSTE).</w:t>
      </w:r>
    </w:p>
    <w:p w14:paraId="731432C8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>Valor stock a costo y valor stock a precio de venta.</w:t>
      </w:r>
    </w:p>
    <w:p w14:paraId="68ED26C8" w14:textId="77777777" w:rsidR="00FE5C0B" w:rsidRPr="001917AE" w:rsidRDefault="00FE5C0B" w:rsidP="00676FCF">
      <w:pPr>
        <w:rPr>
          <w:sz w:val="20"/>
          <w:szCs w:val="20"/>
        </w:rPr>
      </w:pPr>
      <w:r>
        <w:t>Precios y montos operan estrictamente en valores enteros (int en CLP) para compatibilidad con la moneda nacional y simplicidad operativa.</w:t>
      </w:r>
    </w:p>
    <w:p w14:paraId="1C42BF1D" w14:textId="77777777" w:rsidR="00FE5C0B" w:rsidRPr="001917AE" w:rsidRDefault="00000000" w:rsidP="00676FCF">
      <w:pPr>
        <w:rPr>
          <w:sz w:val="20"/>
          <w:szCs w:val="20"/>
        </w:rPr>
      </w:pPr>
      <w:r>
        <w:t>Responsabilidad funcional: CRUD producto/categoría, Stock físico/reservado/disponible, Invariante de stock (stockDisponible &gt;= 0), Ingreso manual de stock, Solicitudes de ajuste de stock y MovimientoInventario. Base de datos propia: db_inventario. Historias relacionadas: HU38-HU46.</w:t>
      </w:r>
    </w:p>
    <w:p w14:paraId="46071DF1" w14:textId="77777777" w:rsidR="000B5759" w:rsidRPr="001917AE" w:rsidRDefault="000B5759" w:rsidP="00676FCF">
      <w:pPr>
        <w:pStyle w:val="Heading3"/>
        <w:rPr>
          <w:sz w:val="22"/>
          <w:szCs w:val="22"/>
        </w:rPr>
      </w:pPr>
      <w:r w:rsidRPr="001917AE">
        <w:rPr>
          <w:sz w:val="22"/>
          <w:szCs w:val="22"/>
        </w:rPr>
        <w:lastRenderedPageBreak/>
        <w:t>Integraciones REST</w:t>
      </w:r>
    </w:p>
    <w:p w14:paraId="1A14911A" w14:textId="77777777" w:rsidR="000B5759" w:rsidRPr="001917AE" w:rsidRDefault="000B5759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>MS Productos e Inventario ↔ 8084 Ventas y Reservas: reservar/liberar/finalizar stock.</w:t>
      </w:r>
    </w:p>
    <w:p w14:paraId="220F512A" w14:textId="77777777" w:rsidR="000B5759" w:rsidRPr="001917AE" w:rsidRDefault="000B5759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t>MS Productos e Inventario ↔ 8099 API Gateway: verificación y descuento/reserva de stock orquestado vía Gateway.</w:t>
      </w:r>
    </w:p>
    <w:p w14:paraId="118C14D0" w14:textId="4EB7BB99" w:rsidR="000B5759" w:rsidRPr="001917AE" w:rsidRDefault="000B5759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/>
    </w:p>
    <w:p w14:paraId="7D0941CB" w14:textId="685EE9F8" w:rsidR="002839A8" w:rsidRPr="001917AE" w:rsidRDefault="00000000" w:rsidP="00FE5C0B">
      <w:pPr>
        <w:rPr>
          <w:sz w:val="16"/>
          <w:szCs w:val="16"/>
        </w:rPr>
      </w:pPr>
      <w:r w:rsidRPr="001917AE">
        <w:rPr>
          <w:noProof/>
          <w:sz w:val="16"/>
          <w:szCs w:val="16"/>
        </w:rPr>
        <w:drawing>
          <wp:inline distT="0" distB="0" distL="0" distR="0" wp14:anchorId="59D60BF6" wp14:editId="70392677">
            <wp:extent cx="5335132" cy="49552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S_Productos_e_Inventario.png"/>
                    <pic:cNvPicPr/>
                  </pic:nvPicPr>
                  <pic:blipFill rotWithShape="1">
                    <a:blip r:embed="rId9"/>
                    <a:srcRect l="1740" t="2790" r="2226" b="1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466" cy="4966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DF697" w14:textId="77777777" w:rsidR="002839A8" w:rsidRPr="001917AE" w:rsidRDefault="00000000">
      <w:pPr>
        <w:jc w:val="center"/>
        <w:rPr>
          <w:sz w:val="16"/>
          <w:szCs w:val="16"/>
        </w:rPr>
      </w:pPr>
      <w:r w:rsidRPr="001917AE">
        <w:rPr>
          <w:sz w:val="16"/>
          <w:szCs w:val="16"/>
        </w:rPr>
        <w:t>Figura 4. Diagrama técnico de MS Productos e Inventario.</w:t>
      </w:r>
    </w:p>
    <w:p w14:paraId="66844484" w14:textId="7DFCF70B" w:rsidR="002839A8" w:rsidRPr="001917AE" w:rsidRDefault="00FE5C0B" w:rsidP="00676FCF">
      <w:pPr>
        <w:pStyle w:val="Heading2"/>
        <w:rPr>
          <w:sz w:val="24"/>
          <w:szCs w:val="24"/>
        </w:rPr>
      </w:pPr>
      <w:r>
        <w:t>3.4. MS Reservas y Entregas - Puerto 8084</w:t>
      </w:r>
    </w:p>
    <w:p w14:paraId="6C9E5D86" w14:textId="77777777" w:rsidR="00FE5C0B" w:rsidRPr="001917AE" w:rsidRDefault="00FE5C0B" w:rsidP="00676FCF">
      <w:pPr>
        <w:rPr>
          <w:sz w:val="20"/>
          <w:szCs w:val="20"/>
        </w:rPr>
      </w:pPr>
      <w:r w:rsidRPr="001917AE">
        <w:rPr>
          <w:sz w:val="20"/>
          <w:szCs w:val="20"/>
        </w:rPr>
        <w:t>Gestionará las operaciones mediante las cuales los alumnos adquieren materiales.</w:t>
      </w:r>
    </w:p>
    <w:p w14:paraId="748A0016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 xml:space="preserve">Reservas realizadas por el apoderado (patrón cabecera-detalle: una reserva agrupa una o más líneas en DetalleReserva).</w:t>
      </w:r>
    </w:p>
    <w:p w14:paraId="6D32534F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t>Trazabilidad de preparación de reservas (HU31 CA2): registro de preparadaPorId y fechaPreparacion al armar el pedido.</w:t>
      </w:r>
    </w:p>
    <w:p w14:paraId="3EB2FFB3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>Entrega de reservas.</w:t>
      </w:r>
    </w:p>
    <w:p w14:paraId="7408558F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>Entrega directa.</w:t>
      </w:r>
    </w:p>
    <w:p w14:paraId="7EC73F7D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t>Entrega de materiales por concepto (agrupa líneas en DetalleEntrega): no existe facturación ni caja comercial abierta; consume saldo prepagado del alumno.</w:t>
      </w:r>
    </w:p>
    <w:p w14:paraId="3CDB9805" w14:textId="77777777" w:rsidR="00FE5C0B" w:rsidRPr="001917AE" w:rsidRDefault="00FE5C0B" w:rsidP="00676FCF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917AE">
        <w:rPr>
          <w:sz w:val="20"/>
          <w:szCs w:val="20"/>
        </w:rPr>
        <w:t>Devoluciones.</w:t>
      </w:r>
    </w:p>
    <w:p w14:paraId="4F63CA29" w14:textId="77777777" w:rsidR="00FE5C0B" w:rsidRPr="001917AE" w:rsidRDefault="00FE5C0B" w:rsidP="00676FCF">
      <w:pPr>
        <w:rPr>
          <w:sz w:val="20"/>
          <w:szCs w:val="20"/>
        </w:rPr>
      </w:pPr>
      <w:r w:rsidRPr="001917AE">
        <w:rPr>
          <w:sz w:val="20"/>
          <w:szCs w:val="20"/>
        </w:rPr>
        <w:t>Este servicio solicitará a Alumnos/Saldos la validación y movimiento del saldo, y a Productos/Inventario la validación y movimiento del stock. No modificará directamente las bases de datos de esos servicios.</w:t>
      </w:r>
    </w:p>
    <w:p w14:paraId="7B4566A6" w14:textId="77777777" w:rsidR="002839A8" w:rsidRPr="001917AE" w:rsidRDefault="00000000" w:rsidP="00676FCF">
      <w:pPr>
        <w:rPr>
          <w:sz w:val="20"/>
          <w:szCs w:val="20"/>
        </w:rPr>
      </w:pPr>
      <w:r>
        <w:t>Responsabilidad funcional: Carrito de reserva multilínea, DetalleReserva, Entrega y DetalleEntrega, Devolucion y DetalleDevolucion, Ciclo de reserva (PENDIENTE, LISTA_PARA_RETIRO, ENTREGADA, CANCELADA), Notificación interna por correo a apoderados. Base de datos propia: db_reservas. Historias relacionadas: HU24-HU37, HU47-HU49.</w:t>
      </w:r>
    </w:p>
    <w:p w14:paraId="4616ED3B" w14:textId="77777777" w:rsidR="000B5759" w:rsidRPr="001917AE" w:rsidRDefault="000B5759" w:rsidP="00676FCF">
      <w:pPr>
        <w:pStyle w:val="Heading3"/>
        <w:rPr>
          <w:sz w:val="22"/>
          <w:szCs w:val="22"/>
        </w:rPr>
      </w:pPr>
      <w:r w:rsidRPr="001917AE">
        <w:rPr>
          <w:sz w:val="22"/>
          <w:szCs w:val="22"/>
        </w:rPr>
        <w:lastRenderedPageBreak/>
        <w:t>Integraciones REST</w:t>
      </w:r>
    </w:p>
    <w:p w14:paraId="7897DBE1" w14:textId="77777777" w:rsidR="000B5759" w:rsidRPr="001917AE" w:rsidRDefault="000B5759" w:rsidP="00676FCF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1917AE">
        <w:rPr>
          <w:sz w:val="20"/>
          <w:szCs w:val="20"/>
        </w:rPr>
        <w:t>MS Ventas y Reservas ↔ 8082 Alumnos y Saldos: comprometer/liberar/debitar saldo.</w:t>
      </w:r>
    </w:p>
    <w:p w14:paraId="74DB32B5" w14:textId="77777777" w:rsidR="000B5759" w:rsidRPr="001917AE" w:rsidRDefault="000B5759" w:rsidP="00676FCF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1917AE">
        <w:rPr>
          <w:sz w:val="20"/>
          <w:szCs w:val="20"/>
        </w:rPr>
        <w:t>MS Ventas y Reservas ↔ 8083 Productos e Inventario: reservar/liberar/descontar/reponer stock.</w:t>
      </w:r>
    </w:p>
    <w:p w14:paraId="1AA1A3D5" w14:textId="0439ED79" w:rsidR="000B5759" w:rsidRPr="001917AE" w:rsidRDefault="000B5759" w:rsidP="00676FCF">
      <w:pPr>
        <w:pStyle w:val="ListParagraph"/>
        <w:numPr>
          <w:ilvl w:val="0"/>
          <w:numId w:val="14"/>
        </w:numPr>
        <w:rPr>
          <w:sz w:val="20"/>
          <w:szCs w:val="20"/>
        </w:rPr>
      </w:pPr>
      <w:r>
        <w:t>MS Reservas y Entregas ↔ 8099 API Gateway: validación de saldo y stock orquestada exclusivamente a través del Gateway.</w:t>
      </w:r>
    </w:p>
    <w:p w14:paraId="307FE152" w14:textId="77777777" w:rsidR="002839A8" w:rsidRPr="001917AE" w:rsidRDefault="00000000">
      <w:pPr>
        <w:jc w:val="center"/>
        <w:rPr>
          <w:sz w:val="16"/>
          <w:szCs w:val="16"/>
        </w:rPr>
      </w:pPr>
      <w:r w:rsidRPr="001917AE">
        <w:rPr>
          <w:noProof/>
          <w:sz w:val="16"/>
          <w:szCs w:val="16"/>
        </w:rPr>
        <w:drawing>
          <wp:inline distT="0" distB="0" distL="0" distR="0" wp14:anchorId="221719F2" wp14:editId="6B4B1395">
            <wp:extent cx="6400800" cy="59159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S_Ventas_y_Reserv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1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D9BC" w14:textId="77777777" w:rsidR="002839A8" w:rsidRPr="001917AE" w:rsidRDefault="00000000">
      <w:pPr>
        <w:jc w:val="center"/>
        <w:rPr>
          <w:sz w:val="16"/>
          <w:szCs w:val="16"/>
        </w:rPr>
      </w:pPr>
      <w:r w:rsidRPr="001917AE">
        <w:rPr>
          <w:sz w:val="16"/>
          <w:szCs w:val="16"/>
        </w:rPr>
        <w:t>Figura 5. Diagrama técnico de MS Ventas y Reservas.</w:t>
      </w:r>
    </w:p>
    <w:p w14:paraId="23700DFA" w14:textId="4EE795B3" w:rsidR="008F2B33" w:rsidRPr="001917AE" w:rsidRDefault="008F2B33" w:rsidP="00676FCF">
      <w:pPr>
        <w:pStyle w:val="Heading1"/>
        <w:rPr>
          <w:sz w:val="32"/>
          <w:szCs w:val="32"/>
        </w:rPr>
      </w:pPr>
      <w:r w:rsidRPr="001917AE">
        <w:rPr>
          <w:sz w:val="32"/>
          <w:szCs w:val="32"/>
        </w:rPr>
        <w:t>4. Flujos principales entre microservicios</w:t>
      </w:r>
    </w:p>
    <w:p w14:paraId="1CD5035E" w14:textId="7D2BA8EF" w:rsidR="008F2B33" w:rsidRPr="001917AE" w:rsidRDefault="008F2B33" w:rsidP="00676FCF">
      <w:pPr>
        <w:pStyle w:val="Heading2"/>
        <w:rPr>
          <w:sz w:val="24"/>
          <w:szCs w:val="24"/>
        </w:rPr>
      </w:pPr>
      <w:r>
        <w:t>4.1 Entrega de materiales</w:t>
      </w:r>
    </w:p>
    <w:p w14:paraId="32EEF4EE" w14:textId="77777777" w:rsidR="008F2B33" w:rsidRPr="001917AE" w:rsidRDefault="008F2B33" w:rsidP="00676FCF">
      <w:pPr>
        <w:rPr>
          <w:sz w:val="20"/>
          <w:szCs w:val="20"/>
        </w:rPr>
      </w:pPr>
      <w:r>
        <w:t>React → Gateway → Reservas y Entregas. Para el retiro de una reserva lista o una entrega presencial directa en mesón, el sistema descuenta el saldo del alumno en MS Saldos y descuenta el stock físico en MS Inventario a través del Gateway, generando la Entrega y notificando por correo a los apoderados vinculados al alumno.</w:t>
      </w:r>
    </w:p>
    <w:p w14:paraId="62783CC6" w14:textId="1E4DF2B2" w:rsidR="008F2B33" w:rsidRPr="001917AE" w:rsidRDefault="008F2B33" w:rsidP="00676FCF">
      <w:pPr>
        <w:pStyle w:val="Heading2"/>
        <w:rPr>
          <w:sz w:val="24"/>
          <w:szCs w:val="24"/>
        </w:rPr>
      </w:pPr>
      <w:r>
        <w:t>4.2 Solicitud y aprobación de ajuste de stock</w:t>
      </w:r>
    </w:p>
    <w:p w14:paraId="39C061BB" w14:textId="77777777" w:rsidR="008F2B33" w:rsidRPr="001917AE" w:rsidRDefault="008F2B33" w:rsidP="00676FCF">
      <w:pPr>
        <w:rPr>
          <w:sz w:val="20"/>
          <w:szCs w:val="20"/>
        </w:rPr>
      </w:pPr>
      <w:r>
        <w:t>El Encargado detecta una diferencia en el stock físico y crea una SolicitudAjusteStock en MS Inventario indicando producto, cantidad y motivo. La solicitud queda en estado PENDIENTE. El Administrador revisa la solicitud en su panel y la aprueba o rechaza. Solo al aprobarse se ejecuta Producto.aplicarAjusteAprobado(), descontando o incrementando el stock físico y registrando el MovimientoInventario.</w:t>
      </w:r>
    </w:p>
    <w:p w14:paraId="061A4BD7" w14:textId="387ED959" w:rsidR="008F2B33" w:rsidRPr="001917AE" w:rsidRDefault="00E92101" w:rsidP="00676FCF">
      <w:pPr>
        <w:pStyle w:val="Heading1"/>
        <w:rPr>
          <w:sz w:val="32"/>
          <w:szCs w:val="32"/>
        </w:rPr>
      </w:pPr>
      <w:r w:rsidRPr="001917AE">
        <w:rPr>
          <w:sz w:val="32"/>
          <w:szCs w:val="32"/>
        </w:rPr>
        <w:lastRenderedPageBreak/>
        <w:t>5</w:t>
      </w:r>
      <w:r w:rsidR="008F2B33" w:rsidRPr="001917AE">
        <w:rPr>
          <w:sz w:val="32"/>
          <w:szCs w:val="32"/>
        </w:rPr>
        <w:t>. Organización interna sugerida de Spring Boot</w:t>
      </w:r>
    </w:p>
    <w:p w14:paraId="39DC2C9B" w14:textId="77777777" w:rsidR="008F2B33" w:rsidRPr="001917AE" w:rsidRDefault="008F2B33" w:rsidP="008A2EB0">
      <w:pPr>
        <w:rPr>
          <w:sz w:val="12"/>
          <w:szCs w:val="20"/>
        </w:rPr>
      </w:pPr>
      <w:r w:rsidRPr="001917AE">
        <w:rPr>
          <w:sz w:val="20"/>
          <w:szCs w:val="20"/>
        </w:rPr>
        <w:t>src/main/java/.../</w:t>
      </w:r>
      <w:r w:rsidRPr="001917AE">
        <w:rPr>
          <w:sz w:val="20"/>
          <w:szCs w:val="20"/>
        </w:rPr>
        <w:br/>
      </w:r>
      <w:r w:rsidRPr="001917AE">
        <w:rPr>
          <w:rFonts w:ascii="MS Gothic" w:eastAsia="MS Gothic" w:hAnsi="MS Gothic" w:cs="MS Gothic" w:hint="eastAsia"/>
          <w:sz w:val="20"/>
          <w:szCs w:val="20"/>
        </w:rPr>
        <w:t>├</w:t>
      </w:r>
      <w:r w:rsidRPr="001917AE">
        <w:rPr>
          <w:rFonts w:cs="Aptos"/>
          <w:sz w:val="20"/>
          <w:szCs w:val="20"/>
        </w:rPr>
        <w:t>──</w:t>
      </w:r>
      <w:r w:rsidRPr="001917AE">
        <w:rPr>
          <w:sz w:val="20"/>
          <w:szCs w:val="20"/>
        </w:rPr>
        <w:t xml:space="preserve"> controller/</w:t>
      </w:r>
      <w:r w:rsidRPr="001917AE">
        <w:rPr>
          <w:sz w:val="20"/>
          <w:szCs w:val="20"/>
        </w:rPr>
        <w:br/>
      </w:r>
      <w:r w:rsidRPr="001917AE">
        <w:rPr>
          <w:rFonts w:ascii="MS Gothic" w:eastAsia="MS Gothic" w:hAnsi="MS Gothic" w:cs="MS Gothic" w:hint="eastAsia"/>
          <w:sz w:val="20"/>
          <w:szCs w:val="20"/>
        </w:rPr>
        <w:t>├</w:t>
      </w:r>
      <w:r w:rsidRPr="001917AE">
        <w:rPr>
          <w:rFonts w:cs="Aptos"/>
          <w:sz w:val="20"/>
          <w:szCs w:val="20"/>
        </w:rPr>
        <w:t>──</w:t>
      </w:r>
      <w:r w:rsidRPr="001917AE">
        <w:rPr>
          <w:sz w:val="20"/>
          <w:szCs w:val="20"/>
        </w:rPr>
        <w:t xml:space="preserve"> service/</w:t>
      </w:r>
      <w:r w:rsidRPr="001917AE">
        <w:rPr>
          <w:sz w:val="20"/>
          <w:szCs w:val="20"/>
        </w:rPr>
        <w:br/>
      </w:r>
      <w:r w:rsidRPr="001917AE">
        <w:rPr>
          <w:rFonts w:ascii="MS Gothic" w:eastAsia="MS Gothic" w:hAnsi="MS Gothic" w:cs="MS Gothic" w:hint="eastAsia"/>
          <w:sz w:val="20"/>
          <w:szCs w:val="20"/>
        </w:rPr>
        <w:t>├</w:t>
      </w:r>
      <w:r w:rsidRPr="001917AE">
        <w:rPr>
          <w:rFonts w:cs="Aptos"/>
          <w:sz w:val="20"/>
          <w:szCs w:val="20"/>
        </w:rPr>
        <w:t>──</w:t>
      </w:r>
      <w:r w:rsidRPr="001917AE">
        <w:rPr>
          <w:sz w:val="20"/>
          <w:szCs w:val="20"/>
        </w:rPr>
        <w:t xml:space="preserve"> repository/</w:t>
      </w:r>
      <w:r w:rsidRPr="001917AE">
        <w:rPr>
          <w:sz w:val="20"/>
          <w:szCs w:val="20"/>
        </w:rPr>
        <w:br/>
      </w:r>
      <w:r w:rsidRPr="001917AE">
        <w:rPr>
          <w:rFonts w:ascii="MS Gothic" w:eastAsia="MS Gothic" w:hAnsi="MS Gothic" w:cs="MS Gothic" w:hint="eastAsia"/>
          <w:sz w:val="20"/>
          <w:szCs w:val="20"/>
        </w:rPr>
        <w:t>├</w:t>
      </w:r>
      <w:r w:rsidRPr="001917AE">
        <w:rPr>
          <w:rFonts w:cs="Aptos"/>
          <w:sz w:val="20"/>
          <w:szCs w:val="20"/>
        </w:rPr>
        <w:t>──</w:t>
      </w:r>
      <w:r w:rsidRPr="001917AE">
        <w:rPr>
          <w:sz w:val="20"/>
          <w:szCs w:val="20"/>
        </w:rPr>
        <w:t xml:space="preserve"> model/ (o entity/)</w:t>
      </w:r>
      <w:r w:rsidRPr="001917AE">
        <w:rPr>
          <w:sz w:val="20"/>
          <w:szCs w:val="20"/>
        </w:rPr>
        <w:br/>
      </w:r>
      <w:r w:rsidRPr="001917AE">
        <w:rPr>
          <w:rFonts w:ascii="MS Gothic" w:eastAsia="MS Gothic" w:hAnsi="MS Gothic" w:cs="MS Gothic" w:hint="eastAsia"/>
          <w:sz w:val="20"/>
          <w:szCs w:val="20"/>
        </w:rPr>
        <w:t>├</w:t>
      </w:r>
      <w:r w:rsidRPr="001917AE">
        <w:rPr>
          <w:rFonts w:cs="Aptos"/>
          <w:sz w:val="20"/>
          <w:szCs w:val="20"/>
        </w:rPr>
        <w:t>──</w:t>
      </w:r>
      <w:r w:rsidRPr="001917AE">
        <w:rPr>
          <w:sz w:val="20"/>
          <w:szCs w:val="20"/>
        </w:rPr>
        <w:t xml:space="preserve"> dto/</w:t>
      </w:r>
      <w:r w:rsidRPr="001917AE">
        <w:rPr>
          <w:sz w:val="20"/>
          <w:szCs w:val="20"/>
        </w:rPr>
        <w:br/>
      </w:r>
      <w:r w:rsidRPr="001917AE">
        <w:rPr>
          <w:rFonts w:ascii="MS Gothic" w:eastAsia="MS Gothic" w:hAnsi="MS Gothic" w:cs="MS Gothic" w:hint="eastAsia"/>
          <w:sz w:val="20"/>
          <w:szCs w:val="20"/>
        </w:rPr>
        <w:t>├</w:t>
      </w:r>
      <w:r w:rsidRPr="001917AE">
        <w:rPr>
          <w:rFonts w:cs="Aptos"/>
          <w:sz w:val="20"/>
          <w:szCs w:val="20"/>
        </w:rPr>
        <w:t>──</w:t>
      </w:r>
      <w:r w:rsidRPr="001917AE">
        <w:rPr>
          <w:sz w:val="20"/>
          <w:szCs w:val="20"/>
        </w:rPr>
        <w:t xml:space="preserve"> exception/</w:t>
      </w:r>
      <w:r w:rsidRPr="001917AE">
        <w:rPr>
          <w:sz w:val="20"/>
          <w:szCs w:val="20"/>
        </w:rPr>
        <w:br/>
      </w:r>
      <w:r w:rsidRPr="001917AE">
        <w:rPr>
          <w:rFonts w:ascii="MS Gothic" w:eastAsia="MS Gothic" w:hAnsi="MS Gothic" w:cs="MS Gothic" w:hint="eastAsia"/>
          <w:sz w:val="20"/>
          <w:szCs w:val="20"/>
        </w:rPr>
        <w:t>├</w:t>
      </w:r>
      <w:r w:rsidRPr="001917AE">
        <w:rPr>
          <w:rFonts w:cs="Aptos"/>
          <w:sz w:val="20"/>
          <w:szCs w:val="20"/>
        </w:rPr>
        <w:t>──</w:t>
      </w:r>
      <w:r w:rsidRPr="001917AE">
        <w:rPr>
          <w:sz w:val="20"/>
          <w:szCs w:val="20"/>
        </w:rPr>
        <w:t xml:space="preserve"> config/</w:t>
      </w:r>
      <w:r w:rsidRPr="001917AE">
        <w:rPr>
          <w:sz w:val="20"/>
          <w:szCs w:val="20"/>
        </w:rPr>
        <w:br/>
        <w:t>└── client/       ← llamadas a otros microservicios cuando corresponda</w:t>
      </w:r>
    </w:p>
    <w:p w14:paraId="45CEA3D5" w14:textId="1FE88B00" w:rsidR="008F2B33" w:rsidRPr="001917AE" w:rsidRDefault="008F2B33" w:rsidP="008A2EB0">
      <w:pPr>
        <w:rPr>
          <w:sz w:val="20"/>
          <w:szCs w:val="20"/>
        </w:rPr>
      </w:pPr>
      <w:r w:rsidRPr="001917AE">
        <w:rPr>
          <w:sz w:val="20"/>
          <w:szCs w:val="20"/>
        </w:rPr>
        <w:t xml:space="preserve">Dentro de un mismo microservicio se pueden separar paquetes por subdominio. Por ejemplo, Productos e Inventario puede organizar internamente producto, </w:t>
      </w:r>
      <w:r w:rsidR="001917AE" w:rsidRPr="001917AE">
        <w:rPr>
          <w:sz w:val="20"/>
          <w:szCs w:val="20"/>
        </w:rPr>
        <w:t>categoría</w:t>
      </w:r>
      <w:r w:rsidRPr="001917AE">
        <w:rPr>
          <w:sz w:val="20"/>
          <w:szCs w:val="20"/>
        </w:rPr>
        <w:t xml:space="preserve">, stock, movimiento, ajuste e </w:t>
      </w:r>
      <w:r w:rsidR="001917AE" w:rsidRPr="001917AE">
        <w:rPr>
          <w:sz w:val="20"/>
          <w:szCs w:val="20"/>
        </w:rPr>
        <w:t>inventario físico</w:t>
      </w:r>
      <w:r w:rsidRPr="001917AE">
        <w:rPr>
          <w:sz w:val="20"/>
          <w:szCs w:val="20"/>
        </w:rPr>
        <w:t xml:space="preserve"> sin necesidad de crear un microservicio adicional.</w:t>
      </w:r>
    </w:p>
    <w:p w14:paraId="0AC8F080" w14:textId="5C0BB1D7" w:rsidR="00676FCF" w:rsidRPr="001917AE" w:rsidRDefault="00723C7A" w:rsidP="00676FCF">
      <w:pPr>
        <w:pStyle w:val="Heading1"/>
        <w:rPr>
          <w:sz w:val="32"/>
          <w:szCs w:val="32"/>
        </w:rPr>
      </w:pPr>
      <w:r w:rsidRPr="001917AE">
        <w:rPr>
          <w:sz w:val="32"/>
          <w:szCs w:val="32"/>
        </w:rPr>
        <w:t xml:space="preserve">6. </w:t>
      </w:r>
      <w:r w:rsidR="00676FCF" w:rsidRPr="001917AE">
        <w:rPr>
          <w:sz w:val="32"/>
          <w:szCs w:val="32"/>
        </w:rPr>
        <w:t>Próximos pasos</w:t>
      </w:r>
    </w:p>
    <w:p w14:paraId="59BF1DAA" w14:textId="77777777" w:rsidR="00676FCF" w:rsidRPr="001917AE" w:rsidRDefault="00676FCF" w:rsidP="008A2EB0">
      <w:pPr>
        <w:rPr>
          <w:sz w:val="20"/>
          <w:szCs w:val="20"/>
        </w:rPr>
      </w:pPr>
      <w:r>
        <w:t>1. Definir entidades y tablas de cada uno de los cuatro microservicios.</w:t>
      </w:r>
    </w:p>
    <w:p w14:paraId="13E1E152" w14:textId="77777777" w:rsidR="00676FCF" w:rsidRPr="001917AE" w:rsidRDefault="00676FCF" w:rsidP="008A2EB0">
      <w:pPr>
        <w:rPr>
          <w:sz w:val="20"/>
          <w:szCs w:val="20"/>
        </w:rPr>
      </w:pPr>
      <w:r w:rsidRPr="001917AE">
        <w:rPr>
          <w:sz w:val="20"/>
          <w:szCs w:val="20"/>
        </w:rPr>
        <w:t>2. Definir relaciones internas y referencias entre servicios.</w:t>
      </w:r>
    </w:p>
    <w:p w14:paraId="5B8DC31B" w14:textId="4477E59A" w:rsidR="00676FCF" w:rsidRPr="001917AE" w:rsidRDefault="00676FCF" w:rsidP="008A2EB0">
      <w:pPr>
        <w:rPr>
          <w:sz w:val="20"/>
          <w:szCs w:val="20"/>
        </w:rPr>
      </w:pPr>
      <w:r w:rsidRPr="001917AE">
        <w:rPr>
          <w:sz w:val="20"/>
          <w:szCs w:val="20"/>
        </w:rPr>
        <w:t>3. Definir endpoints REST necesarios para reproducir los procesos del prototip</w:t>
      </w:r>
      <w:r w:rsidR="00723C7A" w:rsidRPr="001917AE">
        <w:rPr>
          <w:sz w:val="20"/>
          <w:szCs w:val="20"/>
        </w:rPr>
        <w:t>o</w:t>
      </w:r>
      <w:r w:rsidRPr="001917AE">
        <w:rPr>
          <w:sz w:val="20"/>
          <w:szCs w:val="20"/>
        </w:rPr>
        <w:t>.</w:t>
      </w:r>
    </w:p>
    <w:p w14:paraId="6882C51D" w14:textId="77777777" w:rsidR="00676FCF" w:rsidRPr="001917AE" w:rsidRDefault="00676FCF" w:rsidP="008A2EB0">
      <w:pPr>
        <w:rPr>
          <w:sz w:val="20"/>
          <w:szCs w:val="20"/>
        </w:rPr>
      </w:pPr>
      <w:r w:rsidRPr="001917AE">
        <w:rPr>
          <w:sz w:val="20"/>
          <w:szCs w:val="20"/>
        </w:rPr>
        <w:t>4. Definir qué integraciones serán síncronas entre microservicios.</w:t>
      </w:r>
    </w:p>
    <w:p w14:paraId="7BD0CF5C" w14:textId="77777777" w:rsidR="00676FCF" w:rsidRPr="001917AE" w:rsidRDefault="00676FCF" w:rsidP="008A2EB0">
      <w:pPr>
        <w:rPr>
          <w:sz w:val="20"/>
          <w:szCs w:val="20"/>
        </w:rPr>
      </w:pPr>
      <w:r w:rsidRPr="001917AE">
        <w:rPr>
          <w:sz w:val="20"/>
          <w:szCs w:val="20"/>
        </w:rPr>
        <w:t>5. Crear los proyectos Spring Boot y el API Gateway.</w:t>
      </w:r>
    </w:p>
    <w:p w14:paraId="14AFF6DC" w14:textId="77777777" w:rsidR="00676FCF" w:rsidRPr="001917AE" w:rsidRDefault="00676FCF" w:rsidP="008A2EB0">
      <w:pPr>
        <w:rPr>
          <w:sz w:val="20"/>
          <w:szCs w:val="20"/>
        </w:rPr>
      </w:pPr>
      <w:r w:rsidRPr="001917AE">
        <w:rPr>
          <w:sz w:val="20"/>
          <w:szCs w:val="20"/>
        </w:rPr>
        <w:t>6. Configurar bases de datos independientes.</w:t>
      </w:r>
    </w:p>
    <w:p w14:paraId="3D9E01E8" w14:textId="77777777" w:rsidR="00676FCF" w:rsidRPr="001917AE" w:rsidRDefault="00676FCF" w:rsidP="008A2EB0">
      <w:pPr>
        <w:rPr>
          <w:sz w:val="20"/>
          <w:szCs w:val="20"/>
        </w:rPr>
      </w:pPr>
      <w:r w:rsidRPr="001917AE">
        <w:rPr>
          <w:sz w:val="20"/>
          <w:szCs w:val="20"/>
        </w:rPr>
        <w:t>7. Implementar y probar los servicios con Postman/Swagger.</w:t>
      </w:r>
    </w:p>
    <w:p w14:paraId="73792D3A" w14:textId="0DCE443F" w:rsidR="00676FCF" w:rsidRPr="009144D6" w:rsidRDefault="00676FCF" w:rsidP="00A847E8">
      <w:pPr>
        <w:rPr>
          <w:sz w:val="20"/>
          <w:szCs w:val="20"/>
        </w:rPr>
      </w:pPr>
      <w:r w:rsidRPr="001917AE">
        <w:rPr>
          <w:sz w:val="20"/>
          <w:szCs w:val="20"/>
        </w:rPr>
        <w:t>8. Construir las páginas React consumiendo el Gateway.</w:t>
      </w:r>
    </w:p>
    <w:sectPr w:rsidR="00676FCF" w:rsidRPr="009144D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D3496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937E7"/>
    <w:multiLevelType w:val="hybridMultilevel"/>
    <w:tmpl w:val="A75C0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9529F1"/>
    <w:multiLevelType w:val="hybridMultilevel"/>
    <w:tmpl w:val="979E0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FA33CD"/>
    <w:multiLevelType w:val="hybridMultilevel"/>
    <w:tmpl w:val="E4646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A44ADF"/>
    <w:multiLevelType w:val="hybridMultilevel"/>
    <w:tmpl w:val="2BD63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CB0C70"/>
    <w:multiLevelType w:val="hybridMultilevel"/>
    <w:tmpl w:val="D96C9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20053D"/>
    <w:multiLevelType w:val="hybridMultilevel"/>
    <w:tmpl w:val="C6C88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3E3E1F"/>
    <w:multiLevelType w:val="hybridMultilevel"/>
    <w:tmpl w:val="5FB07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CA5B43"/>
    <w:multiLevelType w:val="hybridMultilevel"/>
    <w:tmpl w:val="B31CE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076FE6"/>
    <w:multiLevelType w:val="hybridMultilevel"/>
    <w:tmpl w:val="3E7C6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7106ED"/>
    <w:multiLevelType w:val="hybridMultilevel"/>
    <w:tmpl w:val="D8EC6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A9281C"/>
    <w:multiLevelType w:val="hybridMultilevel"/>
    <w:tmpl w:val="E1340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00901">
    <w:abstractNumId w:val="8"/>
  </w:num>
  <w:num w:numId="2" w16cid:durableId="1705128403">
    <w:abstractNumId w:val="6"/>
  </w:num>
  <w:num w:numId="3" w16cid:durableId="1248029820">
    <w:abstractNumId w:val="5"/>
  </w:num>
  <w:num w:numId="4" w16cid:durableId="608396057">
    <w:abstractNumId w:val="4"/>
  </w:num>
  <w:num w:numId="5" w16cid:durableId="882601651">
    <w:abstractNumId w:val="7"/>
  </w:num>
  <w:num w:numId="6" w16cid:durableId="286856862">
    <w:abstractNumId w:val="3"/>
  </w:num>
  <w:num w:numId="7" w16cid:durableId="1989364294">
    <w:abstractNumId w:val="2"/>
  </w:num>
  <w:num w:numId="8" w16cid:durableId="1736783263">
    <w:abstractNumId w:val="1"/>
  </w:num>
  <w:num w:numId="9" w16cid:durableId="859247191">
    <w:abstractNumId w:val="0"/>
  </w:num>
  <w:num w:numId="10" w16cid:durableId="1635601903">
    <w:abstractNumId w:val="10"/>
  </w:num>
  <w:num w:numId="11" w16cid:durableId="1464616949">
    <w:abstractNumId w:val="18"/>
  </w:num>
  <w:num w:numId="12" w16cid:durableId="960457889">
    <w:abstractNumId w:val="15"/>
  </w:num>
  <w:num w:numId="13" w16cid:durableId="2098359324">
    <w:abstractNumId w:val="17"/>
  </w:num>
  <w:num w:numId="14" w16cid:durableId="870920488">
    <w:abstractNumId w:val="12"/>
  </w:num>
  <w:num w:numId="15" w16cid:durableId="515072395">
    <w:abstractNumId w:val="19"/>
  </w:num>
  <w:num w:numId="16" w16cid:durableId="353969178">
    <w:abstractNumId w:val="16"/>
  </w:num>
  <w:num w:numId="17" w16cid:durableId="1304312899">
    <w:abstractNumId w:val="13"/>
  </w:num>
  <w:num w:numId="18" w16cid:durableId="1680890999">
    <w:abstractNumId w:val="9"/>
  </w:num>
  <w:num w:numId="19" w16cid:durableId="2070615908">
    <w:abstractNumId w:val="14"/>
  </w:num>
  <w:num w:numId="20" w16cid:durableId="4711396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DCF"/>
    <w:rsid w:val="000B5759"/>
    <w:rsid w:val="0012101D"/>
    <w:rsid w:val="0015074B"/>
    <w:rsid w:val="001917AE"/>
    <w:rsid w:val="001E555C"/>
    <w:rsid w:val="001F26B2"/>
    <w:rsid w:val="002839A8"/>
    <w:rsid w:val="0029639D"/>
    <w:rsid w:val="00326F90"/>
    <w:rsid w:val="003E6A76"/>
    <w:rsid w:val="004026A5"/>
    <w:rsid w:val="00423DC3"/>
    <w:rsid w:val="00437CD7"/>
    <w:rsid w:val="00467C01"/>
    <w:rsid w:val="00584151"/>
    <w:rsid w:val="00676FCF"/>
    <w:rsid w:val="006944CA"/>
    <w:rsid w:val="006D7578"/>
    <w:rsid w:val="00723C7A"/>
    <w:rsid w:val="00760B41"/>
    <w:rsid w:val="007B7278"/>
    <w:rsid w:val="008A2EB0"/>
    <w:rsid w:val="008F2B33"/>
    <w:rsid w:val="009144D6"/>
    <w:rsid w:val="00A770B6"/>
    <w:rsid w:val="00A847E8"/>
    <w:rsid w:val="00AA1D8D"/>
    <w:rsid w:val="00AB53FD"/>
    <w:rsid w:val="00B47730"/>
    <w:rsid w:val="00B83838"/>
    <w:rsid w:val="00C429E5"/>
    <w:rsid w:val="00CB0664"/>
    <w:rsid w:val="00D04C76"/>
    <w:rsid w:val="00D522FB"/>
    <w:rsid w:val="00E92101"/>
    <w:rsid w:val="00F02AC2"/>
    <w:rsid w:val="00FC693F"/>
    <w:rsid w:val="00FE5C0B"/>
    <w:rsid w:val="00FF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164BD2"/>
  <w14:defaultImageDpi w14:val="330"/>
  <w15:docId w15:val="{424FE547-607A-4E7A-AF2F-B7E8FB8A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01D"/>
    <w:rPr>
      <w:lang w:val="es-C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1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1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12101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21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101D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21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21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01D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01D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101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uiPriority w:val="22"/>
    <w:qFormat/>
    <w:rsid w:val="0012101D"/>
    <w:rPr>
      <w:b/>
      <w:bCs/>
    </w:rPr>
  </w:style>
  <w:style w:type="character" w:styleId="Emphasis">
    <w:name w:val="Emphasis"/>
    <w:uiPriority w:val="20"/>
    <w:qFormat/>
    <w:rsid w:val="0012101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01D"/>
    <w:rPr>
      <w:i/>
      <w:iCs/>
      <w:color w:val="0F4761" w:themeColor="accent1" w:themeShade="BF"/>
    </w:rPr>
  </w:style>
  <w:style w:type="character" w:styleId="SubtleEmphasis">
    <w:name w:val="Subtle Emphasis"/>
    <w:uiPriority w:val="19"/>
    <w:qFormat/>
    <w:rsid w:val="0012101D"/>
    <w:rPr>
      <w:i/>
      <w:iCs/>
      <w:color w:val="404040" w:themeColor="text1" w:themeTint="BF"/>
    </w:rPr>
  </w:style>
  <w:style w:type="character" w:styleId="IntenseEmphasis">
    <w:name w:val="Intense Emphasis"/>
    <w:uiPriority w:val="21"/>
    <w:qFormat/>
    <w:rsid w:val="0012101D"/>
    <w:rPr>
      <w:i/>
      <w:iCs/>
      <w:color w:val="0F4761" w:themeColor="accent1" w:themeShade="BF"/>
    </w:rPr>
  </w:style>
  <w:style w:type="character" w:styleId="SubtleReference">
    <w:name w:val="Subtle Reference"/>
    <w:uiPriority w:val="31"/>
    <w:qFormat/>
    <w:rsid w:val="0012101D"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sid w:val="0012101D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uiPriority w:val="33"/>
    <w:qFormat/>
    <w:rsid w:val="0012101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101D"/>
    <w:pPr>
      <w:spacing w:before="240" w:after="0"/>
      <w:outlineLvl w:val="9"/>
    </w:pPr>
    <w:rPr>
      <w:sz w:val="32"/>
      <w:szCs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11</Pages>
  <Words>2080</Words>
  <Characters>11858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>generated by python-docx</dc:description>
  <cp:lastModifiedBy>Antonio</cp:lastModifiedBy>
  <cp:revision>26</cp:revision>
  <dcterms:created xsi:type="dcterms:W3CDTF">2013-12-23T23:15:00Z</dcterms:created>
  <dcterms:modified xsi:type="dcterms:W3CDTF">2026-10-08T12:16:00Z</dcterms:modified>
  <cp:category/>
</cp:coreProperties>
</file>