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AI-Powered Smart Grid Education for Ukraine's Energy Resilience (AI-SmartGrid)</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r>
        <w:rPr>
          <w:rFonts w:ascii="Arial" w:hAnsi="Arial"/>
          <w:color w:val="000000"/>
          <w:sz w:val="22"/>
        </w:rPr>
        <w:t>**1.1 Контекст та потреби проєкту**</w:t>
      </w:r>
    </w:p>
    <w:p>
      <w:pPr/>
      <w:r>
        <w:rPr>
          <w:rFonts w:ascii="Arial" w:hAnsi="Arial"/>
          <w:color w:val="000000"/>
          <w:sz w:val="22"/>
        </w:rPr>
        <w:t>**Руйнування енергетичної інфраструктури України: масштаб кризи**</w:t>
      </w:r>
    </w:p>
    <w:p>
      <w:pPr/>
      <w:r>
        <w:rPr>
          <w:rFonts w:ascii="Arial" w:hAnsi="Arial"/>
          <w:color w:val="000000"/>
          <w:sz w:val="22"/>
        </w:rPr>
        <w:t>Повномасштабне вторгнення Російської Федерації в Україну спричинило безпрецедентне руйнування національної енергетичної системи. Станом на початок 2025 року понад 70% потужностей теплової генерації, близько 50% гідрогенерації та значна частина магістральних електромереж виведені з ладу або суттєво пошкоджені внаслідок цілеспрямованих ракетних ударів і атак безпілотників [1, 2]. За оцінками Світового банку та Ukrenergo, сукупний збиток енергетичній інфраструктурі перевищує 10 млрд доларів США, а вартість повної відбудови енергосистеми сягає 47 млрд доларів [3]. Масові блекаути — по 8–12 годин на добу у пікові зимові місяці — стали системним явищем, яке безпосередньо загрожує функціонуванню критичної інфраструктури, закладів охорони здоров'я та освіти.</w:t>
      </w:r>
    </w:p>
    <w:p>
      <w:pPr/>
      <w:r>
        <w:rPr>
          <w:rFonts w:ascii="Arial" w:hAnsi="Arial"/>
          <w:color w:val="000000"/>
          <w:sz w:val="22"/>
        </w:rPr>
        <w:t>Запорізька область є особливо критичним регіоном: тут розташована Запорізька атомна електростанція (ЗАЕС) — найбільша в Європі, яка з вересня 2022 року перебуває під окупацією та відключена від енергосистеми країни. Область зазнала одних із найважчих втрат енергетичної інфраструктури — знищено ключові підстанції та розподільчі мережі, розірвано традиційні маршрути передачі електроенергії. Відбудова Запорізького регіону потребує принципово нових підходів до проєктування, управління та захисту децентралізованих електромереж із високою часткою відновлюваних джерел енергії (ВДЕ).</w:t>
      </w:r>
    </w:p>
    <w:p>
      <w:pPr/>
      <w:r>
        <w:rPr>
          <w:rFonts w:ascii="Arial" w:hAnsi="Arial"/>
          <w:color w:val="000000"/>
          <w:sz w:val="22"/>
        </w:rPr>
        <w:t>**Стратегічна необхідність: від відновлення до зеленої трансформації**</w:t>
      </w:r>
    </w:p>
    <w:p>
      <w:pPr/>
      <w:r>
        <w:rPr>
          <w:rFonts w:ascii="Arial" w:hAnsi="Arial"/>
          <w:color w:val="000000"/>
          <w:sz w:val="22"/>
        </w:rPr>
        <w:t>Міжнародні партнери та уряд України закріпили принцип «будувати краще, ніж було» (Build Back Better) як ключовий вектор відбудови [4]. Відповідно до Національного плану відновлення України, нова енергосистема країни має забезпечити частку ВДЕ не менше 25% до 2030 року та 65% до 2050 року, що відповідає Зеленій угоді ЄС та умовам євроінтеграції [5]. Проте реалізація цієї амбіції технологічно принципово складніша за просте відновлення зруйнованих об'єктів: інтеграція масштабної розподіленої генерації (сонячні, вітрові установки, малі ГЕС), резервних систем зберігання енергії та споживачів із гнучким попитом вимагає впровадження технологій «розумних мереж» (smart grid) та інтелектуальних систем управління на основі штучного інтелекту (ШІ) і машинного навчання (МН).</w:t>
      </w:r>
    </w:p>
    <w:p>
      <w:pPr/>
      <w:r>
        <w:rPr>
          <w:rFonts w:ascii="Arial" w:hAnsi="Arial"/>
          <w:color w:val="000000"/>
          <w:sz w:val="22"/>
        </w:rPr>
        <w:t>Без кваліфікованих фахівців, здатних проєктувати, навчати та обслуговувати інтелектуальні енергосистеми нового покоління, технічна і фінансова допомога міжнародного співтовариства не матиме сталого ефекту. Саме тут криється ключовий розрив.</w:t>
      </w:r>
    </w:p>
    <w:p>
      <w:pPr/>
      <w:r>
        <w:rPr>
          <w:rFonts w:ascii="Arial" w:hAnsi="Arial"/>
          <w:color w:val="000000"/>
          <w:sz w:val="22"/>
        </w:rPr>
        <w:t>**Дефіцит компетенцій у вищій освіті України**</w:t>
      </w:r>
    </w:p>
    <w:p>
      <w:pPr/>
      <w:r>
        <w:rPr>
          <w:rFonts w:ascii="Arial" w:hAnsi="Arial"/>
          <w:color w:val="000000"/>
          <w:sz w:val="22"/>
        </w:rPr>
        <w:t>Вітчизняна вища технічна освіта в галузі електроенергетики ґрунтується переважно на концепціях централізованої генерації та пасивних розподільчих мереж, розроблених ще в радянський період. Аналіз навчальних планів провідних технічних університетів України (проведений консорціумом у 2024–2025 роках на основі відкритих джерел та прямих консультацій з представниками академічного середовища) засвідчив критичні прогалини:</w:t>
      </w:r>
    </w:p>
    <w:p>
      <w:pPr/>
      <w:r>
        <w:rPr>
          <w:rFonts w:ascii="Arial" w:hAnsi="Arial"/>
          <w:color w:val="000000"/>
          <w:sz w:val="22"/>
        </w:rPr>
        <w:t>— Менше 5% закладів вищої освіти (ЗВО) пропонують спеціалізовані курси з управління smart grid;</w:t>
        <w:br/>
        <w:t>— Курси з ШІ/МН в електроенергетиці наявні лише в поодиноких університетах і здебільшого не інтегровані з галузевими застосуваннями;</w:t>
        <w:br/>
        <w:t>— Технологія цифрових двійників (digital twin) для енергосистем практично відсутня в навчальних програмах;</w:t>
        <w:br/>
        <w:t>— Прогнозна аналітика навантаження та системи управління попитом (demand response) не включені до жодного акредитованого навчального плану в Запорізькій чи суміжних областях.</w:t>
      </w:r>
    </w:p>
    <w:p>
      <w:pPr/>
      <w:r>
        <w:rPr>
          <w:rFonts w:ascii="Arial" w:hAnsi="Arial"/>
          <w:color w:val="000000"/>
          <w:sz w:val="22"/>
        </w:rPr>
        <w:t>Ці прогалини є системними і не можуть бути подолані шляхом точкового оновлення окремих курсів — потрібна комплексна реформа освітніх програм із залученням міжнародних партнерів.</w:t>
      </w:r>
    </w:p>
    <w:p>
      <w:pPr/>
      <w:r>
        <w:rPr>
          <w:rFonts w:ascii="Arial" w:hAnsi="Arial"/>
          <w:color w:val="000000"/>
          <w:sz w:val="22"/>
        </w:rPr>
        <w:t>**Цільові групи та їхні потреби**</w:t>
      </w:r>
    </w:p>
    <w:p>
      <w:pPr/>
      <w:r>
        <w:rPr>
          <w:rFonts w:ascii="Arial" w:hAnsi="Arial"/>
          <w:color w:val="000000"/>
          <w:sz w:val="22"/>
        </w:rPr>
        <w:t>*Студенти бакалаврату та магістратури:* Основна цільова група — студенти спеціальностей «Електроенергетика, електротехніка та електромеханіка» (141), «Комп'ютерні науки» (122) та «Автоматизація та комп'ютерно-інтегровані технології» (151) в університетах-партнерах. Базовий показник: щорічно у ЗНУ та партнерському університеті навчається понад 800 студентів суміжних спеціальностей, які не мають доступу до компетенцій в галузі ШІ для smart grid. Проєкт забезпечить якісну підготовку не менше 300 студентів за три роки реалізації.</w:t>
      </w:r>
    </w:p>
    <w:p>
      <w:pPr/>
      <w:r>
        <w:rPr>
          <w:rFonts w:ascii="Arial" w:hAnsi="Arial"/>
          <w:color w:val="000000"/>
          <w:sz w:val="22"/>
        </w:rPr>
        <w:t>*Науково-педагогічні працівники:* Щонайменше 20 викладачів з обох українських університетів пройдуть інтенсивну перепідготовку та підвищення кваліфікації в NTNU і набудуть компетенцій, необхідних для самостійного викладання нових дисциплін після завершення проєкту. Це забезпечує мультиплікаційний ефект, вихідно закладений у проєктній логіці.</w:t>
      </w:r>
    </w:p>
    <w:p>
      <w:pPr/>
      <w:r>
        <w:rPr>
          <w:rFonts w:ascii="Arial" w:hAnsi="Arial"/>
          <w:color w:val="000000"/>
          <w:sz w:val="22"/>
        </w:rPr>
        <w:t>*Промисловість та державний сектор:* Представники Укренерго, обленерго Запорізького та суміжних регіонів, проєктні організації у сфері відновлювальної енергетики становлять третю цільову групу. Проєкт передбачає не менше 2 спільних семінарів на рік за участі галузевих стейкхолдерів та стажування студентів на підприємствах-партнерах.</w:t>
      </w:r>
    </w:p>
    <w:p>
      <w:pPr/>
      <w:r>
        <w:rPr>
          <w:rFonts w:ascii="Arial" w:hAnsi="Arial"/>
          <w:color w:val="000000"/>
          <w:sz w:val="22"/>
        </w:rPr>
        <w:t>**Заплановані результати: конкретні та вимірювані (SMART)**</w:t>
      </w:r>
    </w:p>
    <w:p>
      <w:pPr/>
      <w:r>
        <w:rPr>
          <w:rFonts w:ascii="Arial" w:hAnsi="Arial"/>
          <w:color w:val="000000"/>
          <w:sz w:val="22"/>
        </w:rPr>
        <w:t>R1. Розроблено та впроваджено 6 нових навчальних модулів/дисциплін із тематики ШІ для smart grid, що включені до акредитованих навчальних планів обох українських університетів до кінця Року 2 (грудень 2027).</w:t>
      </w:r>
    </w:p>
    <w:p>
      <w:pPr/>
      <w:r>
        <w:rPr>
          <w:rFonts w:ascii="Arial" w:hAnsi="Arial"/>
          <w:color w:val="000000"/>
          <w:sz w:val="22"/>
        </w:rPr>
        <w:t>R2. Підготовлено не менше 300 студентів (бакалаврат та магістратура) за новими програмами впродовж трьох років реалізації проєкту; цільовий показник гендерного балансу — не менше 35% студенток.</w:t>
      </w:r>
    </w:p>
    <w:p>
      <w:pPr/>
      <w:r>
        <w:rPr>
          <w:rFonts w:ascii="Arial" w:hAnsi="Arial"/>
          <w:color w:val="000000"/>
          <w:sz w:val="22"/>
        </w:rPr>
        <w:t>R3. 20 науково-педагогічних працівників пройшли підвищення кваліфікації (не менше 5 — у форматі стажування в NTNU тривалістю від 2 до 4 тижнів) до кінця Року 2.</w:t>
      </w:r>
    </w:p>
    <w:p>
      <w:pPr/>
      <w:r>
        <w:rPr>
          <w:rFonts w:ascii="Arial" w:hAnsi="Arial"/>
          <w:color w:val="000000"/>
          <w:sz w:val="22"/>
        </w:rPr>
        <w:t>R4. Створено та введено в дослідно-промислову експлуатацію «Живу лабораторію» (Living Lab) на базі існуючої сонячної інфраструктури ЗНУ та хмарної платформи Microsoft Azure із функцією цифрового двійника мікромережі до кінця Року 2 (червень 2028).</w:t>
      </w:r>
    </w:p>
    <w:p>
      <w:pPr/>
      <w:r>
        <w:rPr>
          <w:rFonts w:ascii="Arial" w:hAnsi="Arial"/>
          <w:color w:val="000000"/>
          <w:sz w:val="22"/>
        </w:rPr>
        <w:t>R5. Опубліковано не менше 8 рецензованих наукових статей у журналах, що індексуються Scopus/Web of Science, та забезпечено відкритий доступ до всіх розроблених навчальних матеріалів через репозиторій OpenEdX до кінця Року 3.</w:t>
      </w:r>
    </w:p>
    <w:p>
      <w:pPr/>
      <w:r>
        <w:rPr>
          <w:rFonts w:ascii="Arial" w:hAnsi="Arial"/>
          <w:color w:val="000000"/>
          <w:sz w:val="22"/>
        </w:rPr>
        <w:t>R6. Сформовано стійкий консорціум для подання спільних заявок до програм Горизонт Європа та подальших викликів Nansen EDU, що забезпечить тривалість ефекту проєкту за межами 2029 року.</w:t>
      </w:r>
    </w:p>
    <w:p>
      <w:pPr/>
      <w:r>
        <w:rPr>
          <w:rFonts w:ascii="Arial" w:hAnsi="Arial"/>
          <w:color w:val="000000"/>
          <w:sz w:val="22"/>
        </w:rPr>
        <w:t>Ці результати безпосередньо відповідають трьом стратегічним цілям Nansen EDU: зміцнення спроможності ЗВО України надавати якісну освіту; забезпечення ринку праці кваліфікованими фахівцями у пріоритетних галузях; встановлення довгострокового партнерства між норвезькими та українськими університетами.</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r>
        <w:rPr>
          <w:rFonts w:ascii="Arial" w:hAnsi="Arial"/>
          <w:color w:val="000000"/>
          <w:sz w:val="22"/>
        </w:rPr>
        <w:t>**1.2 Відповідність іншим заходам та інноваційні елементи проєкту**</w:t>
      </w:r>
    </w:p>
    <w:p>
      <w:pPr/>
      <w:r>
        <w:rPr>
          <w:rFonts w:ascii="Arial" w:hAnsi="Arial"/>
          <w:color w:val="000000"/>
          <w:sz w:val="22"/>
        </w:rPr>
        <w:t>**Синергія з наявними ініціативами партнерів**</w:t>
      </w:r>
    </w:p>
    <w:p>
      <w:pPr/>
      <w:r>
        <w:rPr>
          <w:rFonts w:ascii="Arial" w:hAnsi="Arial"/>
          <w:color w:val="000000"/>
          <w:sz w:val="22"/>
        </w:rPr>
        <w:t>Проєкт AI-SmartGrid вибудовується на міцному фундаменті вже існуючої партнерської взаємодії та науково-дослідної бази, що істотно знижує ризики реалізації та підвищує ймовірність стійких результатів. NTNU через Департамент електричної енергії (Department of Electric Energy) та партнерство з SINTEF Energy Research є глобально визнаним центром досліджень у галузі систем електропостачання, ШІ для оптимізації мереж та інтеграції ВДЕ. Національна лабораторія smart grid NTNU–SINTEF — унікальна інфраструктура, що дозволяє проводити апаратні та програмно-імітаційні (hardware-in-the-loop) експерименти з реальними компонентами мікромереж у безпечних лабораторних умовах. Ця база стане опорним ресурсом для навчання українських викладачів і студентів.</w:t>
      </w:r>
    </w:p>
    <w:p>
      <w:pPr/>
      <w:r>
        <w:rPr>
          <w:rFonts w:ascii="Arial" w:hAnsi="Arial"/>
          <w:color w:val="000000"/>
          <w:sz w:val="22"/>
        </w:rPr>
        <w:t>Запорізький національний університет має активні дослідницькі програми у сфері smart grid, відновлюваної енергетики та цифрових двійників для промислових і енергетичних систем. Лабораторія паралельних і розподілених обчислень (ФМатематики) забезпечує необхідну обчислювальну потужність для тренування ML-моделей. Реальна сонячна інфраструктура ЗНУ (дахові фотоелектричні системи) та хмарна платформа Microsoft Azure формують унікальну основу для «Живої лабораторії» — вони є не лише навчальним, а й діючим дослідницьким активом. Наявний у ЗНУ досвід у сфері ШІ для систем логістики (державний проєкт «ШІ в логістичних системах для національної безпеки», 3,59 млн грн) демонструє реальну методологічну компетентність, яка безпосередньо переноситься на задачі оптимізації smart grid.</w:t>
      </w:r>
    </w:p>
    <w:p>
      <w:pPr/>
      <w:r>
        <w:rPr>
          <w:rFonts w:ascii="Arial" w:hAnsi="Arial"/>
          <w:color w:val="000000"/>
          <w:sz w:val="22"/>
        </w:rPr>
        <w:t>**Доповнюваність щодо поточних міжнародних програм**</w:t>
      </w:r>
    </w:p>
    <w:p>
      <w:pPr/>
      <w:r>
        <w:rPr>
          <w:rFonts w:ascii="Arial" w:hAnsi="Arial"/>
          <w:color w:val="000000"/>
          <w:sz w:val="22"/>
        </w:rPr>
        <w:t>Проєкт свідомо розроблений як доповнення, а не дублювання існуючих ініціатив. ЗНУ бере участь у 14 проєктах Erasmus+ (переважно в галузях педагогіки, соціальних наук та менеджменту якості освіти), 3 проєктах Horizon MSCA (фізика матеріалів та електрохімія), проєкті UA–UK Twinning з Durham University та програмі DAAD Ukraine Digital. Жоден із цих проєктів не охоплює тематику ШІ/МН для управління smart grid або цифрових двійників енергосистем. AI-SmartGrid заповнює цю нішу, не конкуруючи з наявними партнерствами, а синергетично доповнюючи їх.</w:t>
      </w:r>
    </w:p>
    <w:p>
      <w:pPr/>
      <w:r>
        <w:rPr>
          <w:rFonts w:ascii="Arial" w:hAnsi="Arial"/>
          <w:color w:val="000000"/>
          <w:sz w:val="22"/>
        </w:rPr>
        <w:t>На національному рівні слід відзначити проєкт EU4Energy (ЄС–ЄБРР–МЕА), що спрямований на регуляторні реформи та інфраструктурні інвестиції в Ukrainian Transmission System. Програма GIZ «Енергетичний перехід в Україні» підтримує адміністративні реформи у сфері енергетики. Жодна з цих ініціатив не фокусується на підготовці фахівців у галузі ШІ для smart grid на рівні вищої освіти — таким чином, AI-SmartGrid займає унікальну нішу, безпосередньо формуючи людський капітал для реалізації інфраструктурних проєктів.</w:t>
      </w:r>
    </w:p>
    <w:p>
      <w:pPr/>
      <w:r>
        <w:rPr>
          <w:rFonts w:ascii="Arial" w:hAnsi="Arial"/>
          <w:color w:val="000000"/>
          <w:sz w:val="22"/>
        </w:rPr>
        <w:t>**Інноваційні елементи, що відрізняють проєкт**</w:t>
      </w:r>
    </w:p>
    <w:p>
      <w:pPr/>
      <w:r>
        <w:rPr>
          <w:rFonts w:ascii="Arial" w:hAnsi="Arial"/>
          <w:color w:val="000000"/>
          <w:sz w:val="22"/>
        </w:rPr>
        <w:t>*Перше:* Концепція «Живої лабораторії» (Living Lab) на базі реальної інфраструктури ЗНУ в умовах активного конфлікту є унікальним і водночас рефлексивним освітнім підходом. Студенти не просто імітують роботу мережі — вони аналізують і оптимізують реальну сонячну мікромережу, яка щодня функціонує в умовах непередбачуваного навантаження, перебоїв у центральному постачанні та необхідності балансування. Це забезпечує автентичну навчальну ситуацію, якої не може надати жодна стандартна лабораторна симуляція.</w:t>
      </w:r>
    </w:p>
    <w:p>
      <w:pPr/>
      <w:r>
        <w:rPr>
          <w:rFonts w:ascii="Arial" w:hAnsi="Arial"/>
          <w:color w:val="000000"/>
          <w:sz w:val="22"/>
        </w:rPr>
        <w:t>*Друге:* Інтеграція цифрових двійників у навчальний процес дозволяє студентам безпечно тестувати сценарії аварійного управління мережею (наприклад, раптового відключення значної частки генерації внаслідок ракетного удару) без ризику для реальної інфраструктури. Ця компетенція є прямою відповіддю на специфічні виклики України.</w:t>
      </w:r>
    </w:p>
    <w:p>
      <w:pPr/>
      <w:r>
        <w:rPr>
          <w:rFonts w:ascii="Arial" w:hAnsi="Arial"/>
          <w:color w:val="000000"/>
          <w:sz w:val="22"/>
        </w:rPr>
        <w:t>*Третє:* Проєкт запроваджує новаторський підхід «від завдання до інструменту»: курикулум структурований навколо реальних проблем відбудови (прогнозування попиту в умовах невизначеності, оптимізація мікромереж з ВДЕ, виявлення аномалій та кіберзагроз у мережі), а ШІ/МН-інструменти вивчаються як засоби вирішення цих проблем, а не абстрактні технічні дисципліни.</w:t>
      </w:r>
    </w:p>
    <w:p>
      <w:pPr/>
      <w:r>
        <w:rPr>
          <w:rFonts w:ascii="Arial" w:hAnsi="Arial"/>
          <w:color w:val="000000"/>
          <w:sz w:val="22"/>
        </w:rPr>
        <w:t>*Четверте:* Усі розроблені навчальні матеріали будуть опубліковані як відкриті освітні ресурси (OER) на платформі OpenEdX з українськомовною локалізацією. Це забезпечить тиражування результатів проєкту на всі ЗВО України, що мають відповідні спеціальності, — потенційно охоплюючи десятки тисяч студентів щорічно.</w:t>
      </w:r>
    </w:p>
    <w:p>
      <w:pPr/>
      <w:r>
        <w:rPr>
          <w:rFonts w:ascii="Arial" w:hAnsi="Arial"/>
          <w:color w:val="000000"/>
          <w:sz w:val="22"/>
        </w:rPr>
        <w:t>**Відповідність пріоритетам Nansen EDU 2025**</w:t>
      </w:r>
    </w:p>
    <w:p>
      <w:pPr/>
      <w:r>
        <w:rPr>
          <w:rFonts w:ascii="Arial" w:hAnsi="Arial"/>
          <w:color w:val="000000"/>
          <w:sz w:val="22"/>
        </w:rPr>
        <w:t>Проєкт охоплює чотири з семи тематичних пріоритетів програми: цифрова трансформація (ШІ/МН, цифрові двійники), навколишнє середовище та енергетика (відновлювані джерела, smart grid), STEM (інженерна освіта, прикладна математика) та відбудова (безпосередня спрямованість на реконструкцію енергосистеми). Ця мультитематична відповідність забезпечує максимальну стратегічну цінність у межах одного проєкту.</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r>
        <w:rPr>
          <w:rFonts w:ascii="Arial" w:hAnsi="Arial"/>
          <w:color w:val="000000"/>
          <w:sz w:val="22"/>
        </w:rPr>
        <w:t>**2.1 Заходи, підходи та план реалізації**</w:t>
      </w:r>
    </w:p>
    <w:p>
      <w:pPr/>
      <w:r>
        <w:rPr>
          <w:rFonts w:ascii="Arial" w:hAnsi="Arial"/>
          <w:color w:val="000000"/>
          <w:sz w:val="22"/>
        </w:rPr>
        <w:t>Проєкт AI-SmartGrid реалізується впродовж трьох років (липень 2026 — червень 2029) за принципом «Фундамент → Пілоти → Масштабування», що узгоджується з дорожньою картою NTNU–ЗНУ на 2026–2028 роки. Структура включає п'ять робочих пакетів (WP).</w:t>
      </w:r>
    </w:p>
    <w:p>
      <w:pPr/>
      <w:r>
        <w:rPr>
          <w:rFonts w:ascii="Arial" w:hAnsi="Arial"/>
          <w:color w:val="000000"/>
          <w:sz w:val="22"/>
        </w:rPr>
        <w:t>---</w:t>
      </w:r>
    </w:p>
    <w:p>
      <w:pPr/>
      <w:r>
        <w:rPr>
          <w:rFonts w:ascii="Arial" w:hAnsi="Arial"/>
          <w:color w:val="000000"/>
          <w:sz w:val="22"/>
        </w:rPr>
        <w:t>**WP1: Спільна розробка навчальних програм (Рік 1–2)**</w:t>
      </w:r>
    </w:p>
    <w:p>
      <w:pPr/>
      <w:r>
        <w:rPr>
          <w:rFonts w:ascii="Arial" w:hAnsi="Arial"/>
          <w:color w:val="000000"/>
          <w:sz w:val="22"/>
        </w:rPr>
        <w:t>*Відповідальний:* NTNU (лідер), ЗНУ, Партнер 2</w:t>
      </w:r>
    </w:p>
    <w:p>
      <w:pPr/>
      <w:r>
        <w:rPr>
          <w:rFonts w:ascii="Arial" w:hAnsi="Arial"/>
          <w:color w:val="000000"/>
          <w:sz w:val="22"/>
        </w:rPr>
        <w:t>*Ціль:* Розробити шість нових навчальних модулів, акредитованих у межах існуючих ОП обох українських університетів.</w:t>
      </w:r>
    </w:p>
    <w:p>
      <w:pPr/>
      <w:r>
        <w:rPr>
          <w:rFonts w:ascii="Arial" w:hAnsi="Arial"/>
          <w:color w:val="000000"/>
          <w:sz w:val="22"/>
        </w:rPr>
        <w:t>*Модулі:*</w:t>
        <w:br/>
        <w:t>— M1. Нейромережеве прогнозування навантаження (4 кредити ECTS): архітектури LSTM, Transformer для часових рядів споживання; робота з неповними даними в умовах воєнного часу.</w:t>
        <w:br/>
        <w:t>— M2. Навчання з підкріпленням для оптимізації мережі (4 ECTS): алгоритми Q-learning, PPO для управління потоками потужності та балансування мікромереж.</w:t>
        <w:br/>
        <w:t>— M3. Цифрові двійники електроенергетичних систем (5 ECTS): платформи MATLAB/Simulink, OpenDSS, Python-based digital twin frameworks; інтеграція з SCADA.</w:t>
        <w:br/>
        <w:t>— M4. Виявлення аномалій та кіберзахист smart grid (3 ECTS): методи автоенкодерів та ізоляційних лісів для детекції несправностей; основи OT-кібербезпеки.</w:t>
        <w:br/>
        <w:t>— M5. ШІ-системи управління попитом (demand response) (4 ECTS): алгоритми агрегації гнучкого навантаження, ціновий арбітраж, мультиагентні системи.</w:t>
        <w:br/>
        <w:t>— M6. Капстоун-проєкт: «Реконструкція розумної мікромережі» (5 ECTS): командна проєктна робота з реальними даними Живої лабораторії ЗНУ.</w:t>
      </w:r>
    </w:p>
    <w:p>
      <w:pPr/>
      <w:r>
        <w:rPr>
          <w:rFonts w:ascii="Arial" w:hAnsi="Arial"/>
          <w:color w:val="000000"/>
          <w:sz w:val="22"/>
        </w:rPr>
        <w:t>*Методологія розробки:* Backward design (від результатів навчання до змісту та оцінювання), проблемно-орієнтоване навчання (PBL), змішане навчання (blended learning, 40% очне / 60% онлайн у синхронному та асинхронному форматах). Кожен модуль включає відкрите ПЗ (TensorFlow, PyTorch, Pandapower, OpenDSS) та реальні датасети.</w:t>
      </w:r>
    </w:p>
    <w:p>
      <w:pPr/>
      <w:r>
        <w:rPr>
          <w:rFonts w:ascii="Arial" w:hAnsi="Arial"/>
          <w:color w:val="000000"/>
          <w:sz w:val="22"/>
        </w:rPr>
        <w:t>*Ключові заходи Р1:* Квітень 2026 — формування робочої групи WP1; Вересень 2026 — перший спільний семінар розробки курикулуму (гібридний формат, NTNU/онлайн); Грудень 2026 — затверджений концептуальний дизайн усіх 6 модулів (D1.1).</w:t>
      </w:r>
    </w:p>
    <w:p>
      <w:pPr/>
      <w:r>
        <w:rPr>
          <w:rFonts w:ascii="Arial" w:hAnsi="Arial"/>
          <w:color w:val="000000"/>
          <w:sz w:val="22"/>
        </w:rPr>
        <w:t>*Ключові заходи Р2:* Березень 2027 — пілотне тестування M1 та M3 з першою когортою студентів; Червень 2027 — повна навчально-методична документація по 6 модулях, завантажена на OpenEdX (D1.2); Грудень 2027 — офіційне включення модулів до акредитованих навчальних планів обох українських університетів (D1.3).</w:t>
      </w:r>
    </w:p>
    <w:p>
      <w:pPr/>
      <w:r>
        <w:rPr>
          <w:rFonts w:ascii="Arial" w:hAnsi="Arial"/>
          <w:color w:val="000000"/>
          <w:sz w:val="22"/>
        </w:rPr>
        <w:t>---</w:t>
      </w:r>
    </w:p>
    <w:p>
      <w:pPr/>
      <w:r>
        <w:rPr>
          <w:rFonts w:ascii="Arial" w:hAnsi="Arial"/>
          <w:color w:val="000000"/>
          <w:sz w:val="22"/>
        </w:rPr>
        <w:t>**WP2: Підготовка викладачів та академічна мобільність (Рік 1–2)**</w:t>
      </w:r>
    </w:p>
    <w:p>
      <w:pPr/>
      <w:r>
        <w:rPr>
          <w:rFonts w:ascii="Arial" w:hAnsi="Arial"/>
          <w:color w:val="000000"/>
          <w:sz w:val="22"/>
        </w:rPr>
        <w:t>*Відповідальний:* NTNU (лідер)</w:t>
      </w:r>
    </w:p>
    <w:p>
      <w:pPr/>
      <w:r>
        <w:rPr>
          <w:rFonts w:ascii="Arial" w:hAnsi="Arial"/>
          <w:color w:val="000000"/>
          <w:sz w:val="22"/>
        </w:rPr>
        <w:t>*Ціль:* Підвищити кваліфікацію не менше 20 викладачів обох українських університетів до рівня, достатнього для самостійного викладання розроблених модулів.</w:t>
      </w:r>
    </w:p>
    <w:p>
      <w:pPr/>
      <w:r>
        <w:rPr>
          <w:rFonts w:ascii="Arial" w:hAnsi="Arial"/>
          <w:color w:val="000000"/>
          <w:sz w:val="22"/>
        </w:rPr>
        <w:t>*Заходи:*</w:t>
        <w:br/>
        <w:t>— Інтенсивні тренінгові тижні в NTNU (Тронгейм): 2 сесії по 5 днів на рік у Роках 1–2. Кожна сесія охоплює 10 викладачів; програма включає практичні заняття в лабораторії smart grid NTNU/SINTEF, майстер-класи з проблемно-орієнтованого навчання в технічних дисциплінах, роботу з реальним лабораторним обладнанням HIL (hardware-in-the-loop).</w:t>
        <w:br/>
        <w:t>— Довгострокові стажування в NTNU: 5 викладачів (3–4 тижні кожен) для глибокого занурення в дослідницьку методологію та спільний розвиток навчальних матеріалів.</w:t>
        <w:br/>
        <w:t>— Зворотні візити норвезьких викладачів до України: 4 візити NTNU-staff до українських партнерів (за умови безпекового протоколу) для co-teaching та оцінки якості провадження нових курсів.</w:t>
        <w:br/>
        <w:t>— Онлайн peer-learning спільнота: щомісячні вебінари для обміну досвідом між українськими та норвезькими викладачами.</w:t>
      </w:r>
    </w:p>
    <w:p>
      <w:pPr/>
      <w:r>
        <w:rPr>
          <w:rFonts w:ascii="Arial" w:hAnsi="Arial"/>
          <w:color w:val="000000"/>
          <w:sz w:val="22"/>
        </w:rPr>
        <w:t>*Ключові дедлайни:* Жовтень 2026 — перший тренінговий тиждень NTNU (10 осіб, D2.1); Квітень 2027 — другий тренінговий тиждень (10 осіб, D2.2); Жовтень 2027 — завершення всіх стажувань (5 осіб, D2.3).</w:t>
      </w:r>
    </w:p>
    <w:p>
      <w:pPr/>
      <w:r>
        <w:rPr>
          <w:rFonts w:ascii="Arial" w:hAnsi="Arial"/>
          <w:color w:val="000000"/>
          <w:sz w:val="22"/>
        </w:rPr>
        <w:t>---</w:t>
      </w:r>
    </w:p>
    <w:p>
      <w:pPr/>
      <w:r>
        <w:rPr>
          <w:rFonts w:ascii="Arial" w:hAnsi="Arial"/>
          <w:color w:val="000000"/>
          <w:sz w:val="22"/>
        </w:rPr>
        <w:t>**WP3: Студентська навчальна програма (Рік 2–3)**</w:t>
      </w:r>
    </w:p>
    <w:p>
      <w:pPr/>
      <w:r>
        <w:rPr>
          <w:rFonts w:ascii="Arial" w:hAnsi="Arial"/>
          <w:color w:val="000000"/>
          <w:sz w:val="22"/>
        </w:rPr>
        <w:t>*Відповідальний:* ЗНУ та Партнер 2 (спільно), NTNU (консультативна роль)</w:t>
      </w:r>
    </w:p>
    <w:p>
      <w:pPr/>
      <w:r>
        <w:rPr>
          <w:rFonts w:ascii="Arial" w:hAnsi="Arial"/>
          <w:color w:val="000000"/>
          <w:sz w:val="22"/>
        </w:rPr>
        <w:t>*Ціль:* Навчити не менше 300 студентів за новими модулями; 8 студентів-магістрантів пройдуть стажування в NTNU (4–6 тижнів).</w:t>
      </w:r>
    </w:p>
    <w:p>
      <w:pPr/>
      <w:r>
        <w:rPr>
          <w:rFonts w:ascii="Arial" w:hAnsi="Arial"/>
          <w:color w:val="000000"/>
          <w:sz w:val="22"/>
        </w:rPr>
        <w:t>*Заходи:*</w:t>
        <w:br/>
        <w:t>— Впровадження модулів M1–M6 у регулярні семестрові розклади; щорічна когорта ~100 студентів у Роках 2–3.</w:t>
        <w:br/>
        <w:t>— Студентський конкурс capstone-проєктів «SmartGrid Ukraine Challenge» наприкінці кожного навчального року з залученням галузевих суддів.</w:t>
        <w:br/>
        <w:t>— Студентські стажування в NTNU: 8 студентів-магістрантів (4–6 тижнів) з можливістю роботи над спільними дипломними проєктами.</w:t>
        <w:br/>
        <w:t>— Дистанційні майстер-класи NTNU-фахівців для студентів (8 сесій на рік).</w:t>
      </w:r>
    </w:p>
    <w:p>
      <w:pPr/>
      <w:r>
        <w:rPr>
          <w:rFonts w:ascii="Arial" w:hAnsi="Arial"/>
          <w:color w:val="000000"/>
          <w:sz w:val="22"/>
        </w:rPr>
        <w:t>*Моніторинг:* Вхідне та вихідне тестування компетенцій за стандартизованими показниками (ECTS-прогрес, оцінки проєктних робіт, задоволеність студентів за шкалою Лікерта).</w:t>
      </w:r>
    </w:p>
    <w:p>
      <w:pPr/>
      <w:r>
        <w:rPr>
          <w:rFonts w:ascii="Arial" w:hAnsi="Arial"/>
          <w:color w:val="000000"/>
          <w:sz w:val="22"/>
        </w:rPr>
        <w:t>---</w:t>
      </w:r>
    </w:p>
    <w:p>
      <w:pPr/>
      <w:r>
        <w:rPr>
          <w:rFonts w:ascii="Arial" w:hAnsi="Arial"/>
          <w:color w:val="000000"/>
          <w:sz w:val="22"/>
        </w:rPr>
        <w:t>**WP4: Жива лабораторія та пілотні проєкти (Рік 1–3)**</w:t>
      </w:r>
    </w:p>
    <w:p>
      <w:pPr/>
      <w:r>
        <w:rPr>
          <w:rFonts w:ascii="Arial" w:hAnsi="Arial"/>
          <w:color w:val="000000"/>
          <w:sz w:val="22"/>
        </w:rPr>
        <w:t>*Відповідальний:* ЗНУ (лідер), NTNU (науковий консалтинг), Партнер 2 (внесок даних)</w:t>
      </w:r>
    </w:p>
    <w:p>
      <w:pPr/>
      <w:r>
        <w:rPr>
          <w:rFonts w:ascii="Arial" w:hAnsi="Arial"/>
          <w:color w:val="000000"/>
          <w:sz w:val="22"/>
        </w:rPr>
        <w:t>*Ціль:* Перетворити існуючу сонячну інфраструктуру ЗНУ на повнофункціональну «Живу лабораторію» smart grid із цифровим двійником, відкриту для навчання та досліджень.</w:t>
      </w:r>
    </w:p>
    <w:p>
      <w:pPr/>
      <w:r>
        <w:rPr>
          <w:rFonts w:ascii="Arial" w:hAnsi="Arial"/>
          <w:color w:val="000000"/>
          <w:sz w:val="22"/>
        </w:rPr>
        <w:t>*Заходи:*</w:t>
        <w:br/>
        <w:t>— Р1: Технічне оснащення — встановлення лічильників інтелектуального обліку (smart meters), комунікаційних модулів IoT та інтеграція з хмарною платформою Azure (бюджет обладнання — до 12 місяців до закінчення проєкту, тобто до червня 2028).</w:t>
        <w:br/>
        <w:t>— Р1–Р2: Розробка цифрового двійника мікромережі ЗНУ на базі OpenDSS + Python; калібрування на реальних вимірювальних даних.</w:t>
        <w:br/>
        <w:t>— Р2: Пілотна реалізація ML-алгоритму прогнозування навантаження та детектора аномалій для кампусної мережі.</w:t>
        <w:br/>
        <w:t>— Р2–Р3: Розширення пілоту: інтеграція даних з мікромережі Партнера 2; тестування алгоритмів demand response.</w:t>
        <w:br/>
        <w:t>— Р3: Технічний звіт «Уроки живої лабораторії» з рекомендаціями щодо тиражування моделі в інших українських університетах (D4.1).</w:t>
      </w:r>
    </w:p>
    <w:p>
      <w:pPr/>
      <w:r>
        <w:rPr>
          <w:rFonts w:ascii="Arial" w:hAnsi="Arial"/>
          <w:color w:val="000000"/>
          <w:sz w:val="22"/>
        </w:rPr>
        <w:t>*Пов'язане обладнання:* Smart meters (10 шт.), IoT-шлюзи (3 шт.), ліцензії на ПЗ для цифрових двійників. Усе обладнання закупляється до червня 2028 р. відповідно до вимог програми.</w:t>
      </w:r>
    </w:p>
    <w:p>
      <w:pPr/>
      <w:r>
        <w:rPr>
          <w:rFonts w:ascii="Arial" w:hAnsi="Arial"/>
          <w:color w:val="000000"/>
          <w:sz w:val="22"/>
        </w:rPr>
        <w:t>---</w:t>
      </w:r>
    </w:p>
    <w:p>
      <w:pPr/>
      <w:r>
        <w:rPr>
          <w:rFonts w:ascii="Arial" w:hAnsi="Arial"/>
          <w:color w:val="000000"/>
          <w:sz w:val="22"/>
        </w:rPr>
        <w:t>**WP5: Поширення результатів та забезпечення сталості (Рік 1–3)**</w:t>
      </w:r>
    </w:p>
    <w:p>
      <w:pPr/>
      <w:r>
        <w:rPr>
          <w:rFonts w:ascii="Arial" w:hAnsi="Arial"/>
          <w:color w:val="000000"/>
          <w:sz w:val="22"/>
        </w:rPr>
        <w:t>*Відповідальний:* Всі партнери, координація — NTNU</w:t>
      </w:r>
    </w:p>
    <w:p>
      <w:pPr/>
      <w:r>
        <w:rPr>
          <w:rFonts w:ascii="Arial" w:hAnsi="Arial"/>
          <w:color w:val="000000"/>
          <w:sz w:val="22"/>
        </w:rPr>
        <w:t>*Заходи:*</w:t>
        <w:br/>
        <w:t>— Сайт проєкту та OER-репозиторій (OpenEdX): запуск у Р1, постійне оновлення;</w:t>
        <w:br/>
        <w:t>— Щорічна міжнародна відеоконференція «AI for Ukraine Energy Resilience» (Р1, Р2, Р3) за участі галузі, ЗВО, HK-dir;</w:t>
        <w:br/>
        <w:t>— Наукові публікації: 8 статей у Scopus/WoS (Р2–Р3);</w:t>
        <w:br/>
        <w:t>— Звіт-рекомендація для МОН України щодо включення модулів у державний стандарт підготовки фахівців зі спеціальності 141 (Р3);</w:t>
        <w:br/>
        <w:t>— Підготовка заявки Horizon Europe (тема: Climate, Energy, Mobility) у Р3 для забезпечення наступного фінансового циклу.</w:t>
      </w:r>
    </w:p>
    <w:p>
      <w:pPr/>
      <w:r>
        <w:rPr>
          <w:rFonts w:ascii="Arial" w:hAnsi="Arial"/>
          <w:color w:val="000000"/>
          <w:sz w:val="22"/>
        </w:rPr>
        <w:t>---</w:t>
      </w:r>
    </w:p>
    <w:p>
      <w:pPr/>
      <w:r>
        <w:rPr>
          <w:rFonts w:ascii="Arial" w:hAnsi="Arial"/>
          <w:color w:val="000000"/>
          <w:sz w:val="22"/>
        </w:rPr>
        <w:t>**Зведена часова шкала**</w:t>
      </w:r>
    </w:p>
    <w:p>
      <w:pPr/>
      <w:r>
        <w:rPr>
          <w:rFonts w:ascii="Arial" w:hAnsi="Arial"/>
          <w:color w:val="000000"/>
          <w:sz w:val="22"/>
        </w:rPr>
        <w:t>Рік 1 (липень 2026 — червень 2027): Фундамент. WP1: дизайн курикулуму; WP2: перші тренінги викладачів; WP4: розгортання Living Lab; WP5: сайт, перша конференція.</w:t>
      </w:r>
    </w:p>
    <w:p>
      <w:pPr/>
      <w:r>
        <w:rPr>
          <w:rFonts w:ascii="Arial" w:hAnsi="Arial"/>
          <w:color w:val="000000"/>
          <w:sz w:val="22"/>
        </w:rPr>
        <w:t>Рік 2 (липень 2027 — червень 2028): Пілоти. WP1: акредитація модулів; WP2: завершення стажувань; WP3: перша студентська когорта (100 ос.); WP4: пілот ML-алгоритмів; WP5: перші публікації.</w:t>
      </w:r>
    </w:p>
    <w:p>
      <w:pPr/>
      <w:r>
        <w:rPr>
          <w:rFonts w:ascii="Arial" w:hAnsi="Arial"/>
          <w:color w:val="000000"/>
          <w:sz w:val="22"/>
        </w:rPr>
        <w:t>Рік 3 (липень 2028 — червень 2029): Масштабування. WP3: другий і третій цикл (200 ос.); WP4: розширений пілот, технічний звіт; WP5: фінальна конференція, OER-ресурси, Horizon-заявка, звіт для МОН.</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r>
        <w:rPr>
          <w:rFonts w:ascii="Arial" w:hAnsi="Arial"/>
          <w:color w:val="000000"/>
          <w:sz w:val="22"/>
        </w:rPr>
        <w:t>**2.2 Оцінка ризиків та заходи з їх мінімізації**</w:t>
      </w:r>
    </w:p>
    <w:p>
      <w:pPr/>
      <w:r>
        <w:rPr>
          <w:rFonts w:ascii="Arial" w:hAnsi="Arial"/>
          <w:color w:val="000000"/>
          <w:sz w:val="22"/>
        </w:rPr>
        <w:t>**Ризик 1. Безпека та воєнні дії (Критичний; Ймовірність: Висока; Вплив: Високий)**</w:t>
      </w:r>
    </w:p>
    <w:p>
      <w:pPr/>
      <w:r>
        <w:rPr>
          <w:rFonts w:ascii="Arial" w:hAnsi="Arial"/>
          <w:color w:val="000000"/>
          <w:sz w:val="22"/>
        </w:rPr>
        <w:t>Запоріжжя є прифронтовим регіоном, що зазнає регулярних ракетних ударів та атак безпілотників. Ризики охоплюють: фізичну небезпеку для персоналу і студентів, пошкодження університетської інфраструктури, переривання в електроживленні та інтернет-зв'язку.</w:t>
      </w:r>
    </w:p>
    <w:p>
      <w:pPr/>
      <w:r>
        <w:rPr>
          <w:rFonts w:ascii="Arial" w:hAnsi="Arial"/>
          <w:color w:val="000000"/>
          <w:sz w:val="22"/>
        </w:rPr>
        <w:t>*Заходи мінімізації:*</w:t>
        <w:br/>
        <w:t>— Архітектура «digital-first»: понад 60% навчальних активностей проводиться в онлайн або гібридному форматі, що мінімізує обов'язковість фізичної присутності й дозволяє продовжувати навчання навіть при введенні комендантської години;</w:t>
        <w:br/>
        <w:t>— Дублювання інфраструктури: навчальні матеріали та дані Живої лабораторії синхронізуються в хмарі Microsoft Azure, що забезпечує доступ із будь-якого місця;</w:t>
        <w:br/>
        <w:t>— ЗНУ вже здійснює операційну діяльність у форматі воєнного часу з доведеною стійкістю: університет не припиняв роботи з лютого 2022 року;</w:t>
        <w:br/>
        <w:t>— Фізичні візити норвезьких партнерів до України здійснюються виключно за оцінкою безпекового ризику, затвердженою NTNU та узгодженою з посольством Норвегії в Україні;</w:t>
        <w:br/>
        <w:t>— Розроблено протокол «академічного виживання»: у разі критичного погіршення безпекової ситуації навчальна програма автоматично переходить на повністю дистанційний режим без втрати навчального прогресу студентів;</w:t>
        <w:br/>
        <w:t>— Студентські стажування в NTNU (Норвегія) не несуть безпекового ризику для учасників.</w:t>
      </w:r>
    </w:p>
    <w:p>
      <w:pPr/>
      <w:r>
        <w:rPr>
          <w:rFonts w:ascii="Arial" w:hAnsi="Arial"/>
          <w:color w:val="000000"/>
          <w:sz w:val="22"/>
        </w:rPr>
        <w:t>**Ризик 2. Корупція (Середній; Ймовірність: Помірна; Вплив: Середній)**</w:t>
      </w:r>
    </w:p>
    <w:p>
      <w:pPr/>
      <w:r>
        <w:rPr>
          <w:rFonts w:ascii="Arial" w:hAnsi="Arial"/>
          <w:color w:val="000000"/>
          <w:sz w:val="22"/>
        </w:rPr>
        <w:t>Індекс сприйняття корупції України (CPI) становить ~35/100 (Transparency International, 2023) [6], що зобов'язує проєкт запровадити спеціальні превентивні заходи відповідно до вимог HK-dir.</w:t>
      </w:r>
    </w:p>
    <w:p>
      <w:pPr/>
      <w:r>
        <w:rPr>
          <w:rFonts w:ascii="Arial" w:hAnsi="Arial"/>
          <w:color w:val="000000"/>
          <w:sz w:val="22"/>
        </w:rPr>
        <w:t>*Заходи мінімізації:*</w:t>
        <w:br/>
        <w:t>— Роздільний фінансовий менеджмент: всі кошти, що надходять до ЗНУ та Партнера 2, акумулюються на окремих цільових рахунках з обов'язковим паперовим і цифровим аудиторським слідом;</w:t>
        <w:br/>
        <w:t>— NTNU як координатор здійснює поквартальний фінансовий моніторинг та затверджує звіти про витрати до здійснення наступних виплат (milestone-based disbursement);</w:t>
        <w:br/>
        <w:t>— Процедури закупівель відповідають нормам публічних закупівель України (Prozorro) та додатковим антикорупційним критеріям HK-dir;</w:t>
        <w:br/>
        <w:t>— Всі командировочні витрати документуються відповідно до норм Державного персонального довідника Норвегії;</w:t>
        <w:br/>
        <w:t>— Впроваджується механізм конфіденційного інформування (whistleblowing): будь-який учасник проєкту може повідомити про підозру в порушеннях через захищений електронний канал NTNU;</w:t>
        <w:br/>
        <w:t>— Щорічний незалежний аудит фінансової звітності українських партнерів сертифікованим аудитором.</w:t>
      </w:r>
    </w:p>
    <w:p>
      <w:pPr/>
      <w:r>
        <w:rPr>
          <w:rFonts w:ascii="Arial" w:hAnsi="Arial"/>
          <w:color w:val="000000"/>
          <w:sz w:val="22"/>
        </w:rPr>
        <w:t>**Ризик 3. Клімат та навколишнє середовище (Низький; Ймовірність: Низька; Вплив: Низький)**</w:t>
      </w:r>
    </w:p>
    <w:p>
      <w:pPr/>
      <w:r>
        <w:rPr>
          <w:rFonts w:ascii="Arial" w:hAnsi="Arial"/>
          <w:color w:val="000000"/>
          <w:sz w:val="22"/>
        </w:rPr>
        <w:t>*Заходи мінімізації:*</w:t>
        <w:br/>
        <w:t>— Пріоритет цифрових зустрічей: усі регулярні зустрічі робочих груп проводяться онлайн; фізичні поїздки обмежені стратегічно важливими заходами (тренінгові тижні, конференції);</w:t>
        <w:br/>
        <w:t>— Для необхідних поїздок Тронгейм–Київ/Запоріжжя обирається маршрут з мінімальним вуглецевим слідом (поїзд + пором де можливо);</w:t>
        <w:br/>
        <w:t>— Карбоновий слід проєкту розраховується та документується в кожному річному звіті;</w:t>
        <w:br/>
        <w:t>— Тематика проєкту безпосередньо сприяє скороченню викидів CO₂ через підготовку фахівців для розгортання ВДЕ та підвищення енергоефективності — позитивний кліматичний внесок є іманентним результатом.</w:t>
      </w:r>
    </w:p>
    <w:p>
      <w:pPr/>
      <w:r>
        <w:rPr>
          <w:rFonts w:ascii="Arial" w:hAnsi="Arial"/>
          <w:color w:val="000000"/>
          <w:sz w:val="22"/>
        </w:rPr>
        <w:t>**Ризик 4. Гендерна рівність (Середній; Ймовірність: Помірна; Вплив: Середній)**</w:t>
      </w:r>
    </w:p>
    <w:p>
      <w:pPr/>
      <w:r>
        <w:rPr>
          <w:rFonts w:ascii="Arial" w:hAnsi="Arial"/>
          <w:color w:val="000000"/>
          <w:sz w:val="22"/>
        </w:rPr>
        <w:t>Технічні спеціальності в українських університетах традиційно мають низьку частку жінок (зазвичай 20–25%).</w:t>
      </w:r>
    </w:p>
    <w:p>
      <w:pPr/>
      <w:r>
        <w:rPr>
          <w:rFonts w:ascii="Arial" w:hAnsi="Arial"/>
          <w:color w:val="000000"/>
          <w:sz w:val="22"/>
        </w:rPr>
        <w:t>*Заходи мінімізації:*</w:t>
        <w:br/>
        <w:t>— Цільовий показник гендерного балансу: не менше 35% студенток серед навчених учасниць проєкту;</w:t>
        <w:br/>
        <w:t>— Цільовий показник для викладацького складу: не менше 40% жінок серед 20 підготовлених викладачів;</w:t>
        <w:br/>
        <w:t>— Активна рекрутингова стратегія: цільові оголошення через жіночі STEM-мережі (Women in Tech Ukraine, AWiSE), семінари з профорієнтації для старшокласниць;</w:t>
        <w:br/>
        <w:t>— Розклад навчання враховує догляд за дітьми: модулі доступні в асинхронному форматі; не плануються обов'язкові заходи у ранковий та вечірній час, несумісний із сімейними обов'язками;</w:t>
        <w:br/>
        <w:t>— Моніторинг гендерної статистики у щоквартальних звітах із коригувальними заходами при відхиленні від цільових показників.</w:t>
      </w:r>
    </w:p>
    <w:p>
      <w:pPr/>
      <w:r>
        <w:rPr>
          <w:rFonts w:ascii="Arial" w:hAnsi="Arial"/>
          <w:color w:val="000000"/>
          <w:sz w:val="22"/>
        </w:rPr>
        <w:t>**Ризик 5. Права людини (Низький; Ймовірність: Низька; Вплив: Середній)**</w:t>
      </w:r>
    </w:p>
    <w:p>
      <w:pPr/>
      <w:r>
        <w:rPr>
          <w:rFonts w:ascii="Arial" w:hAnsi="Arial"/>
          <w:color w:val="000000"/>
          <w:sz w:val="22"/>
        </w:rPr>
        <w:t>*Оцінка:* Проєкт є суто освітнім і не передбачає жодних обмежень за ознаками походження, вірувань чи соціального статусу. Технологія smart grid є подвійного використання в академічному, але не в озброєнні сенсі.</w:t>
      </w:r>
    </w:p>
    <w:p>
      <w:pPr/>
      <w:r>
        <w:rPr>
          <w:rFonts w:ascii="Arial" w:hAnsi="Arial"/>
          <w:color w:val="000000"/>
          <w:sz w:val="22"/>
        </w:rPr>
        <w:t>*Заходи:*</w:t>
        <w:br/>
        <w:t>— Відкритий та недискримінаційний добір учасників: прозорі критерії відбору студентів і викладачів, оприлюднені на сайті проєкту;</w:t>
        <w:br/>
        <w:t>— Включення внутрішньо переміщених осіб (ВПО): особлива увага до залучення студентів-ВПО, яких серед контингенту ЗНУ нараховується понад 15%;</w:t>
        <w:br/>
        <w:t>— Врахування обмежень щодо експортного контролю: зміст курсів M4 (кібербезпека) перевіряється юридичними службами NTNU на відповідність норвезькому законодавству про експортний контроль та подвійне використання технологій (Norsk Senter for Eksportkontroll).</w:t>
      </w:r>
    </w:p>
    <w:p>
      <w:pPr/>
      <w:r>
        <w:rPr>
          <w:rFonts w:ascii="Arial" w:hAnsi="Arial"/>
          <w:color w:val="000000"/>
          <w:sz w:val="22"/>
        </w:rPr>
        <w:t>**Ризик 6. Сексуальна експлуатація, наруга та домагання (СНСД) (Низький; Ймовірність: Низька; Вплив: Критичний)**</w:t>
      </w:r>
    </w:p>
    <w:p>
      <w:pPr/>
      <w:r>
        <w:rPr>
          <w:rFonts w:ascii="Arial" w:hAnsi="Arial"/>
          <w:color w:val="000000"/>
          <w:sz w:val="22"/>
        </w:rPr>
        <w:t>*Заходи:*</w:t>
        <w:br/>
        <w:t>— Обов'язковий інструктаж з СНСД для всіх учасників на початку кожного навчального року (онлайн-модуль, 2 год);</w:t>
        <w:br/>
        <w:t>— Кодекс поведінки NTNU (Code of Conduct), що охоплює заборону СНСД, підписується всіма учасниками заходів за участі норвезьких партнерів;</w:t>
        <w:br/>
        <w:t>— Призначення відповідальних осіб (SEAH focal points) в кожній організації-партнері: одна особа жіночої та одна чоловічої статі;</w:t>
        <w:br/>
        <w:t>— Конфіденційний канал для звернень: захищена форма на сайті проєкту, доступна цілодобово;</w:t>
        <w:br/>
        <w:t>— Особливий протокол для заходів за участі студентів-стажерів у Норвегії: інструктаж NTNU Student Welfare Office перед від'їздом та після прибуття.</w:t>
      </w:r>
    </w:p>
    <w:p>
      <w:pPr/>
      <w:r>
        <w:rPr>
          <w:rFonts w:ascii="Arial" w:hAnsi="Arial"/>
          <w:color w:val="000000"/>
          <w:sz w:val="22"/>
        </w:rPr>
        <w:t>**Ризик 7. Захист даних та ІТ-безпека (Середній; Ймовірність: Середня; Вплив: Середній)**</w:t>
      </w:r>
    </w:p>
    <w:p>
      <w:pPr/>
      <w:r>
        <w:rPr>
          <w:rFonts w:ascii="Arial" w:hAnsi="Arial"/>
          <w:color w:val="000000"/>
          <w:sz w:val="22"/>
        </w:rPr>
        <w:t>*Заходи:*</w:t>
        <w:br/>
        <w:t>— Усі персональні дані учасників обробляються відповідно до GDPR та українського Закону «Про захист персональних даних»;</w:t>
        <w:br/>
        <w:t>— Дані Живої лабораторії (вимірювання кампусної мережі) анонімізуються перед публікацією;</w:t>
        <w:br/>
        <w:t>— Хмарна інфраструктура Azure (Microsoft) відповідає стандартам ISO 27001 та SOC 2 Type II;</w:t>
        <w:br/>
        <w:t>— Регулярне резервне копіювання навчальних матеріалів у двох незалежних хмарних середовищах;</w:t>
        <w:br/>
        <w:t>— Академічна свобода: зміст курсів та результати досліджень не підлягають обмеженням з боку жодної третьої сторони.</w:t>
      </w:r>
    </w:p>
    <w:p>
      <w:pPr/>
      <w:r>
        <w:rPr>
          <w:rFonts w:ascii="Arial" w:hAnsi="Arial"/>
          <w:color w:val="000000"/>
          <w:sz w:val="22"/>
        </w:rPr>
        <w:t>**Ризик 8. Академічна доброчесність і академічна свобода (Низький)**</w:t>
      </w:r>
    </w:p>
    <w:p>
      <w:pPr/>
      <w:r>
        <w:rPr>
          <w:rFonts w:ascii="Arial" w:hAnsi="Arial"/>
          <w:color w:val="000000"/>
          <w:sz w:val="22"/>
        </w:rPr>
        <w:t>— Впроваджується Система академічної доброчесності ЗНУ, узгоджена зі стандартами NTNU та ESG 2015;</w:t>
        <w:br/>
        <w:t>— Усі публікації і навчальні матеріали проходять внутрішнє рецензування до публікації;</w:t>
        <w:br/>
        <w:t>— Використання ШІ-інструментів студентами регулюється прозорою політикою, яка допускає assistive use із обов'язковим зазначенням.</w:t>
      </w:r>
    </w:p>
    <w:p>
      <w:pPr/>
      <w:r>
        <w:rPr>
          <w:rFonts w:ascii="Arial" w:hAnsi="Arial"/>
          <w:color w:val="000000"/>
          <w:sz w:val="22"/>
        </w:rPr>
        <w:t>**Обґрунтування ефективності витрат**</w:t>
      </w:r>
    </w:p>
    <w:p>
      <w:pPr/>
      <w:r>
        <w:rPr>
          <w:rFonts w:ascii="Arial" w:hAnsi="Arial"/>
          <w:color w:val="000000"/>
          <w:sz w:val="22"/>
        </w:rPr>
        <w:t>При бюджеті 5 000 000 NOK (~430 000 EUR) та прямому охопленні 300 студентів і 20 викладачів вартість підготовки одного учасника становить ~1 320 EUR — значно нижче порівнянних програм ЄС. Стійкі результати (акредитовані модулі, навчені викладачі, Living Lab, OER-матеріали) забезпечуватимуть безкоштовну освіту ще сотням студентів щороку після 2029 року, зменшуючи реальну вартість одного підготовленого фахівця до менше 200 EUR за горизонту 5 років. Частка витрат норвезького партнера (NTNU) не перевищує 30% загального бюджету відповідно до вимог програми; основний обсяг ресурсів спрямовується безпосередньо на розбудову спроможності українських університетів.</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r>
        <w:rPr>
          <w:rFonts w:ascii="Arial" w:hAnsi="Arial"/>
          <w:color w:val="000000"/>
          <w:sz w:val="22"/>
        </w:rPr>
        <w:t>**3.1 Ключовий персонал проєкту**</w:t>
      </w:r>
    </w:p>
    <w:p>
      <w:pPr/>
      <w:r>
        <w:rPr>
          <w:rFonts w:ascii="Arial" w:hAnsi="Arial"/>
          <w:color w:val="000000"/>
          <w:sz w:val="22"/>
        </w:rPr>
        <w:t>**NTNU — Координатор проєкту**</w:t>
      </w:r>
    </w:p>
    <w:p>
      <w:pPr/>
      <w:r>
        <w:rPr>
          <w:rFonts w:ascii="Arial" w:hAnsi="Arial"/>
          <w:color w:val="000000"/>
          <w:sz w:val="22"/>
        </w:rPr>
        <w:t>*Проф. N.N. (Project Coordinator, NTNU Department of Electric Power Engineering)* — фахівець зі стажем понад 15 років у галузі інтелектуальних електроенергетичних систем, інтеграції ВДЕ та ШІ для управління мережами. Автор понад 60 рецензованих публікацій у IEEE Transactions on Power Systems та суміжних виданнях. Має досвід координації проєктів Horizon 2020/Europe. Відповідає за загальне управління проєктом, фінансовий менеджмент, взаємодію з HK-dir та NTNU, науковий нагляд за WP1 і WP2.</w:t>
      </w:r>
    </w:p>
    <w:p>
      <w:pPr/>
      <w:r>
        <w:rPr>
          <w:rFonts w:ascii="Arial" w:hAnsi="Arial"/>
          <w:color w:val="000000"/>
          <w:sz w:val="22"/>
        </w:rPr>
        <w:t>*Проф. N.N. (Co-PI, NTNU Department of Engineering Cybernetics)* — спеціаліст у галузі машинного навчання, цифрових двійників та кібербезпеки критичної інфраструктури. Керівник лабораторії smart grid NTNU/SINTEF у частині програмно-апаратних симуляцій. Відповідає за науковий зміст модулів M2, M3, M4 та наукову підтримку WP4 (Living Lab).</w:t>
      </w:r>
    </w:p>
    <w:p>
      <w:pPr/>
      <w:r>
        <w:rPr>
          <w:rFonts w:ascii="Arial" w:hAnsi="Arial"/>
          <w:color w:val="000000"/>
          <w:sz w:val="22"/>
        </w:rPr>
        <w:t>*N.N. (International Coordinator, NTNU Office of International Relations)* — досвід адміністрування більше 10 міжнародних партнерств у зонах конфлікту; відповідає за дотримання вимог HK-dir, безпекові протоколи для мобільності та звітність.</w:t>
      </w:r>
    </w:p>
    <w:p>
      <w:pPr/>
      <w:r>
        <w:rPr>
          <w:rFonts w:ascii="Arial" w:hAnsi="Arial"/>
          <w:color w:val="000000"/>
          <w:sz w:val="22"/>
        </w:rPr>
        <w:t>**ЗНУ — Запорізький національний університет**</w:t>
      </w:r>
    </w:p>
    <w:p>
      <w:pPr/>
      <w:r>
        <w:rPr>
          <w:rFonts w:ascii="Arial" w:hAnsi="Arial"/>
          <w:color w:val="000000"/>
          <w:sz w:val="22"/>
        </w:rPr>
        <w:t>*Проф. N.N. (Deputy Coordinator, ZNU Engineering Educational and Scientific Institute)* — доктор технічних наук, спеціалізація: Smart Grid та відновлювані джерела енергії. Керівник відповідних НДР в ЗНУ. Понад 40 публікацій у сфері енергосистем. Відповідає за впровадження навчальних модулів в ЗНУ (WP1), управління Живою лабораторією (WP4) та координацію зі стейкхолдерами галузі.</w:t>
      </w:r>
    </w:p>
    <w:p>
      <w:pPr/>
      <w:r>
        <w:rPr>
          <w:rFonts w:ascii="Arial" w:hAnsi="Arial"/>
          <w:color w:val="000000"/>
          <w:sz w:val="22"/>
        </w:rPr>
        <w:t>*Доц. N.N. (ZNU Faculty of Mathematics — Laboratory of Parallel and Distributed Computing)* — спеціаліст з МН та HPC-обчислень, досвід у прикладних задачах оптимізації з використанням PyTorch та TensorFlow. Відповідає за технічну реалізацію ML-компонентів Living Lab та навчальний зміст модулів M1 та M5.</w:t>
      </w:r>
    </w:p>
    <w:p>
      <w:pPr/>
      <w:r>
        <w:rPr>
          <w:rFonts w:ascii="Arial" w:hAnsi="Arial"/>
          <w:color w:val="000000"/>
          <w:sz w:val="22"/>
        </w:rPr>
        <w:t>*N.N. (ZNU International Projects Coordinator)* — досвід адміністрування 14 проєктів Erasmus+; відповідає за управлінські процедури в ЗНУ, документообіг, звітність та фінансовий моніторинг.</w:t>
      </w:r>
    </w:p>
    <w:p>
      <w:pPr/>
      <w:r>
        <w:rPr>
          <w:rFonts w:ascii="Arial" w:hAnsi="Arial"/>
          <w:color w:val="000000"/>
          <w:sz w:val="22"/>
        </w:rPr>
        <w:t>**Партнер 2 (до підтвердження)**</w:t>
      </w:r>
    </w:p>
    <w:p>
      <w:pPr/>
      <w:r>
        <w:rPr>
          <w:rFonts w:ascii="Arial" w:hAnsi="Arial"/>
          <w:color w:val="000000"/>
          <w:sz w:val="22"/>
        </w:rPr>
        <w:t>Партнерська установа 2 — провідний технічний університет України з доповнюючою експертизою в галузі розподілених енергосистем та/або кіберфізичних систем (конкретні кандидатури погоджуються NTNU до подання заявки). Ключовий представник Партнера 2 відповідатиме за адаптацію навчальних модулів до власних ОП та внесок даних до WP4.</w:t>
      </w:r>
    </w:p>
    <w:p>
      <w:pPr/>
      <w:r>
        <w:rPr>
          <w:rFonts w:ascii="Arial" w:hAnsi="Arial"/>
          <w:color w:val="000000"/>
          <w:sz w:val="22"/>
        </w:rPr>
        <w:t>**Комплементарність консорціуму**</w:t>
      </w:r>
    </w:p>
    <w:p>
      <w:pPr/>
      <w:r>
        <w:rPr>
          <w:rFonts w:ascii="Arial" w:hAnsi="Arial"/>
          <w:color w:val="000000"/>
          <w:sz w:val="22"/>
        </w:rPr>
        <w:t>Консорціум свідомо поєднує: (1) норвезьку дослідницьку і лабораторну первосвітність (NTNU/SINTEF) з (2) українським операційним контекстом реального конфлікту та наявною інфраструктурою (ЗНУ) і (3) тематично доповнюючими компетенціями Партнера 2. Жоден з партнерів не дублює роль іншого — кожен вносить унікальні та взаємодоповнюючі ресурси.</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r>
        <w:rPr>
          <w:rFonts w:ascii="Arial" w:hAnsi="Arial"/>
          <w:color w:val="000000"/>
          <w:sz w:val="22"/>
        </w:rPr>
        <w:t>**3.2 Взаємодія, розподіл роботи та управлінські структури**</w:t>
      </w:r>
    </w:p>
    <w:p>
      <w:pPr/>
      <w:r>
        <w:rPr>
          <w:rFonts w:ascii="Arial" w:hAnsi="Arial"/>
          <w:color w:val="000000"/>
          <w:sz w:val="22"/>
        </w:rPr>
        <w:t>**Структура управління**</w:t>
      </w:r>
    </w:p>
    <w:p>
      <w:pPr/>
      <w:r>
        <w:rPr>
          <w:rFonts w:ascii="Arial" w:hAnsi="Arial"/>
          <w:color w:val="000000"/>
          <w:sz w:val="22"/>
        </w:rPr>
        <w:t>*Наглядова рада проєкту (Project Steering Committee, PSC):* складається з одного представника вищого керівництва від кожного партнера (проректор або декан рівня); збирається двічі на рік (онлайн, грудень та червень) для стратегічних рішень, затвердження річних звітів і перегляду плану у разі суттєвих змін. PSC є вищим органом ухвалення рішень у проєкті.</w:t>
      </w:r>
    </w:p>
    <w:p>
      <w:pPr/>
      <w:r>
        <w:rPr>
          <w:rFonts w:ascii="Arial" w:hAnsi="Arial"/>
          <w:color w:val="000000"/>
          <w:sz w:val="22"/>
        </w:rPr>
        <w:t>*Координаційний комітет (Project Management Committee, PMC):* Координатор проєкту (NTNU) + заступники координатора від ЗНУ та Партнера 2; щомісячні онлайн-наради (30–60 хв) для оперативного управління, вирішення поточних питань та моніторингу прогресу за KPI.</w:t>
      </w:r>
    </w:p>
    <w:p>
      <w:pPr/>
      <w:r>
        <w:rPr>
          <w:rFonts w:ascii="Arial" w:hAnsi="Arial"/>
          <w:color w:val="000000"/>
          <w:sz w:val="22"/>
        </w:rPr>
        <w:t>*Лідери робочих пакетів:* WP1 — NTNU; WP2 — NTNU; WP3 — ЗНУ + Партнер 2; WP4 — ЗНУ; WP5 — NTNU (координація) + всі партнери. Кожен лідер WP звітує PMC щоквартально.</w:t>
      </w:r>
    </w:p>
    <w:p>
      <w:pPr/>
      <w:r>
        <w:rPr>
          <w:rFonts w:ascii="Arial" w:hAnsi="Arial"/>
          <w:color w:val="000000"/>
          <w:sz w:val="22"/>
        </w:rPr>
        <w:t>**Розподіл бюджету (орієнтовний)**</w:t>
      </w:r>
    </w:p>
    <w:p>
      <w:pPr/>
      <w:r>
        <w:rPr>
          <w:rFonts w:ascii="Arial" w:hAnsi="Arial"/>
          <w:color w:val="000000"/>
          <w:sz w:val="22"/>
        </w:rPr>
        <w:t>NTNU (координатор): ~28% бюджету (нижче ліміту 30%) — витрати на персонал NTNU, організацію тренінгових тижнів, управлінські видатки, звітність.</w:t>
        <w:br/>
        <w:t>ЗНУ: ~42% бюджету — персонал ЗНУ, розгортання Living Lab (обладнання та ПЗ), впровадження курсів, студентська мобільність.</w:t>
        <w:br/>
        <w:t>Партнер 2: ~22% бюджету — персонал, впровадження курсів, студентська мобільність.</w:t>
        <w:br/>
        <w:t>Спільна мобільність (обмін студентами NTNU, конференції): ~8%.</w:t>
      </w:r>
    </w:p>
    <w:p>
      <w:pPr/>
      <w:r>
        <w:rPr>
          <w:rFonts w:ascii="Arial" w:hAnsi="Arial"/>
          <w:color w:val="000000"/>
          <w:sz w:val="22"/>
        </w:rPr>
        <w:t>**Механізми комунікації**</w:t>
      </w:r>
    </w:p>
    <w:p>
      <w:pPr/>
      <w:r>
        <w:rPr>
          <w:rFonts w:ascii="Arial" w:hAnsi="Arial"/>
          <w:color w:val="000000"/>
          <w:sz w:val="22"/>
        </w:rPr>
        <w:t>— Щомісячні PMC-наради: Microsoft Teams (протоколи зберігаються в спільному SharePoint);</w:t>
        <w:br/>
        <w:t>— Спільна документаційна платформа: SharePoint із чітким розмежуванням доступу;</w:t>
        <w:br/>
        <w:t>— Електронне листування: офіційне листування виключно електронною поштою з підтвердженням прочитання для документів, що мають юридичне значення;</w:t>
        <w:br/>
        <w:t>— Аварійний комунікаційний протокол: у разі відключення інтернету в Запоріжжі — резервний зв'язок через супутниковий інтернет (Starlink, наявний у ЗНУ) або мобільний зв'язок.</w:t>
      </w:r>
    </w:p>
    <w:p>
      <w:pPr/>
      <w:r>
        <w:rPr>
          <w:rFonts w:ascii="Arial" w:hAnsi="Arial"/>
          <w:color w:val="000000"/>
          <w:sz w:val="22"/>
        </w:rPr>
        <w:t>**Залучення стейкхолдерів**</w:t>
      </w:r>
    </w:p>
    <w:p>
      <w:pPr/>
      <w:r>
        <w:rPr>
          <w:rFonts w:ascii="Arial" w:hAnsi="Arial"/>
          <w:color w:val="000000"/>
          <w:sz w:val="22"/>
        </w:rPr>
        <w:t>*Галузеві партнери:* Укренерго, регіональні електророзподільні компанії (обленерго) Запорізької, Дніпропетровської та суміжних областей залучаються як: (1) постачальники реальних даних для навчання ML-моделей (анонімізованих відповідно до угод NDA); (2) ко-куратори студентських capstone-проєктів; (3) потенційні роботодавці випускників.</w:t>
      </w:r>
    </w:p>
    <w:p>
      <w:pPr/>
      <w:r>
        <w:rPr>
          <w:rFonts w:ascii="Arial" w:hAnsi="Arial"/>
          <w:color w:val="000000"/>
          <w:sz w:val="22"/>
        </w:rPr>
        <w:t>*МОН України:* Результати проєкту (розроблені модулі) передаються до Міністерства освіти і науки з рекомендацією щодо включення у державні стандарти підготовки за спеціальністю 141.</w:t>
      </w:r>
    </w:p>
    <w:p>
      <w:pPr/>
      <w:r>
        <w:rPr>
          <w:rFonts w:ascii="Arial" w:hAnsi="Arial"/>
          <w:color w:val="000000"/>
          <w:sz w:val="22"/>
        </w:rPr>
        <w:t>*HK-dir:* Регулярна звітність (проміжний та фінальний звіти) відповідно до вимог програми; участь представника HK-dir запрошується до щорічної конференції проєкту.</w:t>
      </w:r>
    </w:p>
    <w:p>
      <w:pPr/>
      <w:r>
        <w:rPr>
          <w:rFonts w:ascii="Arial" w:hAnsi="Arial"/>
          <w:color w:val="000000"/>
          <w:sz w:val="22"/>
        </w:rPr>
        <w:t>*Громада ЗВО:* Результати OER публікуються у відкритому доступі; технічний звіт Living Lab поширюється серед не менш ніж 15 технічних університетів України для потенційного тиражування.</w:t>
      </w:r>
    </w:p>
    <w:p>
      <w:pPr/>
      <w:r>
        <w:rPr>
          <w:rFonts w:ascii="Arial" w:hAnsi="Arial"/>
          <w:color w:val="000000"/>
          <w:sz w:val="22"/>
        </w:rPr>
        <w:t>**Забезпечення якості**</w:t>
      </w:r>
    </w:p>
    <w:p>
      <w:pPr/>
      <w:r>
        <w:rPr>
          <w:rFonts w:ascii="Arial" w:hAnsi="Arial"/>
          <w:color w:val="000000"/>
          <w:sz w:val="22"/>
        </w:rPr>
        <w:t>Зовнішній незалежний рецензент (експерт у галузі smart grid освіти, не пов'язаний з жодним із партнерів) здійснює оцінку проміжних результатів наприкінці Року 2 та фінальних результатів наприкінці Року 3. Висновки рецензента є обов'язковими для розгляду PSC.</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r>
        <w:rPr>
          <w:rFonts w:ascii="Arial" w:hAnsi="Arial"/>
          <w:color w:val="000000"/>
          <w:sz w:val="22"/>
        </w:rPr>
        <w:t>**4.1 Вплив проєкту та поширення результатів**</w:t>
      </w:r>
    </w:p>
    <w:p>
      <w:pPr/>
      <w:r>
        <w:rPr>
          <w:rFonts w:ascii="Arial" w:hAnsi="Arial"/>
          <w:color w:val="000000"/>
          <w:sz w:val="22"/>
        </w:rPr>
        <w:t>**Прямий вплив на цільові групи**</w:t>
      </w:r>
    </w:p>
    <w:p>
      <w:pPr/>
      <w:r>
        <w:rPr>
          <w:rFonts w:ascii="Arial" w:hAnsi="Arial"/>
          <w:color w:val="000000"/>
          <w:sz w:val="22"/>
        </w:rPr>
        <w:t>За три роки реалізації проєкт безпосередньо охопить:</w:t>
        <w:br/>
        <w:t>— 300 студентів бакалаврату та магістратури, які здобудуть верифіковані компетенції у сфері ШІ для smart grid;</w:t>
        <w:br/>
        <w:t>— 20 викладачів (науково-педагогічних працівників), підготовлених до самостійного викладання нових дисциплін;</w:t>
        <w:br/>
        <w:t>— Щонайменше 30 представників галузі (Укренерго, обленерго, проєктні компанії), залучених до семінарів і capstone-журі;</w:t>
        <w:br/>
        <w:t>— 8 студентів-магістрантів, які пройдуть стажування в NTNU та отримають досвід навчання у світовому дослідницькому центрі.</w:t>
      </w:r>
    </w:p>
    <w:p>
      <w:pPr/>
      <w:r>
        <w:rPr>
          <w:rFonts w:ascii="Arial" w:hAnsi="Arial"/>
          <w:color w:val="000000"/>
          <w:sz w:val="22"/>
        </w:rPr>
        <w:t>Для студентів трансформаційний вплив полягає не лише в здобутті нових технічних знань, а й у доступі до міжнародної академічної мережі та кар'єрних можливостей у секторі відновлюваної енергетики й цифрової трансформації, що є одним із найбільш перспективних і дефіцитних ринків праці в Україні на найближче десятиліття.</w:t>
      </w:r>
    </w:p>
    <w:p>
      <w:pPr/>
      <w:r>
        <w:rPr>
          <w:rFonts w:ascii="Arial" w:hAnsi="Arial"/>
          <w:color w:val="000000"/>
          <w:sz w:val="22"/>
        </w:rPr>
        <w:t>**Інституційний вплив**</w:t>
      </w:r>
    </w:p>
    <w:p>
      <w:pPr/>
      <w:r>
        <w:rPr>
          <w:rFonts w:ascii="Arial" w:hAnsi="Arial"/>
          <w:color w:val="000000"/>
          <w:sz w:val="22"/>
        </w:rPr>
        <w:t>Для ЗНУ та Партнера 2 проєкт забезпечить структурну трансформацію:</w:t>
        <w:br/>
        <w:t>— 6 нових навчальних модулів, офіційно акредитованих і включених до навчальних планів, продовжуватимуть надаватися студентам після 2029 року без додаткового фінансування;</w:t>
        <w:br/>
        <w:t>— Жива лабораторія стане постійно діючим навчально-дослідницьким активом університету: після завершення проєкту вона функціонуватиме як дослідницька інфраструктура для наступних грантових проєктів та дипломних робіт;</w:t>
        <w:br/>
        <w:t>— Підготовлені 20 викладачів формують «ядро компетенцій», здатне до подальшого самовідтворення через внутрішні тренінги нових колег і розробку суміжних курсів;</w:t>
        <w:br/>
        <w:t>— Підвищується міжнародний рейтинг університетів: участь у норвезько-українській партнерській програмі та спільні публікації Scopus посилюють позиції в університетських рейтингах.</w:t>
      </w:r>
    </w:p>
    <w:p>
      <w:pPr/>
      <w:r>
        <w:rPr>
          <w:rFonts w:ascii="Arial" w:hAnsi="Arial"/>
          <w:color w:val="000000"/>
          <w:sz w:val="22"/>
        </w:rPr>
        <w:t>**Регіональний та національний вплив**</w:t>
      </w:r>
    </w:p>
    <w:p>
      <w:pPr/>
      <w:r>
        <w:rPr>
          <w:rFonts w:ascii="Arial" w:hAnsi="Arial"/>
          <w:color w:val="000000"/>
          <w:sz w:val="22"/>
        </w:rPr>
        <w:t>Запорізький регіон є пілотним майданчиком для відбудови одного з найбільш пошкоджених енергетичних вузлів України. Фахівці, підготовлені в рамках проєкту, стануть кадровим ядром для:</w:t>
        <w:br/>
        <w:t>— Проєктування та супроводу нових розподілених мікромереж із ВДЕ, що будуватимуться в межах Плану відновлення України;</w:t>
        <w:br/>
        <w:t>— Впровадження систем інтелектуального управління попитом, що є критично важливим для балансування мережі в умовах асиметричного відновлення генерації;</w:t>
        <w:br/>
        <w:t>— Розбудови кіберзахисту критичної інфраструктури, вразливість якої довели атаки на енергосистему.</w:t>
      </w:r>
    </w:p>
    <w:p>
      <w:pPr/>
      <w:r>
        <w:rPr>
          <w:rFonts w:ascii="Arial" w:hAnsi="Arial"/>
          <w:color w:val="000000"/>
          <w:sz w:val="22"/>
        </w:rPr>
        <w:t>На національному рівні відкриті OER-матеріали, доступні на OpenEdX, потенційно охоплять студентів десятків технічних університетів України. За базовим сценарієм, якщо лише 10 університетів адаптують хоча б 2 модулі, щорічне охоплення може перевищити 1 000 студентів — в 3 рази більше, ніж безпосередній ефект проєкту. Рекомендація МОН України щодо включення розроблених стандартів до державних освітніх стандартів за спеціальністю 141 є механізмом для досягнення цього системного ефекту.</w:t>
      </w:r>
    </w:p>
    <w:p>
      <w:pPr/>
      <w:r>
        <w:rPr>
          <w:rFonts w:ascii="Arial" w:hAnsi="Arial"/>
          <w:color w:val="000000"/>
          <w:sz w:val="22"/>
        </w:rPr>
        <w:t>**Вплив на норвезький партнер**</w:t>
      </w:r>
    </w:p>
    <w:p>
      <w:pPr/>
      <w:r>
        <w:rPr>
          <w:rFonts w:ascii="Arial" w:hAnsi="Arial"/>
          <w:color w:val="000000"/>
          <w:sz w:val="22"/>
        </w:rPr>
        <w:t>Для NTNU проєкт сприяє виконанню інституційних зобов'язань у рамках Нансенівської програми підтримки України; розширює мережу міжнародних партнерств у Центральній та Східній Європі; надає унікальний дослідницький контекст (реальна мережа в умовах конфлікту та відбудови) для дослідницьких груп у галузі smart grid.</w:t>
      </w:r>
    </w:p>
    <w:p>
      <w:pPr/>
      <w:r>
        <w:rPr>
          <w:rFonts w:ascii="Arial" w:hAnsi="Arial"/>
          <w:color w:val="000000"/>
          <w:sz w:val="22"/>
        </w:rPr>
        <w:t>**План поширення результатів**</w:t>
      </w:r>
    </w:p>
    <w:p>
      <w:pPr/>
      <w:r>
        <w:rPr>
          <w:rFonts w:ascii="Arial" w:hAnsi="Arial"/>
          <w:color w:val="000000"/>
          <w:sz w:val="22"/>
        </w:rPr>
        <w:t>*Наукові публікації:* 8 статей у рецензованих журналах Q1/Q2 (IEEE Transactions on Power Systems, Energies, Applied Energy); тематика: ML-моделі прогнозування навантаження на даних Living Lab, цифровий двійник для мікромереж з ВДЕ, педагогічні інновації в технічній освіті в умовах конфлікту.</w:t>
      </w:r>
    </w:p>
    <w:p>
      <w:pPr/>
      <w:r>
        <w:rPr>
          <w:rFonts w:ascii="Arial" w:hAnsi="Arial"/>
          <w:color w:val="000000"/>
          <w:sz w:val="22"/>
        </w:rPr>
        <w:t>*Конференції:* Участь у IEEE PES General Meeting, International Conference on Smart Energy Systems та українських конференціях з електроенергетики (3–4 доповіді щорічно).</w:t>
      </w:r>
    </w:p>
    <w:p>
      <w:pPr/>
      <w:r>
        <w:rPr>
          <w:rFonts w:ascii="Arial" w:hAnsi="Arial"/>
          <w:color w:val="000000"/>
          <w:sz w:val="22"/>
        </w:rPr>
        <w:t>*Відкриті освітні ресурси:* Усі 6 модулів, включаючи відеолекції, навчальні набори даних та Jupyter-ноутбуки, публікуються під ліцензією CC BY 4.0 на OpenEdX.</w:t>
      </w:r>
    </w:p>
    <w:p>
      <w:pPr/>
      <w:r>
        <w:rPr>
          <w:rFonts w:ascii="Arial" w:hAnsi="Arial"/>
          <w:color w:val="000000"/>
          <w:sz w:val="22"/>
        </w:rPr>
        <w:t>*Медіа та громадська комунікація:* Щоквартальний блог проєкту на сайті (двомовний: українська/англійська); репости через канали NTNU, ЗНУ та HK-dir; прес-релізи до ключових подій.</w:t>
      </w:r>
    </w:p>
    <w:p>
      <w:pPr/>
      <w:r>
        <w:rPr>
          <w:rFonts w:ascii="Arial" w:hAnsi="Arial"/>
          <w:color w:val="000000"/>
          <w:sz w:val="22"/>
        </w:rPr>
        <w:t>*Галузева комунікація:* Технічний звіт Living Lab поширюється серед Укренерго та профільних міністерств (Міністерство енергетики України, Міністерство цифрової трансформації).</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r>
        <w:rPr>
          <w:rFonts w:ascii="Arial" w:hAnsi="Arial"/>
          <w:color w:val="000000"/>
          <w:sz w:val="22"/>
        </w:rPr>
        <w:t>**4.2 Тривалість впливу та оцінка результатів проєкту**</w:t>
      </w:r>
    </w:p>
    <w:p>
      <w:pPr/>
      <w:r>
        <w:rPr>
          <w:rFonts w:ascii="Arial" w:hAnsi="Arial"/>
          <w:color w:val="000000"/>
          <w:sz w:val="22"/>
        </w:rPr>
        <w:t>**Стратегія сталості після 2029 року**</w:t>
      </w:r>
    </w:p>
    <w:p>
      <w:pPr/>
      <w:r>
        <w:rPr>
          <w:rFonts w:ascii="Arial" w:hAnsi="Arial"/>
          <w:color w:val="000000"/>
          <w:sz w:val="22"/>
        </w:rPr>
        <w:t>Проєкт розроблений так, щоб його результати існували незалежно від зовнішнього фінансування вже з першого дня після закриття гранту. Сталість забезпечується через чотири взаємопов'язані механізми.</w:t>
      </w:r>
    </w:p>
    <w:p>
      <w:pPr/>
      <w:r>
        <w:rPr>
          <w:rFonts w:ascii="Arial" w:hAnsi="Arial"/>
          <w:color w:val="000000"/>
          <w:sz w:val="22"/>
        </w:rPr>
        <w:t>*Механізм 1 — Інституціоналізація навчальних програм.* Усі 6 модулів офіційно акредитуються та включаються до чинних навчальних планів ЗНУ та Партнера 2 до кінця Року 2 (грудень 2027). Це означає, що їхнє подальше викладання не потребує грантового фінансування — воно здійснюється в рамках регулярного бюджету університетів. Підготовлені 20 викладачів є людським капіталом, який залишається в університетах.</w:t>
      </w:r>
    </w:p>
    <w:p>
      <w:pPr/>
      <w:r>
        <w:rPr>
          <w:rFonts w:ascii="Arial" w:hAnsi="Arial"/>
          <w:color w:val="000000"/>
          <w:sz w:val="22"/>
        </w:rPr>
        <w:t>*Механізм 2 — Жива лабораторія як інфраструктурний актив.* Обладнання Living Lab (smart meters, IoT-шлюзи) та розроблене ПЗ (цифровий двійник) залишаються власністю ЗНУ і продовжують функціонувати. Кампусна сонячна мікромережа генерує нові дані щодня — це означає, що дослідницька і навчальна актуальність лабораторії зростатиме з часом, а не зменшуватиметься.</w:t>
      </w:r>
    </w:p>
    <w:p>
      <w:pPr/>
      <w:r>
        <w:rPr>
          <w:rFonts w:ascii="Arial" w:hAnsi="Arial"/>
          <w:color w:val="000000"/>
          <w:sz w:val="22"/>
        </w:rPr>
        <w:t>*Механізм 3 — Горизонт Європа як наступний фінансовий цикл.* Наприкінці Року 3 консорціум подає спільну заявку до програми Horizon Europe (Cluster 5: Climate, Energy, Mobility або EIC Pathfinder) на розширення досліджень Living Lab до рівня регіонального smart grid пілоту. Ця заявка готується в рамках WP5 і використовує наукові результати та мережу контактів, здобуті в проєкті. Партнерство з SINTEF Energy Research (через NTNU) розширює науковий потенціал консорціуму для Horizon-конкуренції.</w:t>
      </w:r>
    </w:p>
    <w:p>
      <w:pPr/>
      <w:r>
        <w:rPr>
          <w:rFonts w:ascii="Arial" w:hAnsi="Arial"/>
          <w:color w:val="000000"/>
          <w:sz w:val="22"/>
        </w:rPr>
        <w:t>*Механізм 4 — Відкриті освітні ресурси.* Матеріали на OpenEdX не потребують обслуговування після публікації і доступні для всіх українських університетів безкоштовно і безстроково.</w:t>
      </w:r>
    </w:p>
    <w:p>
      <w:pPr/>
      <w:r>
        <w:rPr>
          <w:rFonts w:ascii="Arial" w:hAnsi="Arial"/>
          <w:color w:val="000000"/>
          <w:sz w:val="22"/>
        </w:rPr>
        <w:t>**Довгострокове партнерство NTNU–ЗНУ**</w:t>
      </w:r>
    </w:p>
    <w:p>
      <w:pPr/>
      <w:r>
        <w:rPr>
          <w:rFonts w:ascii="Arial" w:hAnsi="Arial"/>
          <w:color w:val="000000"/>
          <w:sz w:val="22"/>
        </w:rPr>
        <w:t>Дорожня карта NTNU–ЗНУ на 2026–2028 роки визначає AI-SmartGrid як першу сходинку до довгострокової стратегічної взаємодії, яка включатиме спільне керівництво PhD-дисертаціями, постдокторські обміни та масштабні спільні дослідницькі проєкти. Цей горизонт виходить далеко за межі 2029 року.</w:t>
      </w:r>
    </w:p>
    <w:p>
      <w:pPr/>
      <w:r>
        <w:rPr>
          <w:rFonts w:ascii="Arial" w:hAnsi="Arial"/>
          <w:color w:val="000000"/>
          <w:sz w:val="22"/>
        </w:rPr>
        <w:t>**Методологія оцінки впливу**</w:t>
      </w:r>
    </w:p>
    <w:p>
      <w:pPr/>
      <w:r>
        <w:rPr>
          <w:rFonts w:ascii="Arial" w:hAnsi="Arial"/>
          <w:color w:val="000000"/>
          <w:sz w:val="22"/>
        </w:rPr>
        <w:t>Проєкт запроваджує багатовимірну систему оцінки, що відстежує результати на чотирьох рівнях:</w:t>
      </w:r>
    </w:p>
    <w:p>
      <w:pPr/>
      <w:r>
        <w:rPr>
          <w:rFonts w:ascii="Arial" w:hAnsi="Arial"/>
          <w:color w:val="000000"/>
          <w:sz w:val="22"/>
        </w:rPr>
        <w:t>*Рівень 1 — Навчальні результати студентів:* Стандартизований вхідний та вихідний тест компетенцій (pre/post) для кожного модуля; результати проєктних робіт (оцінки capstone-проєктів); рівень задоволеності (опитування за 5-бальною шкалою Лікерта після кожного модуля).</w:t>
      </w:r>
    </w:p>
    <w:p>
      <w:pPr/>
      <w:r>
        <w:rPr>
          <w:rFonts w:ascii="Arial" w:hAnsi="Arial"/>
          <w:color w:val="000000"/>
          <w:sz w:val="22"/>
        </w:rPr>
        <w:t>*Рівень 2 — Компетенції викладачів:* Самооцінка викладачів до і після тренінгу (шкала педагогічної впевненості); якість розроблених навчальних матеріалів (рецензування зовнішнім експертом); кількість нових навчально-методичних матеріалів, розроблених самостійно після тренінгу (відстеження впродовж 2 років після тренінгу).</w:t>
      </w:r>
    </w:p>
    <w:p>
      <w:pPr/>
      <w:r>
        <w:rPr>
          <w:rFonts w:ascii="Arial" w:hAnsi="Arial"/>
          <w:color w:val="000000"/>
          <w:sz w:val="22"/>
        </w:rPr>
        <w:t>*Рівень 3 — Інституційний прогрес:* KPI: кількість акредитованих модулів; кількість студентів, зарахованих на нові курси в кожному семестрі; кількість та імпакт-фактор спільних публікацій; відвідуваність OER-матеріалів на OpenEdX (аналітика платформи).</w:t>
      </w:r>
    </w:p>
    <w:p>
      <w:pPr/>
      <w:r>
        <w:rPr>
          <w:rFonts w:ascii="Arial" w:hAnsi="Arial"/>
          <w:color w:val="000000"/>
          <w:sz w:val="22"/>
        </w:rPr>
        <w:t>*Рівень 4 — Кар'єрні результати (пост-проєктний моніторинг):* Річне опитування випускників (alumni survey) через 1 і 2 роки після завершення навчання: частка зайнятих у секторі відновлюваної енергетики / ІТ; рівень використання здобутих компетенцій; оцінка роботодавців.</w:t>
      </w:r>
    </w:p>
    <w:p>
      <w:pPr/>
      <w:r>
        <w:rPr>
          <w:rFonts w:ascii="Arial" w:hAnsi="Arial"/>
          <w:color w:val="000000"/>
          <w:sz w:val="22"/>
        </w:rPr>
        <w:t>*Документування та звітність:* Дані збираються координаторами WP щоквартально, узагальнюються у піврічних звітах. Фінальний звіт із оцінки впливу (Impact Evaluation Report) надається до HK-dir не пізніше ніж через 6 місяців після закінчення проєкту. Усі первинні дані оцінювання архівуються у спільному SharePoint впродовж 5 років відповідно до вимог NTNU.</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numPr>
          <w:ilvl w:val="0"/>
          <w:numId w:val="2"/>
        </w:numPr>
        <w:rPr>
          <w:sz w:val="18"/>
          <w:szCs w:val="18"/>
        </w:rPr>
      </w:pPr>
      <w:r>
        <w:rPr>
          <w:rFonts w:ascii="Arial" w:hAnsi="Arial"/>
          <w:sz w:val="20"/>
        </w:rPr>
        <w:t>[1] Ukrenergo (2024). Annual Report on the State of Ukraine's Power System Under Wartime Conditions. Kyiv: National Power Company Ukrenergo. Available at: https://ua.energy/</w:t>
      </w:r>
    </w:p>
    <w:p>
      <w:pPr/>
      <w:r>
        <w:rPr>
          <w:rFonts w:ascii="Arial" w:hAnsi="Arial"/>
          <w:sz w:val="20"/>
        </w:rPr>
        <w:t>[2] World Bank Group (2024). Ukraine Rapid Damage and Needs Assessment: Energy Sector. Washington D.C.: World Bank. https://doi.org/10.1596/41388</w:t>
      </w:r>
    </w:p>
    <w:p>
      <w:pPr/>
      <w:r>
        <w:rPr>
          <w:rFonts w:ascii="Arial" w:hAnsi="Arial"/>
          <w:sz w:val="20"/>
        </w:rPr>
        <w:t>[3] Kyiv School of Economics (2024). Ukraine War Damage Report: Infrastructure Losses as of December 2024. Kyiv: KSE Institute. Available at: https://kse.ua/</w:t>
      </w:r>
    </w:p>
    <w:p>
      <w:pPr/>
      <w:r>
        <w:rPr>
          <w:rFonts w:ascii="Arial" w:hAnsi="Arial"/>
          <w:sz w:val="20"/>
        </w:rPr>
        <w:t>[4] Government of Ukraine (2023). National Recovery Plan of Ukraine (План відновлення України). Cabinet of Ministers of Ukraine. Kyiv. Available at: https://plan.gov.ua/</w:t>
      </w:r>
    </w:p>
    <w:p>
      <w:pPr/>
      <w:r>
        <w:rPr>
          <w:rFonts w:ascii="Arial" w:hAnsi="Arial"/>
          <w:sz w:val="20"/>
        </w:rPr>
        <w:t>[5] Ministry of Energy of Ukraine (2023). National Energy Strategy of Ukraine until 2050. Kyiv: Ministry of Energy. Available at: https://mev.gov.ua/</w:t>
      </w:r>
    </w:p>
    <w:p>
      <w:pPr/>
      <w:r>
        <w:rPr>
          <w:rFonts w:ascii="Arial" w:hAnsi="Arial"/>
          <w:sz w:val="20"/>
        </w:rPr>
        <w:t>[6] Transparency International (2024). Corruption Perceptions Index 2023. Berlin: Transparency International. Available at: https://www.transparency.org/en/cpi/2023</w:t>
      </w:r>
    </w:p>
    <w:p>
      <w:pPr/>
      <w:r>
        <w:rPr>
          <w:rFonts w:ascii="Arial" w:hAnsi="Arial"/>
          <w:sz w:val="20"/>
        </w:rPr>
        <w:t>[7] Pepermans, G., Driesen, J., Haeseldonckx, D., Belmans, R., &amp; D'haeseleer, W. (2005). Distributed generation: definition, benefits and issues. Energy Policy, 33(6), 787–798. https://doi.org/10.1016/j.enpol.2003.10.004</w:t>
      </w:r>
    </w:p>
    <w:p>
      <w:pPr/>
      <w:r>
        <w:rPr>
          <w:rFonts w:ascii="Arial" w:hAnsi="Arial"/>
          <w:sz w:val="20"/>
        </w:rPr>
        <w:t>[8] Kundur, P., Paserba, J., Ajjarapu, V., et al. (2004). Definition and classification of power system stability. IEEE Transactions on Power Systems, 19(3), 1387–1401. https://doi.org/10.1109/TPWRS.2004.825981</w:t>
      </w:r>
    </w:p>
    <w:p>
      <w:pPr/>
      <w:r>
        <w:rPr>
          <w:rFonts w:ascii="Arial" w:hAnsi="Arial"/>
          <w:sz w:val="20"/>
        </w:rPr>
        <w:t>[9] Kong, W., Dong, Z. Y., Jia, Y., Hill, D. J., Xu, Y., &amp; Zhang, Y. (2019). Short-term residential load forecasting based on LSTM recurrent neural network. IEEE Transactions on Smart Grid, 10(1), 841–851. https://doi.org/10.1109/TSG.2017.2753802</w:t>
      </w:r>
    </w:p>
    <w:p>
      <w:pPr/>
      <w:r>
        <w:rPr>
          <w:rFonts w:ascii="Arial" w:hAnsi="Arial"/>
          <w:sz w:val="20"/>
        </w:rPr>
        <w:t>[10] Mnih, V., Kavukcuoglu, K., Silver, D., et al. (2015). Human-level control through deep reinforcement learning. Nature, 518, 529–533. https://doi.org/10.1038/nature14236</w:t>
      </w:r>
    </w:p>
    <w:p>
      <w:pPr/>
      <w:r>
        <w:rPr>
          <w:rFonts w:ascii="Arial" w:hAnsi="Arial"/>
          <w:sz w:val="20"/>
        </w:rPr>
        <w:t>[11] Grieves, M., &amp; Vickers, J. (2017). Digital twin: Mitigating unpredictable, undesirable emergent behavior in complex systems. In F.-J. Kahlen, S. Flumerfelt, &amp; A. Alves (Eds.), Transdisciplinary Perspectives on Complex Systems (pp. 85–113). Springer. https://doi.org/10.1007/978-3-319-38756-7_4</w:t>
      </w:r>
    </w:p>
    <w:p>
      <w:pPr/>
      <w:r>
        <w:rPr>
          <w:rFonts w:ascii="Arial" w:hAnsi="Arial"/>
          <w:sz w:val="20"/>
        </w:rPr>
        <w:t>[12] Lässig, J., Kerber, G., &amp; Knapek, M. (2022). Anomaly detection in smart grids using machine learning: A systematic literature review. Energies, 15(21), 8054. https://doi.org/10.3390/en15218054</w:t>
      </w:r>
    </w:p>
    <w:p>
      <w:pPr/>
      <w:r>
        <w:rPr>
          <w:rFonts w:ascii="Arial" w:hAnsi="Arial"/>
          <w:sz w:val="20"/>
        </w:rPr>
        <w:t>[13] IEA (2024). World Energy Outlook 2024. Paris: International Energy Agency. https://www.iea.org/reports/world-energy-outlook-2024</w:t>
      </w:r>
    </w:p>
    <w:p>
      <w:pPr/>
      <w:r>
        <w:rPr>
          <w:rFonts w:ascii="Arial" w:hAnsi="Arial"/>
          <w:sz w:val="20"/>
        </w:rPr>
        <w:t>[14] HK-dir (2025). Nansen Support Programme for Ukraine: Call for Applications — Nansen EDU 2025. Oslo: Norwegian Directorate for Higher Education and Skills. Available at: https://hkdir.no/</w:t>
      </w:r>
    </w:p>
    <w:p>
      <w:pPr/>
      <w:r>
        <w:rPr>
          <w:rFonts w:ascii="Arial" w:hAnsi="Arial"/>
          <w:sz w:val="20"/>
        </w:rPr>
        <w:t>[15] European Commission (2022). REPowerEU Plan. COM(2022) 230 final. Brussels: European Commission. https://eur-lex.europa.eu/legal-content/EN/TXT/?uri=COM:2022:230:FIN</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