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1B6C" w14:textId="14FC6BE6" w:rsidR="000233C9" w:rsidRPr="003462FB" w:rsidRDefault="000233C9" w:rsidP="000233C9">
      <w:pPr>
        <w:pStyle w:val="Ingenmellomrom"/>
        <w:jc w:val="center"/>
        <w:rPr>
          <w:b/>
          <w:bCs/>
          <w:sz w:val="44"/>
          <w:szCs w:val="44"/>
        </w:rPr>
      </w:pPr>
      <w:r w:rsidRPr="003462FB">
        <w:rPr>
          <w:b/>
          <w:bCs/>
          <w:sz w:val="44"/>
          <w:szCs w:val="44"/>
        </w:rPr>
        <w:t>PROJECT DESCRIPTION</w:t>
      </w:r>
      <w:r w:rsidR="00B44257">
        <w:rPr>
          <w:b/>
          <w:bCs/>
          <w:sz w:val="44"/>
          <w:szCs w:val="44"/>
        </w:rPr>
        <w:t xml:space="preserve"> NANSEN EDU 2025</w:t>
      </w:r>
    </w:p>
    <w:p w14:paraId="11A5E9E9" w14:textId="77777777" w:rsidR="000233C9" w:rsidRPr="003462FB" w:rsidRDefault="000233C9" w:rsidP="000233C9">
      <w:pPr>
        <w:pStyle w:val="Ingenmellomrom"/>
      </w:pPr>
    </w:p>
    <w:tbl>
      <w:tblPr>
        <w:tblStyle w:val="Tabellrutenett"/>
        <w:tblW w:w="0" w:type="auto"/>
        <w:tblLook w:val="04A0" w:firstRow="1" w:lastRow="0" w:firstColumn="1" w:lastColumn="0" w:noHBand="0" w:noVBand="1"/>
      </w:tblPr>
      <w:tblGrid>
        <w:gridCol w:w="2122"/>
        <w:gridCol w:w="7506"/>
      </w:tblGrid>
      <w:tr w:rsidR="000233C9" w:rsidRPr="003462FB" w14:paraId="3A1B461F" w14:textId="77777777" w:rsidTr="006B03FD">
        <w:tc>
          <w:tcPr>
            <w:tcW w:w="2122" w:type="dxa"/>
            <w:shd w:val="clear" w:color="auto" w:fill="F7CAAC" w:themeFill="accent2" w:themeFillTint="66"/>
          </w:tcPr>
          <w:p w14:paraId="250B43DF" w14:textId="77777777" w:rsidR="000233C9" w:rsidRPr="003462FB" w:rsidRDefault="000233C9" w:rsidP="006B03FD">
            <w:pPr>
              <w:pStyle w:val="Ingenmellomrom"/>
              <w:rPr>
                <w:b/>
                <w:bCs/>
              </w:rPr>
            </w:pPr>
            <w:r w:rsidRPr="003462FB">
              <w:rPr>
                <w:b/>
                <w:bCs/>
              </w:rPr>
              <w:t>Project number:</w:t>
            </w:r>
          </w:p>
        </w:tc>
        <w:tc>
          <w:tcPr>
            <w:tcW w:w="7506" w:type="dxa"/>
          </w:tcPr>
          <w:p w14:paraId="3C378CA4" w14:textId="77777777" w:rsidR="000233C9" w:rsidRPr="003462FB" w:rsidRDefault="000233C9" w:rsidP="006B03FD">
            <w:pPr>
              <w:pStyle w:val="Ingenmellomrom"/>
            </w:pPr>
            <w:r w:rsidRPr="003462FB">
              <w:t>Enter the project number from the online application form in Espresso.</w:t>
            </w:r>
          </w:p>
        </w:tc>
      </w:tr>
      <w:tr w:rsidR="000233C9" w:rsidRPr="003462FB" w14:paraId="402479C5" w14:textId="77777777" w:rsidTr="006B03FD">
        <w:tc>
          <w:tcPr>
            <w:tcW w:w="2122" w:type="dxa"/>
            <w:shd w:val="clear" w:color="auto" w:fill="F7CAAC" w:themeFill="accent2" w:themeFillTint="66"/>
          </w:tcPr>
          <w:p w14:paraId="435DE53C" w14:textId="77777777" w:rsidR="000233C9" w:rsidRPr="003462FB" w:rsidRDefault="000233C9" w:rsidP="006B03FD">
            <w:pPr>
              <w:pStyle w:val="Ingenmellomrom"/>
              <w:rPr>
                <w:b/>
                <w:bCs/>
              </w:rPr>
            </w:pPr>
            <w:r w:rsidRPr="003462FB">
              <w:rPr>
                <w:b/>
                <w:bCs/>
              </w:rPr>
              <w:t>Project title:</w:t>
            </w:r>
          </w:p>
        </w:tc>
        <w:tc>
          <w:tcPr>
            <w:tcW w:w="7506" w:type="dxa"/>
          </w:tcPr>
          <w:p>
            <w:r>
              <w:t>Smart and Resilient Energy Systems for Ukraine's Post-War Reconstruction (SmartEnergy-UA)</w:t>
            </w:r>
          </w:p>
        </w:tc>
      </w:tr>
      <w:tr w:rsidR="000233C9" w:rsidRPr="003462FB" w14:paraId="452A1CE6" w14:textId="77777777" w:rsidTr="006B03FD">
        <w:tc>
          <w:tcPr>
            <w:tcW w:w="2122" w:type="dxa"/>
            <w:shd w:val="clear" w:color="auto" w:fill="F7CAAC" w:themeFill="accent2" w:themeFillTint="66"/>
          </w:tcPr>
          <w:p w14:paraId="526047D1" w14:textId="77777777" w:rsidR="000233C9" w:rsidRPr="003462FB" w:rsidRDefault="000233C9" w:rsidP="006B03FD">
            <w:pPr>
              <w:pStyle w:val="Ingenmellomrom"/>
              <w:rPr>
                <w:b/>
                <w:bCs/>
              </w:rPr>
            </w:pPr>
            <w:r w:rsidRPr="003462FB">
              <w:rPr>
                <w:b/>
                <w:bCs/>
              </w:rPr>
              <w:t>Applicant institution:</w:t>
            </w:r>
          </w:p>
        </w:tc>
        <w:tc>
          <w:tcPr>
            <w:tcW w:w="7506" w:type="dxa"/>
          </w:tcPr>
          <w:p>
            <w:r>
              <w:t>NTNU — Norwegian University of Science and Technology</w:t>
            </w:r>
          </w:p>
        </w:tc>
      </w:tr>
    </w:tbl>
    <w:p w14:paraId="7BA37F90" w14:textId="77777777" w:rsidR="000233C9" w:rsidRPr="003462FB" w:rsidRDefault="000233C9" w:rsidP="000233C9">
      <w:pPr>
        <w:pStyle w:val="Ingenmellomrom"/>
      </w:pPr>
    </w:p>
    <w:p w14:paraId="4E93097A" w14:textId="77777777" w:rsidR="000233C9" w:rsidRPr="003462FB" w:rsidRDefault="000233C9" w:rsidP="000233C9">
      <w:pPr>
        <w:pStyle w:val="Ingenmellomrom"/>
      </w:pPr>
    </w:p>
    <w:p w14:paraId="0BCFF2B3"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439E6291"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1</w:t>
      </w:r>
      <w:r w:rsidRPr="003462FB">
        <w:rPr>
          <w:b/>
          <w:bCs/>
          <w:sz w:val="32"/>
          <w:szCs w:val="32"/>
        </w:rPr>
        <w:tab/>
        <w:t>Relevance of the project</w:t>
      </w:r>
    </w:p>
    <w:p w14:paraId="510AF068" w14:textId="77777777" w:rsidR="000233C9" w:rsidRPr="003462FB" w:rsidRDefault="000233C9" w:rsidP="000233C9">
      <w:pPr>
        <w:pStyle w:val="Ingenmellomrom"/>
        <w:rPr>
          <w:b/>
          <w:bCs/>
        </w:rPr>
      </w:pPr>
    </w:p>
    <w:p w14:paraId="2BB59462" w14:textId="720A48CC" w:rsidR="000233C9" w:rsidRPr="003462FB" w:rsidRDefault="000233C9" w:rsidP="000233C9">
      <w:pPr>
        <w:pStyle w:val="Ingenmellomrom"/>
        <w:rPr>
          <w:b/>
          <w:bCs/>
        </w:rPr>
      </w:pPr>
      <w:r w:rsidRPr="003462FB">
        <w:rPr>
          <w:b/>
          <w:bCs/>
        </w:rPr>
        <w:t>1.1</w:t>
      </w:r>
      <w:r w:rsidRPr="003462FB">
        <w:rPr>
          <w:b/>
          <w:bCs/>
        </w:rPr>
        <w:tab/>
        <w:t xml:space="preserve"> Background and needs of the project </w:t>
      </w:r>
    </w:p>
    <w:p w14:paraId="700A3BD4" w14:textId="77777777" w:rsidR="000233C9" w:rsidRPr="003462FB" w:rsidRDefault="000233C9" w:rsidP="000233C9">
      <w:pPr>
        <w:pStyle w:val="Ingenmellomrom"/>
      </w:pPr>
    </w:p>
    <w:p w14:paraId="2BF94707" w14:textId="77777777" w:rsidR="000233C9" w:rsidRPr="003462FB" w:rsidRDefault="000233C9" w:rsidP="000233C9">
      <w:pPr>
        <w:pStyle w:val="Ingenmellomrom"/>
      </w:pPr>
    </w:p>
    <w:p w14:paraId="1526B522" w14:textId="758671D8" w:rsidR="000233C9" w:rsidRPr="003462FB" w:rsidRDefault="000233C9" w:rsidP="000233C9">
      <w:pPr/>
      <w:r>
        <w:rPr>
          <w:rFonts w:ascii="Arial" w:hAnsi="Arial"/>
          <w:color w:val="000000"/>
          <w:sz w:val="22"/>
        </w:rPr>
        <w:t>## 1.1 Background and Needs of the Project</w:t>
      </w:r>
    </w:p>
    <w:p>
      <w:pPr/>
      <w:r>
        <w:rPr>
          <w:rFonts w:ascii="Arial" w:hAnsi="Arial"/>
          <w:color w:val="000000"/>
          <w:sz w:val="22"/>
        </w:rPr>
        <w:t>### The Energy Crisis Facing Ukraine</w:t>
      </w:r>
    </w:p>
    <w:p>
      <w:pPr/>
      <w:r>
        <w:rPr>
          <w:rFonts w:ascii="Arial" w:hAnsi="Arial"/>
          <w:color w:val="000000"/>
          <w:sz w:val="22"/>
        </w:rPr>
        <w:t>Russia's full-scale invasion of Ukraine, which began in February 2022, has deliberately targeted energy infrastructure as a strategic weapon of war. By the end of 2024, systematic missile and drone attacks have damaged or destroyed an estimated 70–80% of Ukraine's thermal power generation capacity, caused widespread destruction of high-voltage transmission substations, and severely compromised the operational integrity of regional distribution networks [1, 2]. UKRENERGO, Ukraine's national transmission system operator, reported that as of late 2024 Ukraine faces a structural generation deficit of approximately 6–8 GW during peak winter demand periods, necessitating emergency power imports from European neighbours and rolling blackouts of up to 12 hours per day across major cities [3]. The Zaporizhzhia region — location of Ukrainian partner Zaporizhzhia National University (ZNU) — represents one of the most severely affected areas in the entire country. The Zaporizhzhia Nuclear Power Plant (ZNPP), Europe's largest nuclear facility with six 1,000 MW reactors, has been under Russian occupation since March 2022 and is effectively disconnected from Ukraine's grid; the Kakhovka Hydropower Plant was destroyed by dam destruction in June 2023; and frontline proximity means that regional grid infrastructure is subject to continuous physical threat. Zaporizhzhia city itself has experienced periods of near-total grid disconnection, compelling institutions including ZNU to develop independent energy systems as a matter of institutional survival.</w:t>
      </w:r>
    </w:p>
    <w:p>
      <w:pPr/>
      <w:r>
        <w:rPr>
          <w:rFonts w:ascii="Arial" w:hAnsi="Arial"/>
          <w:color w:val="000000"/>
          <w:sz w:val="22"/>
        </w:rPr>
        <w:t>This crisis presents both an urgent humanitarian challenge and a transformational reconstruction opportunity. Ukraine's Energy Community Treaty commitments, its EU candidate status (granted June 2022), and the REPowerUkraine initiative collectively mandate that reconstruction proceed in alignment with EU clean energy regulations — specifically the EU Clean Energy for All Europeans package, including directives on renewable energy, energy efficiency, and electricity market design [4]. Reconstruction therefore cannot simply restore pre-war systems; it must build a smarter, more resilient, decarbonised energy architecture. This demands engineering professionals equipped with competencies that did not exist at scale in Ukraine before the war: microgrid design and islanding operation, grid-scale battery and hydrogen energy storage, demand response aggregation, power system resilience engineering against physical and cyber attacks, and large-scale integration of variable renewable energy sources.</w:t>
      </w:r>
    </w:p>
    <w:p>
      <w:pPr/>
      <w:r>
        <w:rPr>
          <w:rFonts w:ascii="Arial" w:hAnsi="Arial"/>
          <w:color w:val="000000"/>
          <w:sz w:val="22"/>
        </w:rPr>
        <w:t>### The Skills Gap in Ukrainian Higher Education</w:t>
      </w:r>
    </w:p>
    <w:p>
      <w:pPr/>
      <w:r>
        <w:rPr>
          <w:rFonts w:ascii="Arial" w:hAnsi="Arial"/>
          <w:color w:val="000000"/>
          <w:sz w:val="22"/>
        </w:rPr>
        <w:t>Prior to the full-scale invasion, Ukrainian engineering education in power systems was structured around the assumption of large centralised Soviet-era generation assets — thermal power plants, nuclear generation, and large hydropower cascades — feeding passive distribution networks. The pedagogical tradition emphasised deterministic load-flow analysis and conventional protection systems rather than the probabilistic, decentralised, and digitally controlled architectures now required for reconstruction. A 2023 assessment by the EU4Energy programme found that fewer than 15% of Ukrainian technical universities offer dedicated courses in microgrid design, and virtually none offer comprehensive programmes integrating energy storage system engineering, demand response mechanism design, and power system resilience assessment within a single curriculum pathway [5]. The gap is particularly acute at the postgraduate and continuing professional development level, where industry needs immediate upskilling of practising engineers managing reconstruction projects.</w:t>
      </w:r>
    </w:p>
    <w:p>
      <w:pPr/>
      <w:r>
        <w:rPr>
          <w:rFonts w:ascii="Arial" w:hAnsi="Arial"/>
          <w:color w:val="000000"/>
          <w:sz w:val="22"/>
        </w:rPr>
        <w:t>ZNU exemplifies both the problem and the potential. The university operates a Hydropower Professional College and an Engineering Educational and Scientific Institute with active research in smart grids and renewable energy systems. ZNU has deployed rooftop solar PV and campus cogeneration to maintain operations under wartime blackouts — a practical demonstration of microgrid resilience principles. However, ZNU's existing curricula require substantial modernisation to cover the full stack of competencies needed for regional reconstruction: from islanding detection algorithms and battery management systems to demand response protocol design and resilience-oriented grid topology planning. The project directly addresses this institutional development need.</w:t>
      </w:r>
    </w:p>
    <w:p>
      <w:pPr/>
      <w:r>
        <w:rPr>
          <w:rFonts w:ascii="Arial" w:hAnsi="Arial"/>
          <w:color w:val="000000"/>
          <w:sz w:val="22"/>
        </w:rPr>
        <w:t>### Target Groups and Their Specific Needs</w:t>
      </w:r>
    </w:p>
    <w:p>
      <w:pPr/>
      <w:r>
        <w:rPr>
          <w:rFonts w:ascii="Arial" w:hAnsi="Arial"/>
          <w:color w:val="000000"/>
          <w:sz w:val="22"/>
        </w:rPr>
        <w:t>**Primary Target Group 1 — Engineering students (bachelor's and master's level):** Approximately 120 students enrolled in power engineering, energy systems, and electrical engineering programmes at ZNU and the confirmed second Ukrainian partner university over the three-year project period. These students require updated curricula integrating EU-aligned competency frameworks with practical reconstruction engineering skills. Many are studying under wartime conditions with disrupted laboratory access and limited exposure to modern grid technologies.</w:t>
      </w:r>
    </w:p>
    <w:p>
      <w:pPr/>
      <w:r>
        <w:rPr>
          <w:rFonts w:ascii="Arial" w:hAnsi="Arial"/>
          <w:color w:val="000000"/>
          <w:sz w:val="22"/>
        </w:rPr>
        <w:t>**Primary Target Group 2 — Academic staff:** Approximately 24 academic staff members (12 per Ukrainian partner institution) responsible for teaching power engineering subjects. These staff require training in advanced topics — energy storage electrochemistry and systems engineering, microgrid control architectures, demand response aggregation mechanisms — where their own formation predates the current state of the art.</w:t>
      </w:r>
    </w:p>
    <w:p>
      <w:pPr/>
      <w:r>
        <w:rPr>
          <w:rFonts w:ascii="Arial" w:hAnsi="Arial"/>
          <w:color w:val="000000"/>
          <w:sz w:val="22"/>
        </w:rPr>
        <w:t>**Primary Target Group 3 — Practising engineers in the reconstruction sector:** Regional energy utilities, UKRENERGO regional divisions, and private renewable energy developers operating in the Zaporizhzhia and partner regions. Approximately 40 practitioners will be reached through short professional development modules and Living Lab engagement over the project period.</w:t>
      </w:r>
    </w:p>
    <w:p>
      <w:pPr/>
      <w:r>
        <w:rPr>
          <w:rFonts w:ascii="Arial" w:hAnsi="Arial"/>
          <w:color w:val="000000"/>
          <w:sz w:val="22"/>
        </w:rPr>
        <w:t>**Secondary Target Group — Other Ukrainian HEIs:** Faculty from at least 5 additional Ukrainian universities will access open educational resources and attend dissemination workshops, extending the project's reach beyond the immediate consortium.</w:t>
      </w:r>
    </w:p>
    <w:p>
      <w:pPr/>
      <w:r>
        <w:rPr>
          <w:rFonts w:ascii="Arial" w:hAnsi="Arial"/>
          <w:color w:val="000000"/>
          <w:sz w:val="22"/>
        </w:rPr>
        <w:t>### Planned Results: SMART Objectives</w:t>
      </w:r>
    </w:p>
    <w:p>
      <w:pPr/>
      <w:r>
        <w:rPr>
          <w:rFonts w:ascii="Arial" w:hAnsi="Arial"/>
          <w:color w:val="000000"/>
          <w:sz w:val="22"/>
        </w:rPr>
        <w:t>The SmartEnergy-UA project establishes the following concrete, measurable results by project end (June 2029), with baselines as of project start (July 2026):</w:t>
      </w:r>
    </w:p>
    <w:p>
      <w:pPr/>
      <w:r>
        <w:rPr>
          <w:rFonts w:ascii="Arial" w:hAnsi="Arial"/>
          <w:color w:val="000000"/>
          <w:sz w:val="22"/>
        </w:rPr>
        <w:t>**Result R1 — Curriculum:** 5 new jointly developed course modules (total 30 ECTS) covering microgrid design and islanding operation, energy storage systems (battery, pumped hydro, hydrogen), demand response mechanisms, power system resilience engineering, and renewable energy integration at scale. Baseline: 0 such integrated modules exist at either Ukrainian partner. Delivered by end of Year 2.</w:t>
      </w:r>
    </w:p>
    <w:p>
      <w:pPr/>
      <w:r>
        <w:rPr>
          <w:rFonts w:ascii="Arial" w:hAnsi="Arial"/>
          <w:color w:val="000000"/>
          <w:sz w:val="22"/>
        </w:rPr>
        <w:t>**Result R2 — Student training:** Minimum 120 Ukrainian students complete at least one SmartEnergy-UA module as part of their accredited degree programme; 20 students complete the full 30 ECTS specialisation track; 6 students undertake exchange periods at NTNU (up to 6 months each). Baseline: 0 students enrolled in courses of this specification. Achieved cumulatively by project end.</w:t>
      </w:r>
    </w:p>
    <w:p>
      <w:pPr/>
      <w:r>
        <w:rPr>
          <w:rFonts w:ascii="Arial" w:hAnsi="Arial"/>
          <w:color w:val="000000"/>
          <w:sz w:val="22"/>
        </w:rPr>
        <w:t>**Result R3 — Staff development:** 24 Ukrainian academic staff complete structured training at NTNU covering modern energy systems pedagogy and research methodology; 8 staff complete research visits of up to 30 days. 6 NTNU staff undertake visits to Ukrainian partners for co-teaching. Baseline: fewer than 3 ZNU staff have received recent training in these topics. Achieved by end of Year 3.</w:t>
      </w:r>
    </w:p>
    <w:p>
      <w:pPr/>
      <w:r>
        <w:rPr>
          <w:rFonts w:ascii="Arial" w:hAnsi="Arial"/>
          <w:color w:val="000000"/>
          <w:sz w:val="22"/>
        </w:rPr>
        <w:t>**Result R4 — Living Lab:** 1 functional Living Lab for microgrid and energy storage experimentation established at ZNU, utilising the campus solar PV installation and backup systems as a real-world test environment. At least 3 pilot projects completed with industry partners. Baseline: no such facility exists. Operational by end of Year 2.</w:t>
      </w:r>
    </w:p>
    <w:p>
      <w:pPr/>
      <w:r>
        <w:rPr>
          <w:rFonts w:ascii="Arial" w:hAnsi="Arial"/>
          <w:color w:val="000000"/>
          <w:sz w:val="22"/>
        </w:rPr>
        <w:t>**Result R5 — Open Educational Resources:** All 5 course modules made available as open-access OER in Ukrainian and English via an open-access platform. Minimum 200 unique external users in the 12 months following publication. Baseline: 0. Published by end of Year 3.</w:t>
      </w:r>
    </w:p>
    <w:p>
      <w:pPr/>
      <w:r>
        <w:rPr>
          <w:rFonts w:ascii="Arial" w:hAnsi="Arial"/>
          <w:color w:val="000000"/>
          <w:sz w:val="22"/>
        </w:rPr>
        <w:t>**Result R6 — Institutional policy:** Both Ukrainian partners integrate SmartEnergy-UA modules into formally accredited degree programmes recognised by Ukraine's National Agency for Higher Education Quality Assurance (NAQA). Baseline: no accredited pathway exists. Accreditation submitted by end of Year 3.</w:t>
      </w:r>
    </w:p>
    <w:p>
      <w:pPr/>
      <w:r>
        <w:rPr>
          <w:rFonts w:ascii="Arial" w:hAnsi="Arial"/>
          <w:color w:val="000000"/>
          <w:sz w:val="22"/>
        </w:rPr>
        <w:t>### Contribution to Nansen EDU Objectives</w:t>
      </w:r>
    </w:p>
    <w:p>
      <w:pPr/>
      <w:r>
        <w:rPr>
          <w:rFonts w:ascii="Arial" w:hAnsi="Arial"/>
          <w:color w:val="000000"/>
          <w:sz w:val="22"/>
        </w:rPr>
        <w:t>SmartEnergy-UA directly advances all three core Nansen EDU objectives: it strengthens Ukrainian institutional capacity to deliver quality engineering education in energy systems (Objective 1); it improves the pipeline of qualified energy engineers for Ukraine's reconstruction sector (Objective 2); and it establishes a long-term NTNU–ZNU partnership anchored in a jointly designed curriculum, shared research infrastructure, and a roadmap for continued Horizon Europe collaboration beyond the grant period (Objective 3).</w:t>
      </w:r>
    </w:p>
    <w:p w14:paraId="08FF87D0" w14:textId="77777777" w:rsidR="000233C9" w:rsidRPr="003462FB" w:rsidRDefault="000233C9" w:rsidP="000233C9">
      <w:pPr>
        <w:pStyle w:val="Ingenmellomrom"/>
      </w:pPr>
    </w:p>
    <w:p w14:paraId="4E09DB5A" w14:textId="77777777" w:rsidR="000233C9" w:rsidRPr="003462FB" w:rsidRDefault="000233C9" w:rsidP="000233C9">
      <w:pPr>
        <w:pStyle w:val="Ingenmellomrom"/>
        <w:rPr>
          <w:b/>
          <w:bCs/>
        </w:rPr>
      </w:pPr>
    </w:p>
    <w:p w14:paraId="6B30ECA6" w14:textId="77777777" w:rsidR="000233C9" w:rsidRPr="003462FB" w:rsidRDefault="000233C9" w:rsidP="000233C9">
      <w:pPr>
        <w:pStyle w:val="Ingenmellomrom"/>
      </w:pPr>
    </w:p>
    <w:p w14:paraId="4EF39E28" w14:textId="77777777" w:rsidR="000233C9" w:rsidRPr="003462FB" w:rsidRDefault="000233C9" w:rsidP="000233C9">
      <w:pPr>
        <w:pStyle w:val="Ingenmellomrom"/>
      </w:pPr>
    </w:p>
    <w:p w14:paraId="73073620" w14:textId="77777777" w:rsidR="000233C9" w:rsidRPr="003462FB" w:rsidRDefault="000233C9" w:rsidP="000233C9">
      <w:pPr>
        <w:pStyle w:val="Ingenmellomrom"/>
        <w:rPr>
          <w:b/>
          <w:bCs/>
        </w:rPr>
      </w:pPr>
      <w:r w:rsidRPr="003462FB">
        <w:rPr>
          <w:b/>
          <w:bCs/>
        </w:rPr>
        <w:t xml:space="preserve">1.2 </w:t>
      </w:r>
      <w:r w:rsidRPr="003462FB">
        <w:rPr>
          <w:b/>
          <w:bCs/>
        </w:rPr>
        <w:tab/>
        <w:t xml:space="preserve">The project's alignment with other activities/measures and any innovative elements </w:t>
      </w:r>
    </w:p>
    <w:p w14:paraId="76B46268" w14:textId="77777777" w:rsidR="000233C9" w:rsidRPr="003462FB" w:rsidRDefault="000233C9" w:rsidP="000233C9">
      <w:pPr>
        <w:pStyle w:val="Ingenmellomrom"/>
      </w:pPr>
    </w:p>
    <w:p w14:paraId="7D9CC889" w14:textId="77777777" w:rsidR="000233C9" w:rsidRPr="003462FB" w:rsidRDefault="000233C9" w:rsidP="000233C9">
      <w:pPr>
        <w:pStyle w:val="Ingenmellomrom"/>
      </w:pPr>
    </w:p>
    <w:p w14:paraId="02C62CA4" w14:textId="2B9AF084" w:rsidR="000233C9" w:rsidRPr="003462FB" w:rsidRDefault="000233C9" w:rsidP="000233C9">
      <w:pPr/>
      <w:r>
        <w:rPr>
          <w:rFonts w:ascii="Arial" w:hAnsi="Arial"/>
          <w:color w:val="000000"/>
          <w:sz w:val="22"/>
        </w:rPr>
        <w:t>## 1.2 Alignment with Other Activities and Innovative Elements</w:t>
      </w:r>
    </w:p>
    <w:p>
      <w:pPr/>
      <w:r>
        <w:rPr>
          <w:rFonts w:ascii="Arial" w:hAnsi="Arial"/>
          <w:color w:val="000000"/>
          <w:sz w:val="22"/>
        </w:rPr>
        <w:t>### Building on Partners' Existing Activities</w:t>
      </w:r>
    </w:p>
    <w:p>
      <w:pPr/>
      <w:r>
        <w:rPr>
          <w:rFonts w:ascii="Arial" w:hAnsi="Arial"/>
          <w:color w:val="000000"/>
          <w:sz w:val="22"/>
        </w:rPr>
        <w:t>SmartEnergy-UA is designed as a deliberate acceleration of a partnership and research trajectory already in motion. NTNU and ZNU formalised a strategic cooperation roadmap in late 2025, structured across three phases — Foundation (2026), Pilots (2027), and Scaling (2028) — covering green energy systems, smart grids, and industrial resilience. SmartEnergy-UA operationalises this roadmap within the Nansen EDU framework, providing the financial structure, institutional commitment, and pedagogical focus needed to move from bilateral aspiration to curriculum reality. NTNU brings world-leading depth through its Department of Electric Power Engineering, which hosts the Norwegian Research Centre for Hydropower Technology (HydroCen) and the research groups in Power Systems and Power Electronics, and through its Department of Civil and Environmental Engineering's expertise in hydropower infrastructure. NTNU's industry connections — including formal cooperation agreements with Statkraft, Equinor, and Statnett — provide direct pathways for curriculum relevance validation and guest lecturing. ZNU contributes active research programmes in smart grids, renewable energy integration, and digital twin modelling, alongside the practical operational experience of managing a campus microgrid under frontline wartime conditions — an experience that has no direct equivalent in any Norwegian institution and that constitutes genuine first-hand knowledge of resilience engineering under adversarial stress.</w:t>
      </w:r>
    </w:p>
    <w:p>
      <w:pPr/>
      <w:r>
        <w:rPr>
          <w:rFonts w:ascii="Arial" w:hAnsi="Arial"/>
          <w:color w:val="000000"/>
          <w:sz w:val="22"/>
        </w:rPr>
        <w:t>### Relationship to Existing International Programmes</w:t>
      </w:r>
    </w:p>
    <w:p>
      <w:pPr/>
      <w:r>
        <w:rPr>
          <w:rFonts w:ascii="Arial" w:hAnsi="Arial"/>
          <w:color w:val="000000"/>
          <w:sz w:val="22"/>
        </w:rPr>
        <w:t>SmartEnergy-UA is specifically designed to complement rather than duplicate existing initiatives. The EU4Energy programme has provided sector-level policy support and some academic engagement in Ukraine, but does not deliver accredited curriculum development or sustained staff training at institutional level [6]. The USAID Energy Security Project (ESP) focuses on regulatory reform and transmission system operations support, not higher education capacity building [7]. Within European higher education cooperation, several Erasmus+ KA2 Capacity Building projects active in Ukraine address digital transformation and governance, but none focuses specifically on power system resilience engineering and reconstruction-oriented energy curricula — confirmed by a systematic review of the Erasmus+ Project Results Platform for energy-related Ukrainian projects 2021–2024. ZNU is itself a partner in 14 active Erasmus+ projects; none of these projects overlap thematically with SmartEnergy-UA, and ZNU's project office has confirmed there is no conflict or double-funding risk. NTNU participates in multiple Horizon Europe energy projects, including work under the Clean Energy Transition Partnership; these projects inform SmartEnergy-UA's technical content but operate at a different level (frontier research vs. curriculum development) and involve no overlap in activities or funding.</w:t>
      </w:r>
    </w:p>
    <w:p>
      <w:pPr/>
      <w:r>
        <w:rPr>
          <w:rFonts w:ascii="Arial" w:hAnsi="Arial"/>
          <w:color w:val="000000"/>
          <w:sz w:val="22"/>
        </w:rPr>
        <w:t>The DAAD Ukraine Digital programme, in which ZNU participates, focuses on digital competencies broadly defined and does not address power engineering specifically. SmartEnergy-UA therefore fills a clearly identified gap that existing programmes leave unaddressed.</w:t>
      </w:r>
    </w:p>
    <w:p>
      <w:pPr/>
      <w:r>
        <w:rPr>
          <w:rFonts w:ascii="Arial" w:hAnsi="Arial"/>
          <w:color w:val="000000"/>
          <w:sz w:val="22"/>
        </w:rPr>
        <w:t>### Innovative Elements</w:t>
      </w:r>
    </w:p>
    <w:p>
      <w:pPr/>
      <w:r>
        <w:rPr>
          <w:rFonts w:ascii="Arial" w:hAnsi="Arial"/>
          <w:color w:val="000000"/>
          <w:sz w:val="22"/>
        </w:rPr>
        <w:t>SmartEnergy-UA introduces several features that distinguish it from conventional curriculum development projects:</w:t>
      </w:r>
    </w:p>
    <w:p>
      <w:pPr/>
      <w:r>
        <w:rPr>
          <w:rFonts w:ascii="Arial" w:hAnsi="Arial"/>
          <w:color w:val="000000"/>
          <w:sz w:val="22"/>
        </w:rPr>
        <w:t>**Innovation 1 — Reconstruction-Oriented Pedagogy (ROP):** Rather than adapting standard European energy engineering curricula to Ukrainian context, SmartEnergy-UA develops a Reconstruction-Oriented Pedagogy framework in which authentic Ukrainian reconstruction challenges function as the pedagogical engine. Students work on real design problems drawn from documented energy infrastructure damage assessments (provided by UKRENERGO regional divisions and the Zaporizhzhia Regional Military Administration), learning theory through the necessity of solving live reconstruction engineering problems. This problem-based approach rooted in authentic national-scale challenges is methodologically novel and directly responsive to the specific educational needs of a post-conflict reconstruction context.</w:t>
      </w:r>
    </w:p>
    <w:p>
      <w:pPr/>
      <w:r>
        <w:rPr>
          <w:rFonts w:ascii="Arial" w:hAnsi="Arial"/>
          <w:color w:val="000000"/>
          <w:sz w:val="22"/>
        </w:rPr>
        <w:t>**Innovation 2 — Campus-as-Living-Lab:** ZNU's existing campus solar PV installation and backup power infrastructure (deployed under wartime necessity) is transformed from a purely operational asset into an accredited teaching and research environment. Students conduct real measurements on a functioning microgrid, test islanding detection parameters, and evaluate battery state-of-health in an environment where energy security is not a simulation but an operational reality. This learning-in-adversity context provides pedagogical authenticity impossible to replicate in peacetime European settings.</w:t>
      </w:r>
    </w:p>
    <w:p>
      <w:pPr/>
      <w:r>
        <w:rPr>
          <w:rFonts w:ascii="Arial" w:hAnsi="Arial"/>
          <w:color w:val="000000"/>
          <w:sz w:val="22"/>
        </w:rPr>
        <w:t>**Innovation 3 — Dual-Track Curriculum Architecture:** SmartEnergy-UA develops parallel bachelor's and master's level tracks with articulated progression, enabling undergraduate students to develop foundational competencies in energy storage and grid resilience and then deepen specialisation at master's level. This dual-track design addresses the immediate training need (large numbers of undergraduate students) while simultaneously developing the specialist postgraduate pipeline that Ukraine's energy sector will require for sustained reconstruction leadership over the coming decade.</w:t>
      </w:r>
    </w:p>
    <w:p>
      <w:pPr/>
      <w:r>
        <w:rPr>
          <w:rFonts w:ascii="Arial" w:hAnsi="Arial"/>
          <w:color w:val="000000"/>
          <w:sz w:val="22"/>
        </w:rPr>
        <w:t>**Innovation 4 — Ukrainian-English Bilingual OER:** All course materials are developed in both Ukrainian and English and published as open-access resources. This serves the immediate Ukrainian reconstruction workforce, facilitates staff mobility and academic exchange, and makes resources available to the global community of scholars and practitioners working on post-conflict energy reconstruction — a growing field with limited pedagogical resources.</w:t>
      </w:r>
    </w:p>
    <w:p>
      <w:pPr/>
      <w:r>
        <w:rPr>
          <w:rFonts w:ascii="Arial" w:hAnsi="Arial"/>
          <w:color w:val="000000"/>
          <w:sz w:val="22"/>
        </w:rPr>
        <w:t>### Added Value Beyond Existing Initiatives</w:t>
      </w:r>
    </w:p>
    <w:p>
      <w:pPr/>
      <w:r>
        <w:rPr>
          <w:rFonts w:ascii="Arial" w:hAnsi="Arial"/>
          <w:color w:val="000000"/>
          <w:sz w:val="22"/>
        </w:rPr>
        <w:t>The added value of SmartEnergy-UA over existing initiatives is threefold. First, it operates at the intersection of three Nansen EDU thematic priorities — Environment and Energy, Reconstruction and Urban Planning, and STEM — in a way that reflects the genuine interdisciplinarity of energy reconstruction engineering, which requires civil, electrical, and systems engineering competencies simultaneously. Second, it leverages ZNU's unique position as a university operating in a frontline region with direct experiential knowledge of energy system failure and improvised resilience — knowledge that has theoretical and practical value for the global energy security research community. Third, the project's explicit design for post-project sustainability through NAQA accreditation, industry partnership formalisation, and Horizon Europe follow-on proposals ensures that its results endure beyond the three-year funding window, delivering systemic rather than episodic impact on Ukrainian engineering education.</w:t>
      </w:r>
    </w:p>
    <w:p w14:paraId="07AB4B00" w14:textId="77777777" w:rsidR="000233C9" w:rsidRPr="003462FB" w:rsidRDefault="000233C9" w:rsidP="000233C9">
      <w:pPr>
        <w:pStyle w:val="Ingenmellomrom"/>
      </w:pPr>
    </w:p>
    <w:p w14:paraId="5168F40D" w14:textId="77777777" w:rsidR="000233C9" w:rsidRPr="003462FB" w:rsidRDefault="000233C9" w:rsidP="000233C9">
      <w:pPr>
        <w:pStyle w:val="Ingenmellomrom"/>
      </w:pPr>
    </w:p>
    <w:p w14:paraId="42677845" w14:textId="77777777" w:rsidR="000233C9" w:rsidRPr="003462FB" w:rsidRDefault="000233C9" w:rsidP="000233C9">
      <w:pPr>
        <w:pStyle w:val="Ingenmellomrom"/>
      </w:pPr>
    </w:p>
    <w:p w14:paraId="167DCCA8" w14:textId="77777777" w:rsidR="000233C9" w:rsidRPr="003462FB" w:rsidRDefault="000233C9" w:rsidP="000233C9">
      <w:pPr>
        <w:pStyle w:val="Ingenmellomrom"/>
      </w:pPr>
    </w:p>
    <w:p w14:paraId="7320F77C" w14:textId="77777777" w:rsidR="000233C9" w:rsidRPr="003462FB" w:rsidRDefault="000233C9" w:rsidP="000233C9">
      <w:pPr>
        <w:pStyle w:val="Ingenmellomrom"/>
      </w:pPr>
    </w:p>
    <w:p w14:paraId="52C34190" w14:textId="77777777" w:rsidR="000233C9" w:rsidRPr="003462FB" w:rsidRDefault="000233C9" w:rsidP="000233C9">
      <w:pPr>
        <w:pStyle w:val="Ingenmellomrom"/>
      </w:pPr>
    </w:p>
    <w:p w14:paraId="27B71259" w14:textId="77777777" w:rsidR="000233C9" w:rsidRPr="003462FB" w:rsidRDefault="000233C9" w:rsidP="000233C9">
      <w:pPr>
        <w:pStyle w:val="Ingenmellomrom"/>
      </w:pPr>
    </w:p>
    <w:p w14:paraId="35479C6D" w14:textId="77777777" w:rsidR="000233C9" w:rsidRPr="003462FB" w:rsidRDefault="000233C9" w:rsidP="000233C9">
      <w:pPr>
        <w:pStyle w:val="Ingenmellomrom"/>
      </w:pPr>
    </w:p>
    <w:p w14:paraId="1748CF00" w14:textId="77777777" w:rsidR="000233C9" w:rsidRPr="003462FB" w:rsidRDefault="000233C9" w:rsidP="000233C9">
      <w:pPr>
        <w:pStyle w:val="Ingenmellomrom"/>
      </w:pPr>
    </w:p>
    <w:p w14:paraId="5F39FED3" w14:textId="77777777" w:rsidR="000233C9" w:rsidRPr="003462FB" w:rsidRDefault="000233C9" w:rsidP="000233C9">
      <w:pPr>
        <w:pStyle w:val="Ingenmellomrom"/>
      </w:pPr>
    </w:p>
    <w:p w14:paraId="4EF1DDF6" w14:textId="77777777" w:rsidR="000233C9" w:rsidRPr="003462FB" w:rsidRDefault="000233C9" w:rsidP="000233C9">
      <w:pPr>
        <w:pStyle w:val="Ingenmellomrom"/>
      </w:pPr>
    </w:p>
    <w:p w14:paraId="2FDD0321" w14:textId="77777777" w:rsidR="000233C9" w:rsidRPr="003462FB" w:rsidRDefault="000233C9" w:rsidP="000233C9">
      <w:pPr>
        <w:pStyle w:val="Ingenmellomrom"/>
      </w:pPr>
    </w:p>
    <w:p w14:paraId="4CCDDDE2" w14:textId="77777777" w:rsidR="000233C9" w:rsidRPr="003462FB" w:rsidRDefault="000233C9" w:rsidP="000233C9">
      <w:pPr>
        <w:pStyle w:val="Ingenmellomrom"/>
      </w:pPr>
    </w:p>
    <w:p w14:paraId="10C5F93A" w14:textId="77777777" w:rsidR="000233C9" w:rsidRPr="003462FB" w:rsidRDefault="000233C9" w:rsidP="000233C9">
      <w:pPr>
        <w:pStyle w:val="Ingenmellomrom"/>
      </w:pPr>
    </w:p>
    <w:p w14:paraId="15F6DC8C" w14:textId="77777777" w:rsidR="000233C9" w:rsidRPr="003462FB" w:rsidRDefault="000233C9" w:rsidP="000233C9">
      <w:pPr>
        <w:pStyle w:val="Ingenmellomrom"/>
      </w:pPr>
    </w:p>
    <w:p w14:paraId="3A779C5C"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19B6436D"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2</w:t>
      </w:r>
      <w:r w:rsidRPr="003462FB">
        <w:rPr>
          <w:b/>
          <w:bCs/>
          <w:sz w:val="32"/>
          <w:szCs w:val="32"/>
        </w:rPr>
        <w:tab/>
        <w:t>Design and implementation</w:t>
      </w:r>
    </w:p>
    <w:p w14:paraId="42ECA781" w14:textId="77777777" w:rsidR="000233C9" w:rsidRPr="003462FB" w:rsidRDefault="000233C9" w:rsidP="000233C9">
      <w:pPr>
        <w:pStyle w:val="Ingenmellomrom"/>
      </w:pPr>
    </w:p>
    <w:p w14:paraId="0BE2E2B2" w14:textId="77777777" w:rsidR="000233C9" w:rsidRPr="003462FB" w:rsidRDefault="000233C9" w:rsidP="000233C9">
      <w:pPr>
        <w:pStyle w:val="Ingenmellomrom"/>
        <w:rPr>
          <w:b/>
          <w:bCs/>
        </w:rPr>
      </w:pPr>
      <w:r w:rsidRPr="003462FB">
        <w:rPr>
          <w:b/>
          <w:bCs/>
        </w:rPr>
        <w:t>2.1</w:t>
      </w:r>
      <w:r w:rsidRPr="003462FB">
        <w:rPr>
          <w:b/>
          <w:bCs/>
        </w:rPr>
        <w:tab/>
        <w:t>Activities, measures and approaches to achieve the project results</w:t>
      </w:r>
    </w:p>
    <w:p w14:paraId="1A1F908C" w14:textId="77777777" w:rsidR="000233C9" w:rsidRPr="003462FB" w:rsidRDefault="000233C9" w:rsidP="000233C9">
      <w:pPr>
        <w:pStyle w:val="Ingenmellomrom"/>
      </w:pPr>
    </w:p>
    <w:p w14:paraId="26046AEF" w14:textId="77777777" w:rsidR="000233C9" w:rsidRPr="003462FB" w:rsidRDefault="000233C9" w:rsidP="000233C9">
      <w:pPr>
        <w:pStyle w:val="Ingenmellomrom"/>
      </w:pPr>
    </w:p>
    <w:p w14:paraId="12870D6C" w14:textId="7A1074F7" w:rsidR="000233C9" w:rsidRPr="003462FB" w:rsidRDefault="000233C9" w:rsidP="000233C9">
      <w:pPr/>
      <w:r>
        <w:rPr>
          <w:rFonts w:ascii="Arial" w:hAnsi="Arial"/>
          <w:color w:val="000000"/>
          <w:sz w:val="22"/>
        </w:rPr>
        <w:t>## 2.1 Activities, Measures and Approaches</w:t>
      </w:r>
    </w:p>
    <w:p>
      <w:pPr/>
      <w:r>
        <w:rPr>
          <w:rFonts w:ascii="Arial" w:hAnsi="Arial"/>
          <w:color w:val="000000"/>
          <w:sz w:val="22"/>
        </w:rPr>
        <w:t>### Work Package Structure</w:t>
      </w:r>
    </w:p>
    <w:p>
      <w:pPr/>
      <w:r>
        <w:rPr>
          <w:rFonts w:ascii="Arial" w:hAnsi="Arial"/>
          <w:color w:val="000000"/>
          <w:sz w:val="22"/>
        </w:rPr>
        <w:t>SmartEnergy-UA is organised into five Work Packages (WPs) aligned with the three-year implementation timeline (July 2026 – June 2029). The overall architecture follows the NTNU–ZNU strategic roadmap: Year 1 (Foundation), Year 2 (Pilots), Year 3 (Scaling and Sustainability).</w:t>
      </w:r>
    </w:p>
    <w:p>
      <w:pPr/>
      <w:r>
        <w:rPr>
          <w:rFonts w:ascii="Arial" w:hAnsi="Arial"/>
          <w:color w:val="000000"/>
          <w:sz w:val="22"/>
        </w:rPr>
        <w:t>---</w:t>
      </w:r>
    </w:p>
    <w:p>
      <w:pPr/>
      <w:r>
        <w:rPr>
          <w:rFonts w:ascii="Arial" w:hAnsi="Arial"/>
          <w:color w:val="000000"/>
          <w:sz w:val="22"/>
        </w:rPr>
        <w:t>**WP1: Joint Curriculum Development**</w:t>
        <w:br/>
        <w:t>*Lead: NTNU | Co-lead: ZNU | Duration: Months 1–30*</w:t>
      </w:r>
    </w:p>
    <w:p>
      <w:pPr/>
      <w:r>
        <w:rPr>
          <w:rFonts w:ascii="Arial" w:hAnsi="Arial"/>
          <w:color w:val="000000"/>
          <w:sz w:val="22"/>
        </w:rPr>
        <w:t>WP1 delivers the core academic output of SmartEnergy-UA: five new course modules totalling 30 ECTS, each integrated into accredited degree programmes at both Ukrainian partner institutions. The curriculum development process follows a four-stage model: (i) competency gap analysis and industry validation; (ii) module design and peer review; (iii) pilot delivery and student feedback integration; (iv) formal accreditation submission.</w:t>
      </w:r>
    </w:p>
    <w:p>
      <w:pPr/>
      <w:r>
        <w:rPr>
          <w:rFonts w:ascii="Arial" w:hAnsi="Arial"/>
          <w:color w:val="000000"/>
          <w:sz w:val="22"/>
        </w:rPr>
        <w:t>*Module 1 — Microgrid Design and Islanding Operation (6 ECTS, bachelor's level):* Covers grid topology for decentralised energy security, islanding detection algorithms, protection system coordination in islanded mode, and case studies from Ukrainian distribution network reconstruction. Laboratory exercises use ZNU's campus solar PV installation as the primary experimental environment.</w:t>
      </w:r>
    </w:p>
    <w:p>
      <w:pPr/>
      <w:r>
        <w:rPr>
          <w:rFonts w:ascii="Arial" w:hAnsi="Arial"/>
          <w:color w:val="000000"/>
          <w:sz w:val="22"/>
        </w:rPr>
        <w:t>*Module 2 — Energy Storage Systems Engineering (6 ECTS, master's level):* Covers battery technology selection and system sizing (LFP, NMC, flow batteries), pumped hydro storage design and rehabilitation (relevant to Kakhovka HPP reconstruction context), hydrogen production and storage fundamentals, and battery management system design. NTNU's energy storage research group provides core content and visiting lectures.</w:t>
      </w:r>
    </w:p>
    <w:p>
      <w:pPr/>
      <w:r>
        <w:rPr>
          <w:rFonts w:ascii="Arial" w:hAnsi="Arial"/>
          <w:color w:val="000000"/>
          <w:sz w:val="22"/>
        </w:rPr>
        <w:t>*Module 3 — Demand Response Mechanisms and Flexibility Markets (6 ECTS, master's level):* Covers demand response programme design, aggregator business models, smart meter data analytics for flexibility assessment, and the EU regulatory framework for demand response under Directive 2019/944. Guest lectures from Statnett and Equinor representatives on Norwegian flexibility market design, providing transferable insights for future Ukrainian energy market development.</w:t>
      </w:r>
    </w:p>
    <w:p>
      <w:pPr/>
      <w:r>
        <w:rPr>
          <w:rFonts w:ascii="Arial" w:hAnsi="Arial"/>
          <w:color w:val="000000"/>
          <w:sz w:val="22"/>
        </w:rPr>
        <w:t>*Module 4 — Power System Resilience Engineering (6 ECTS, master's level):* Covers resilience metrics and assessment frameworks (RIIA, SAIDI/SAIFI adaptation for conflict-affected grids), hardening strategies for physical attack scenarios, rapid restoration protocols, and post-conflict grid reconfiguration methodologies. This module is the most explicitly reconstruction-oriented in the curriculum and draws directly on documented Ukrainian grid damage data.</w:t>
      </w:r>
    </w:p>
    <w:p>
      <w:pPr/>
      <w:r>
        <w:rPr>
          <w:rFonts w:ascii="Arial" w:hAnsi="Arial"/>
          <w:color w:val="000000"/>
          <w:sz w:val="22"/>
        </w:rPr>
        <w:t>*Module 5 — Renewable Energy Integration at Scale (6 ECTS, bachelor's/master's integrated):* Covers variable renewable energy forecasting methods, grid hosting capacity assessment, reactive power management for high-penetration PV and wind, and the technical requirements for Ukraine's grid integration with ENTSO-E (synchronisation achieved March 2022). NTNU's HydroCen expertise in flexible hydropower operation is central to this module's hydropower content.</w:t>
      </w:r>
    </w:p>
    <w:p>
      <w:pPr/>
      <w:r>
        <w:rPr>
          <w:rFonts w:ascii="Arial" w:hAnsi="Arial"/>
          <w:color w:val="000000"/>
          <w:sz w:val="22"/>
        </w:rPr>
        <w:t>*WP1 Key Activities:*</w:t>
        <w:br/>
        <w:t>- M1–3: Competency gap analysis workshops at ZNU and Partner 2 (online + in-person); industry stakeholder consultations with UKRENERGO, regional utilities</w:t>
        <w:br/>
        <w:t>- M4–12: Module design sprint cycles — two-week joint design workshops (one NTNU visit to ZNU/Ukraine, one ZNU visit to NTNU per year); iterative review via shared digital workspace</w:t>
        <w:br/>
        <w:t>- M13–24: Pilot delivery of Modules 1 and 2; collection and integration of student and industry feedback</w:t>
        <w:br/>
        <w:t>- M19–30: Pilot delivery of Modules 3, 4, and 5; NAQA accreditation documentation preparation</w:t>
      </w:r>
    </w:p>
    <w:p>
      <w:pPr/>
      <w:r>
        <w:rPr>
          <w:rFonts w:ascii="Arial" w:hAnsi="Arial"/>
          <w:color w:val="000000"/>
          <w:sz w:val="22"/>
        </w:rPr>
        <w:t>*WP1 Key Deliverables:* D1.1 Competency Gap Analysis Report (M6); D1.2–D1.6 Five complete course module packages with syllabi, lecture notes, problem sets, and assessment rubrics (M12, M18, M24, M27, M30); D1.7 NAQA accreditation application submitted (M30)</w:t>
      </w:r>
    </w:p>
    <w:p>
      <w:pPr/>
      <w:r>
        <w:rPr>
          <w:rFonts w:ascii="Arial" w:hAnsi="Arial"/>
          <w:color w:val="000000"/>
          <w:sz w:val="22"/>
        </w:rPr>
        <w:t>---</w:t>
      </w:r>
    </w:p>
    <w:p>
      <w:pPr/>
      <w:r>
        <w:rPr>
          <w:rFonts w:ascii="Arial" w:hAnsi="Arial"/>
          <w:color w:val="000000"/>
          <w:sz w:val="22"/>
        </w:rPr>
        <w:t>**WP2: Staff Training and Academic Exchanges**</w:t>
        <w:br/>
        <w:t>*Lead: ZNU | Co-lead: NTNU | Duration: Months 1–34*</w:t>
      </w:r>
    </w:p>
    <w:p>
      <w:pPr/>
      <w:r>
        <w:rPr>
          <w:rFonts w:ascii="Arial" w:hAnsi="Arial"/>
          <w:color w:val="000000"/>
          <w:sz w:val="22"/>
        </w:rPr>
        <w:t>WP2 ensures that Ukrainian academic staff acquire the research and pedagogical competencies to deliver SmartEnergy-UA modules independently and sustainably after project end. The programme combines structured training stays at NTNU, online masterclass series, and cross-institutional co-teaching.</w:t>
      </w:r>
    </w:p>
    <w:p>
      <w:pPr/>
      <w:r>
        <w:rPr>
          <w:rFonts w:ascii="Arial" w:hAnsi="Arial"/>
          <w:color w:val="000000"/>
          <w:sz w:val="22"/>
        </w:rPr>
        <w:t>*Activities:*</w:t>
        <w:br/>
        <w:t>- M1–6: Identification and selection of 24 Ukrainian academic staff participants (12 per Ukrainian partner) through transparent criteria: relevance of teaching responsibilities, commitment to curriculum integration, language proficiency</w:t>
        <w:br/>
        <w:t>- M3–36: Annual NTNU Summer School in Energy Systems Engineering (2 weeks, Trondheim): intensive training covering state-of-the-art in all five curriculum areas; delivered three times over project duration; 8 Ukrainian staff per cohort. Curriculum developed jointly by NTNU faculty and ZNU staff. Certificate of participation issued by NTNU</w:t>
        <w:br/>
        <w:t>- M6–36: Research visit programme: 8 Ukrainian staff undertake individual research visits to NTNU of up to 30 days each, embedded in NTNU research groups relevant to their teaching specialisation. Visits support both professional development and joint publication output</w:t>
        <w:br/>
        <w:t>- M6–36: 6 NTNU staff undertake teaching visits to Ukrainian partner institutions (1–2 weeks each) for co-teaching of pilot modules and curriculum validation; scheduling adapted to security situation via hybrid format where necessary</w:t>
        <w:br/>
        <w:t>- M12–36: Monthly online masterclass series: 12 masterclasses per year (36 total) covering emerging topics in energy systems; delivered by NTNU faculty, Norwegian industry partners, and international guest speakers; open to all consortium staff and, in Year 3, to staff at other Ukrainian HEIs</w:t>
      </w:r>
    </w:p>
    <w:p>
      <w:pPr/>
      <w:r>
        <w:rPr>
          <w:rFonts w:ascii="Arial" w:hAnsi="Arial"/>
          <w:color w:val="000000"/>
          <w:sz w:val="22"/>
        </w:rPr>
        <w:t>*WP2 Key Deliverables:* D2.1 Staff selection report (M6); D2.2–D2.4 Annual Summer School completion reports (M8, M20, M32); D2.5 Research visit completion report (M36); D2.6 Masterclass recording archive (ongoing, final collection M36)</w:t>
      </w:r>
    </w:p>
    <w:p>
      <w:pPr/>
      <w:r>
        <w:rPr>
          <w:rFonts w:ascii="Arial" w:hAnsi="Arial"/>
          <w:color w:val="000000"/>
          <w:sz w:val="22"/>
        </w:rPr>
        <w:t>---</w:t>
      </w:r>
    </w:p>
    <w:p>
      <w:pPr/>
      <w:r>
        <w:rPr>
          <w:rFonts w:ascii="Arial" w:hAnsi="Arial"/>
          <w:color w:val="000000"/>
          <w:sz w:val="22"/>
        </w:rPr>
        <w:t>**WP3: Student Training Programme**</w:t>
        <w:br/>
        <w:t>*Lead: ZNU | Co-lead: NTNU, Partner 2 | Duration: Months 12–36*</w:t>
      </w:r>
    </w:p>
    <w:p>
      <w:pPr/>
      <w:r>
        <w:rPr>
          <w:rFonts w:ascii="Arial" w:hAnsi="Arial"/>
          <w:color w:val="000000"/>
          <w:sz w:val="22"/>
        </w:rPr>
        <w:t>WP3 delivers direct training to Ukrainian engineering students through the new modules (integrated into degree programmes from Year 2), a structured student exchange programme at NTNU, and a competitive project award.</w:t>
      </w:r>
    </w:p>
    <w:p>
      <w:pPr/>
      <w:r>
        <w:rPr>
          <w:rFonts w:ascii="Arial" w:hAnsi="Arial"/>
          <w:color w:val="000000"/>
          <w:sz w:val="22"/>
        </w:rPr>
        <w:t>*Activities:*</w:t>
        <w:br/>
        <w:t>- M12–36: Integration of SmartEnergy-UA modules into regular degree programme delivery at both Ukrainian partners; target: 40 students in Year 2, 80 students in Year 3 (cumulative 120 unique students)</w:t>
        <w:br/>
        <w:t>- M18–36: Student exchange programme: 6 Ukrainian students (3 master's, 3 bachelor's level; selected through joint NTNU–Ukrainian partner committee) undertake 4–6 month study periods at NTNU, enrolled in relevant NTNU courses and participating in NTNU research group activities. Exchange supported by scholarships (master's: EUR 250/month, bachelor's at Norwegian State Educational Loan Fund rates for stays &gt;4 weeks)</w:t>
        <w:br/>
        <w:t>- M24–36: SmartEnergy-UA Student Design Competition: annual competition in which student teams from both Ukrainian partners develop reconstruction engineering proposals for real identified Ukrainian grid challenges. NTNU faculty and Norwegian industry representatives serve as judges. Top teams present at the annual consortium workshop</w:t>
        <w:br/>
        <w:t>- M30–36: Industry placement facilitation: structured engagement with Zaporizhzhia regional utilities and reconstruction project offices to facilitate student internship placements aligned with SmartEnergy-UA competencies</w:t>
      </w:r>
    </w:p>
    <w:p>
      <w:pPr/>
      <w:r>
        <w:rPr>
          <w:rFonts w:ascii="Arial" w:hAnsi="Arial"/>
          <w:color w:val="000000"/>
          <w:sz w:val="22"/>
        </w:rPr>
        <w:t>*WP3 Key Deliverables:* D3.1 Student enrolment and completion report (M36); D3.2 Exchange student final reports (M36); D3.3 Student Design Competition proceedings (M28, M36)</w:t>
      </w:r>
    </w:p>
    <w:p>
      <w:pPr/>
      <w:r>
        <w:rPr>
          <w:rFonts w:ascii="Arial" w:hAnsi="Arial"/>
          <w:color w:val="000000"/>
          <w:sz w:val="22"/>
        </w:rPr>
        <w:t>---</w:t>
      </w:r>
    </w:p>
    <w:p>
      <w:pPr/>
      <w:r>
        <w:rPr>
          <w:rFonts w:ascii="Arial" w:hAnsi="Arial"/>
          <w:color w:val="000000"/>
          <w:sz w:val="22"/>
        </w:rPr>
        <w:t>**WP4: Living Lab and Pilot Projects**</w:t>
        <w:br/>
        <w:t>*Lead: ZNU | Co-lead: NTNU | Duration: Months 6–30*</w:t>
      </w:r>
    </w:p>
    <w:p>
      <w:pPr/>
      <w:r>
        <w:rPr>
          <w:rFonts w:ascii="Arial" w:hAnsi="Arial"/>
          <w:color w:val="000000"/>
          <w:sz w:val="22"/>
        </w:rPr>
        <w:t>WP4 establishes the SmartEnergy-UA Living Lab at ZNU's campus, transforming existing energy infrastructure into an accredited educational and research environment, and delivers three industry-connected pilot projects.</w:t>
      </w:r>
    </w:p>
    <w:p>
      <w:pPr/>
      <w:r>
        <w:rPr>
          <w:rFonts w:ascii="Arial" w:hAnsi="Arial"/>
          <w:color w:val="000000"/>
          <w:sz w:val="22"/>
        </w:rPr>
        <w:t>*Activities:*</w:t>
        <w:br/>
        <w:t>- M6–18: Living Lab establishment: instrumentation and data acquisition systems installed on ZNU's existing solar PV array (~50 kWp rooftop installation), battery backup systems, and campus distribution switchgear. Equipment procurement completed no later than M24 (12 months before project end). NTNU power systems group provides technical specifications; ZNU engineering institute leads installation</w:t>
        <w:br/>
        <w:t>- M12–30: Three Living Lab pilot projects conducted as student capstone experiences and research outputs:</w:t>
        <w:br/>
        <w:t xml:space="preserve">  * Pilot 1 (M12–20): Campus Microgrid Islanding Optimisation — characterisation of ZNU campus microgrid performance, islanding detection parameter tuning, battery state-of-health assessment</w:t>
        <w:br/>
        <w:t xml:space="preserve">  * Pilot 2 (M18–26): Demand Flexibility Mapping — survey and technical assessment of demand response potential in Zaporizhzhia region residential and commercial buildings, in cooperation with regional energy utility</w:t>
        <w:br/>
        <w:t xml:space="preserve">  * Pilot 3 (M22–30): Distributed Energy Resource Integration Case Study — feasibility assessment for expanded solar PV and battery integration at ZNU campus as a model for Ukrainian institutional energy independence</w:t>
        <w:br/>
        <w:t>- M18–30: Industry partner engagement: UKRENERGO regional division, Zaporizhzhia Regional Military Administration Energy Department, and at least one private renewable energy developer participate as advisory stakeholders in pilot project design and validation</w:t>
      </w:r>
    </w:p>
    <w:p>
      <w:pPr/>
      <w:r>
        <w:rPr>
          <w:rFonts w:ascii="Arial" w:hAnsi="Arial"/>
          <w:color w:val="000000"/>
          <w:sz w:val="22"/>
        </w:rPr>
        <w:t>*WP4 Key Deliverables:* D4.1 Living Lab technical specification and installation report (M18); D4.2–D4.4 Three pilot project technical reports (M20, M26, M30); D4.5 Industry stakeholder feedback summary (M30)</w:t>
      </w:r>
    </w:p>
    <w:p>
      <w:pPr/>
      <w:r>
        <w:rPr>
          <w:rFonts w:ascii="Arial" w:hAnsi="Arial"/>
          <w:color w:val="000000"/>
          <w:sz w:val="22"/>
        </w:rPr>
        <w:t>---</w:t>
      </w:r>
    </w:p>
    <w:p>
      <w:pPr/>
      <w:r>
        <w:rPr>
          <w:rFonts w:ascii="Arial" w:hAnsi="Arial"/>
          <w:color w:val="000000"/>
          <w:sz w:val="22"/>
        </w:rPr>
        <w:t>**WP5: Dissemination, Sustainability and Project Management**</w:t>
        <w:br/>
        <w:t>*Lead: NTNU | Co-lead: ZNU, Partner 2 | Duration: Months 1–36*</w:t>
      </w:r>
    </w:p>
    <w:p>
      <w:pPr/>
      <w:r>
        <w:rPr>
          <w:rFonts w:ascii="Arial" w:hAnsi="Arial"/>
          <w:color w:val="000000"/>
          <w:sz w:val="22"/>
        </w:rPr>
        <w:t>WP5 covers project governance, communication, dissemination of results, and implementation of the sustainability plan.</w:t>
      </w:r>
    </w:p>
    <w:p>
      <w:pPr/>
      <w:r>
        <w:rPr>
          <w:rFonts w:ascii="Arial" w:hAnsi="Arial"/>
          <w:color w:val="000000"/>
          <w:sz w:val="22"/>
        </w:rPr>
        <w:t>*Activities:*</w:t>
        <w:br/>
        <w:t>- M1–36: Project management: Steering Committee (SC) meetings quarterly (online) and annually in-person; Project Coordinator (NTNU) maintains activity log, financial oversight, and reporting to HK-dir. Annual progress reports at M12, M24, and M36</w:t>
        <w:br/>
        <w:t>- M1–36: Communication: project website (bilingual, Ukrainian/English) launched M2; quarterly newsletter to stakeholders; LinkedIn presence for professional network dissemination</w:t>
        <w:br/>
        <w:t>- M18–36: Open Educational Resources: all five course modules published on open-access platform (Zenodo and/or Ukrainian National Repository of Open Educational Resources) by M30; active promotion through EUEA, CIGRÉ Ukraine, and national engineering associations</w:t>
        <w:br/>
        <w:t>- M24–36: Dissemination events: Annual SmartEnergy-UA Symposium (online/hybrid, open registration) in Year 2 and Year 3; at least 3 presentations at international conferences (IEEE PES, European Utility Week, or equivalent); at least 2 peer-reviewed publications on curriculum development methodology and Living Lab results</w:t>
        <w:br/>
        <w:t>- M30–36: Horizon Europe follow-on: preparation of Letter of Intent for Horizon Europe application (Energy cluster) building on SmartEnergy-UA results; target submission deadline within 12 months of project end</w:t>
      </w:r>
    </w:p>
    <w:p>
      <w:pPr/>
      <w:r>
        <w:rPr>
          <w:rFonts w:ascii="Arial" w:hAnsi="Arial"/>
          <w:color w:val="000000"/>
          <w:sz w:val="22"/>
        </w:rPr>
        <w:t>*WP5 Key Deliverables:* D5.1 Project website (M2); D5.2–D5.4 Annual progress reports (M12, M24, M36); D5.5 OER package published (M30); D5.6 Symposium proceedings (M28, M36); D5.7 Horizon Europe LoI (M34)</w:t>
      </w:r>
    </w:p>
    <w:p>
      <w:pPr/>
      <w:r>
        <w:rPr>
          <w:rFonts w:ascii="Arial" w:hAnsi="Arial"/>
          <w:color w:val="000000"/>
          <w:sz w:val="22"/>
        </w:rPr>
        <w:t>---</w:t>
      </w:r>
    </w:p>
    <w:p>
      <w:pPr/>
      <w:r>
        <w:rPr>
          <w:rFonts w:ascii="Arial" w:hAnsi="Arial"/>
          <w:color w:val="000000"/>
          <w:sz w:val="22"/>
        </w:rPr>
        <w:t>### Teaching and Learning Methodology</w:t>
      </w:r>
    </w:p>
    <w:p>
      <w:pPr/>
      <w:r>
        <w:rPr>
          <w:rFonts w:ascii="Arial" w:hAnsi="Arial"/>
          <w:color w:val="000000"/>
          <w:sz w:val="22"/>
        </w:rPr>
        <w:t>All five modules employ a **Reconstruction-Oriented Pedagogy (ROP)** framework combining: (i) problem-based learning (PBL) anchored in authentic Ukrainian reconstruction challenges; (ii) blended delivery (60% synchronous online, 40% in-person laboratory and workshop) to accommodate the security situation; (iii) peer learning between Norwegian and Ukrainian students through joint online design studios; and (iv) reflective practice portfolios documenting students' engineering reasoning. Assessment emphasises applied competency demonstration over memorisation, using design project reports, technical presentations, and peer review as primary assessment instruments.</w:t>
      </w:r>
    </w:p>
    <w:p w14:paraId="621A9D5B" w14:textId="77777777" w:rsidR="000233C9" w:rsidRPr="003462FB" w:rsidRDefault="000233C9" w:rsidP="000233C9">
      <w:pPr>
        <w:pStyle w:val="Ingenmellomrom"/>
      </w:pPr>
    </w:p>
    <w:p w14:paraId="3213A3F2" w14:textId="77777777" w:rsidR="000233C9" w:rsidRPr="003462FB" w:rsidRDefault="000233C9" w:rsidP="000233C9">
      <w:pPr>
        <w:pStyle w:val="Ingenmellomrom"/>
      </w:pPr>
    </w:p>
    <w:p w14:paraId="3685465E" w14:textId="77777777" w:rsidR="000233C9" w:rsidRPr="003462FB" w:rsidRDefault="000233C9" w:rsidP="000233C9">
      <w:pPr>
        <w:pStyle w:val="Ingenmellomrom"/>
      </w:pPr>
    </w:p>
    <w:p w14:paraId="31E95A9E" w14:textId="77777777" w:rsidR="000233C9" w:rsidRPr="003462FB" w:rsidRDefault="000233C9" w:rsidP="000233C9">
      <w:pPr>
        <w:pStyle w:val="Ingenmellomrom"/>
        <w:rPr>
          <w:b/>
          <w:bCs/>
        </w:rPr>
      </w:pPr>
      <w:r w:rsidRPr="003462FB">
        <w:rPr>
          <w:b/>
          <w:bCs/>
        </w:rPr>
        <w:t>2.2</w:t>
      </w:r>
      <w:r w:rsidRPr="003462FB">
        <w:rPr>
          <w:b/>
          <w:bCs/>
        </w:rPr>
        <w:tab/>
        <w:t>Risk factors in the project and measures to reduce them</w:t>
      </w:r>
    </w:p>
    <w:p w14:paraId="60462A66" w14:textId="77777777" w:rsidR="000233C9" w:rsidRPr="003462FB" w:rsidRDefault="000233C9" w:rsidP="000233C9">
      <w:pPr>
        <w:pStyle w:val="Ingenmellomrom"/>
      </w:pPr>
    </w:p>
    <w:p w14:paraId="1084F9B9" w14:textId="77777777" w:rsidR="000233C9" w:rsidRPr="003462FB" w:rsidRDefault="000233C9" w:rsidP="000233C9">
      <w:pPr>
        <w:pStyle w:val="Ingenmellomrom"/>
      </w:pPr>
    </w:p>
    <w:p w14:paraId="586CE14F" w14:textId="7CDDE6A1" w:rsidR="000233C9" w:rsidRPr="003462FB" w:rsidRDefault="000233C9" w:rsidP="000233C9">
      <w:pPr/>
      <w:r>
        <w:rPr>
          <w:rFonts w:ascii="Arial" w:hAnsi="Arial"/>
          <w:color w:val="000000"/>
          <w:sz w:val="22"/>
        </w:rPr>
        <w:t>## 2.2 Risk Factors and Mitigation Measures</w:t>
      </w:r>
    </w:p>
    <w:p>
      <w:pPr/>
      <w:r>
        <w:rPr>
          <w:rFonts w:ascii="Arial" w:hAnsi="Arial"/>
          <w:color w:val="000000"/>
          <w:sz w:val="22"/>
        </w:rPr>
        <w:t>### Risk Assessment Framework</w:t>
      </w:r>
    </w:p>
    <w:p>
      <w:pPr/>
      <w:r>
        <w:rPr>
          <w:rFonts w:ascii="Arial" w:hAnsi="Arial"/>
          <w:color w:val="000000"/>
          <w:sz w:val="22"/>
        </w:rPr>
        <w:t>SmartEnergy-UA operates in one of the most challenging project environments in the European Higher Education Area: a partner institution (ZNU) located in a frontline region of an active armed conflict, with infrastructure continuously at risk. The following risk register applies a probability–impact matrix to all identified risks and specifies concrete mitigation measures, including all cross-cutting issues required by HK-dir.</w:t>
      </w:r>
    </w:p>
    <w:p>
      <w:pPr/>
      <w:r>
        <w:rPr>
          <w:rFonts w:ascii="Arial" w:hAnsi="Arial"/>
          <w:color w:val="000000"/>
          <w:sz w:val="22"/>
        </w:rPr>
        <w:t>---</w:t>
      </w:r>
    </w:p>
    <w:p>
      <w:pPr/>
      <w:r>
        <w:rPr>
          <w:rFonts w:ascii="Arial" w:hAnsi="Arial"/>
          <w:color w:val="000000"/>
          <w:sz w:val="22"/>
        </w:rPr>
        <w:t>**RISK 1 — Security: Armed Conflict and Physical Safety of Personnel**</w:t>
        <w:br/>
        <w:t>*Probability: High | Impact: High | Risk Level: Critical*</w:t>
      </w:r>
    </w:p>
    <w:p>
      <w:pPr/>
      <w:r>
        <w:rPr>
          <w:rFonts w:ascii="Arial" w:hAnsi="Arial"/>
          <w:color w:val="000000"/>
          <w:sz w:val="22"/>
        </w:rPr>
        <w:t>Zaporizhzhia is a frontline city and has experienced repeated missile strikes, drone attacks, and artillery shelling. ZNU staff and students face active physical security risks, and in-person project activities at ZNU may be disrupted or rendered impossible by military action. There is also risk to NTNU staff travelling to Zaporizhzhia.</w:t>
      </w:r>
    </w:p>
    <w:p>
      <w:pPr/>
      <w:r>
        <w:rPr>
          <w:rFonts w:ascii="Arial" w:hAnsi="Arial"/>
          <w:color w:val="000000"/>
          <w:sz w:val="22"/>
        </w:rPr>
        <w:t>*Mitigation measures:*</w:t>
        <w:br/>
        <w:t>- All in-person activities at Ukrainian partner sites are designed as **optional enhancements**, not critical path items. The full project curriculum and training programme can be delivered in hybrid or fully online format without loss of core deliverables.</w:t>
        <w:br/>
        <w:t>- NTNU staff will not travel to active frontline zones; Ukrainian partner in-person activities default to Kyiv, Lviv, or other cities with lower security risk as fallback venues, or are conducted online.</w:t>
        <w:br/>
        <w:t>- Ukrainian partner staff travelling to NTNU for Summer School and research visits follow Norwegian Ministry of Foreign Affairs security guidance and institutional duty-of-care protocols.</w:t>
        <w:br/>
        <w:t>- ZNU's established business continuity measures — Azure cloud infrastructure, distributed data storage, backup power — are integrated into project operational design, ensuring that no single physical attack disrupts digital project assets or communication channels.</w:t>
        <w:br/>
        <w:t>- The Steering Committee conducts quarterly security situation reviews and holds authority to shift activity formats without formal amendment.</w:t>
        <w:br/>
        <w:t>- A contingency reserve of 8% of total budget (approximately NOK 400,000) is allocated for force majeure-related activity rescheduling.</w:t>
      </w:r>
    </w:p>
    <w:p>
      <w:pPr/>
      <w:r>
        <w:rPr>
          <w:rFonts w:ascii="Arial" w:hAnsi="Arial"/>
          <w:color w:val="000000"/>
          <w:sz w:val="22"/>
        </w:rPr>
        <w:t>---</w:t>
      </w:r>
    </w:p>
    <w:p>
      <w:pPr/>
      <w:r>
        <w:rPr>
          <w:rFonts w:ascii="Arial" w:hAnsi="Arial"/>
          <w:color w:val="000000"/>
          <w:sz w:val="22"/>
        </w:rPr>
        <w:t>**RISK 2 — Corruption: Financial Management in a Low-CPI Context**</w:t>
        <w:br/>
        <w:t>*Probability: Medium | Impact: High | Risk Level: High*</w:t>
      </w:r>
    </w:p>
    <w:p>
      <w:pPr/>
      <w:r>
        <w:rPr>
          <w:rFonts w:ascii="Arial" w:hAnsi="Arial"/>
          <w:color w:val="000000"/>
          <w:sz w:val="22"/>
        </w:rPr>
        <w:t>Ukraine's Transparency International Corruption Perception Index score of approximately 33/100 (2023) places it significantly below the CPI ≤ 69 threshold triggering mandatory anti-corruption measures under HK-dir programme rules. Risks include procurement irregularities, misreporting of staff time, and informal pressure on disbursement processes.</w:t>
      </w:r>
    </w:p>
    <w:p>
      <w:pPr/>
      <w:r>
        <w:rPr>
          <w:rFonts w:ascii="Arial" w:hAnsi="Arial"/>
          <w:color w:val="000000"/>
          <w:sz w:val="22"/>
        </w:rPr>
        <w:t>*Mitigation measures:*</w:t>
        <w:br/>
        <w:t>- All financial flows to Ukrainian partners are governed by a **bilateral sub-agreement** between NTNU and each Ukrainian partner, requiring adherence to Norwegian financial management standards and HK-dir regulations.</w:t>
        <w:br/>
        <w:t>- Equipment procurement at Ukrainian partners follows NTNU's procurement policy supplemented by World Bank Ukrainian public procurement guidelines; all purchases above NOK 10,000 require three competitive quotations documented in a procurement log accessible to NTNU.</w:t>
        <w:br/>
        <w:t>- Staff time is recorded in a shared project management system (e.g., Teamwork or equivalent) with monthly reporting to NTNU; Ukrainian partner personnel costs are reimbursed against documented timesheets, not advance transfers.</w:t>
        <w:br/>
        <w:t>- A designated NTNU Finance Officer oversees all financial reporting; annual financial audits of Ukrainian partner expenditure are conducted by an independent certified auditor acceptable to HK-dir.</w:t>
        <w:br/>
        <w:t>- All consortium members complete NTNU's mandatory online anti-corruption training at project start (M1).</w:t>
        <w:br/>
        <w:t>- The Steering Committee includes an independent observer role (to be agreed; potentially a representative of the Ukrainian Ministry of Education and Science or the National Agency for Higher Education Quality Assurance) to provide governance transparency.</w:t>
        <w:br/>
        <w:t>- Scholarship payments to Ukrainian students are jointly authorised by NTNU and the respective Ukrainian partner, preventing unilateral disbursement.</w:t>
      </w:r>
    </w:p>
    <w:p>
      <w:pPr/>
      <w:r>
        <w:rPr>
          <w:rFonts w:ascii="Arial" w:hAnsi="Arial"/>
          <w:color w:val="000000"/>
          <w:sz w:val="22"/>
        </w:rPr>
        <w:t>---</w:t>
      </w:r>
    </w:p>
    <w:p>
      <w:pPr/>
      <w:r>
        <w:rPr>
          <w:rFonts w:ascii="Arial" w:hAnsi="Arial"/>
          <w:color w:val="000000"/>
          <w:sz w:val="22"/>
        </w:rPr>
        <w:t>**RISK 3 — Climate and Environment**</w:t>
        <w:br/>
        <w:t>*Probability: Low | Impact: Medium | Risk Level: Low*</w:t>
      </w:r>
    </w:p>
    <w:p>
      <w:pPr/>
      <w:r>
        <w:rPr>
          <w:rFonts w:ascii="Arial" w:hAnsi="Arial"/>
          <w:color w:val="000000"/>
          <w:sz w:val="22"/>
        </w:rPr>
        <w:t>Project activities involve international air travel (Trondheim–Kyiv or equivalent), generating carbon emissions inconsistent with Norway's climate commitments.</w:t>
      </w:r>
    </w:p>
    <w:p>
      <w:pPr/>
      <w:r>
        <w:rPr>
          <w:rFonts w:ascii="Arial" w:hAnsi="Arial"/>
          <w:color w:val="000000"/>
          <w:sz w:val="22"/>
        </w:rPr>
        <w:t>*Mitigation measures:*</w:t>
        <w:br/>
        <w:t>- **Digital-first principle:** all project activities default to online or hybrid format; in-person travel occurs only where pedagogical or relationship value cannot be replicated digitally.</w:t>
        <w:br/>
        <w:t>- Where international travel is necessary (e.g., NTNU Summer School residencies), train travel via European rail (Trondheim–Oslo–Hamburg–Warsaw–Kyiv, where safe and feasible) is the preferred mode; air travel requires documented justification.</w:t>
        <w:br/>
        <w:t>- Carbon offsetting through verified schemes (e.g., NTNU's institutional carbon offset programme) for all unavoidable air travel.</w:t>
        <w:br/>
        <w:t>- The project's substantive contribution to climate goals is direct and significant: SmartEnergy-UA trains engineers who will design and implement renewable energy integration and energy efficiency systems as part of Ukraine's green reconstruction, delivering GHG emission reductions at national scale far exceeding the project's own carbon footprint.</w:t>
        <w:br/>
        <w:t>- The Living Lab at ZNU (WP4) itself models sustainable campus energy management and contributes to NTNU's and ZNU's institutional sustainability reporting.</w:t>
      </w:r>
    </w:p>
    <w:p>
      <w:pPr/>
      <w:r>
        <w:rPr>
          <w:rFonts w:ascii="Arial" w:hAnsi="Arial"/>
          <w:color w:val="000000"/>
          <w:sz w:val="22"/>
        </w:rPr>
        <w:t>---</w:t>
      </w:r>
    </w:p>
    <w:p>
      <w:pPr/>
      <w:r>
        <w:rPr>
          <w:rFonts w:ascii="Arial" w:hAnsi="Arial"/>
          <w:color w:val="000000"/>
          <w:sz w:val="22"/>
        </w:rPr>
        <w:t>**RISK 4 — Gender Equality**</w:t>
        <w:br/>
        <w:t>*Probability: Medium | Impact: Medium | Risk Level: Medium*</w:t>
      </w:r>
    </w:p>
    <w:p>
      <w:pPr/>
      <w:r>
        <w:rPr>
          <w:rFonts w:ascii="Arial" w:hAnsi="Arial"/>
          <w:color w:val="000000"/>
          <w:sz w:val="22"/>
        </w:rPr>
        <w:t>Engineering education in Ukraine, as across Europe, exhibits persistent gender imbalance: women represent approximately 25–30% of students in power engineering programmes. Project activities risk replicating this imbalance in student selection, staff exchanges, and leadership roles.</w:t>
      </w:r>
    </w:p>
    <w:p>
      <w:pPr/>
      <w:r>
        <w:rPr>
          <w:rFonts w:ascii="Arial" w:hAnsi="Arial"/>
          <w:color w:val="000000"/>
          <w:sz w:val="22"/>
        </w:rPr>
        <w:t>*Mitigation measures:*</w:t>
        <w:br/>
        <w:t>- Explicit gender targets embedded in all selection processes: a minimum of **40% women participants** is set as a target for student exchange cohorts, Summer School participants, and staff research visits; selection committees are required to document gender balance and justify any deviation below the 40% threshold.</w:t>
        <w:br/>
        <w:t>- The Steering Committee composition requires gender balance (minimum 40% of any gender); the Project Coordinator (NTNU) and ZNU Project Lead positions are jointly designed to balance gender representation where possible.</w:t>
        <w:br/>
        <w:t>- WP1 curriculum design includes a gender dimension in Module 3 (Demand Response) by addressing differential energy consumption patterns by gender and household composition, and in Module 4 (Resilience Engineering) by examining gendered vulnerability to energy insecurity in conflict-affected populations.</w:t>
        <w:br/>
        <w:t>- Gender disaggregated data is collected and reported for all project indicators (participants, completions, publications).</w:t>
        <w:br/>
        <w:t>- Both Norwegian and Ukrainian partners commit to applying their institutional anti-discrimination and gender equality policies to all project activities.</w:t>
      </w:r>
    </w:p>
    <w:p>
      <w:pPr/>
      <w:r>
        <w:rPr>
          <w:rFonts w:ascii="Arial" w:hAnsi="Arial"/>
          <w:color w:val="000000"/>
          <w:sz w:val="22"/>
        </w:rPr>
        <w:t>---</w:t>
      </w:r>
    </w:p>
    <w:p>
      <w:pPr/>
      <w:r>
        <w:rPr>
          <w:rFonts w:ascii="Arial" w:hAnsi="Arial"/>
          <w:color w:val="000000"/>
          <w:sz w:val="22"/>
        </w:rPr>
        <w:t>**RISK 5 — Human Rights**</w:t>
        <w:br/>
        <w:t>*Probability: Low | Impact: High | Risk Level: Medium*</w:t>
      </w:r>
    </w:p>
    <w:p>
      <w:pPr/>
      <w:r>
        <w:rPr>
          <w:rFonts w:ascii="Arial" w:hAnsi="Arial"/>
          <w:color w:val="000000"/>
          <w:sz w:val="22"/>
        </w:rPr>
        <w:t>The conflict context creates potential for human rights impacts including restricted freedom of movement (affecting student and staff mobility), discrimination against internally displaced persons (IDPs) among ZNU's student body, and potential academic freedom constraints under martial law conditions.</w:t>
      </w:r>
    </w:p>
    <w:p>
      <w:pPr/>
      <w:r>
        <w:rPr>
          <w:rFonts w:ascii="Arial" w:hAnsi="Arial"/>
          <w:color w:val="000000"/>
          <w:sz w:val="22"/>
        </w:rPr>
        <w:t>*Mitigation measures:*</w:t>
        <w:br/>
        <w:t>- The project design specifically **includes IDP students** as a priority group: ZNU has admitted significant numbers of internally displaced students from occupied territories; SmartEnergy-UA modules and the student exchange programme are open to IDP students on equal terms, with additional administrative support provided through ZNU's student welfare office.</w:t>
        <w:br/>
        <w:t>- Academic freedom: all curriculum content, research activities, and publications are subject exclusively to academic peer review standards; no consortium institution exercises political editorial control over academic outputs. This commitment is documented in the sub-agreements.</w:t>
        <w:br/>
        <w:t>- ZNU's participation in the project is conducted without discrimination on grounds of political opinion, regional origin, or wartime status.</w:t>
        <w:br/>
        <w:t>- The project complies with applicable EU data protection standards (GDPR) for all data involving EU-resident participants (NTNU-based exchanges), and with Ukrainian personal data legislation for Ukrainian-resident participants.</w:t>
      </w:r>
    </w:p>
    <w:p>
      <w:pPr/>
      <w:r>
        <w:rPr>
          <w:rFonts w:ascii="Arial" w:hAnsi="Arial"/>
          <w:color w:val="000000"/>
          <w:sz w:val="22"/>
        </w:rPr>
        <w:t>---</w:t>
      </w:r>
    </w:p>
    <w:p>
      <w:pPr/>
      <w:r>
        <w:rPr>
          <w:rFonts w:ascii="Arial" w:hAnsi="Arial"/>
          <w:color w:val="000000"/>
          <w:sz w:val="22"/>
        </w:rPr>
        <w:t>**RISK 6 — SEAH (Sexual Exploitation, Abuse and Harassment)**</w:t>
        <w:br/>
        <w:t>*Probability: Low | Impact: High | Risk Level: Medium*</w:t>
      </w:r>
    </w:p>
    <w:p>
      <w:pPr/>
      <w:r>
        <w:rPr>
          <w:rFonts w:ascii="Arial" w:hAnsi="Arial"/>
          <w:color w:val="000000"/>
          <w:sz w:val="22"/>
        </w:rPr>
        <w:t>Mobility activities, intensive residential programmes, and power asymmetries (senior academics from Norway working with Ukrainian students in vulnerable circumstances) create potential for SEAH incidents.</w:t>
      </w:r>
    </w:p>
    <w:p>
      <w:pPr/>
      <w:r>
        <w:rPr>
          <w:rFonts w:ascii="Arial" w:hAnsi="Arial"/>
          <w:color w:val="000000"/>
          <w:sz w:val="22"/>
        </w:rPr>
        <w:t>*Mitigation measures:*</w:t>
        <w:br/>
        <w:t>- A **SmartEnergy-UA Code of Conduct** addressing SEAH prevention is adopted by all consortium members at project start (M1) and signed by all participating staff and students before each mobility or residential activity.</w:t>
        <w:br/>
        <w:t>- NTNU's institutional SEAH policy (compliant with Norwegian Working Environment Act provisions and NTNU's ethical guidelines) applies to all NTNU staff and to activities hosted at NTNU. ZNU applies its institutional ethics framework.</w:t>
        <w:br/>
        <w:t>- A designated **SEAH Contact Person** is named at each partner institution; contact details are communicated to all project participants at onboarding.</w:t>
        <w:br/>
        <w:t>- All residential activities (Summer School, research visits, student exchanges) include a mandatory SEAH awareness session at commencement.</w:t>
        <w:br/>
        <w:t>- Anonymous reporting channels are provided through NTNU's Varslingskanal (whistleblowing system), accessible to all project participants regardless of institutional affiliation.</w:t>
        <w:br/>
        <w:t>- Incidents are handled according to NTNU's established investigation procedure, with outcomes reported to the Steering Committee (in anonymised form) and to HK-dir if required.</w:t>
      </w:r>
    </w:p>
    <w:p>
      <w:pPr/>
      <w:r>
        <w:rPr>
          <w:rFonts w:ascii="Arial" w:hAnsi="Arial"/>
          <w:color w:val="000000"/>
          <w:sz w:val="22"/>
        </w:rPr>
        <w:t>---</w:t>
      </w:r>
    </w:p>
    <w:p>
      <w:pPr/>
      <w:r>
        <w:rPr>
          <w:rFonts w:ascii="Arial" w:hAnsi="Arial"/>
          <w:color w:val="000000"/>
          <w:sz w:val="22"/>
        </w:rPr>
        <w:t>**RISK 7 — Data Protection and IT Security**</w:t>
        <w:br/>
        <w:t>*Probability: Medium | Impact: Medium | Risk Level: Medium*</w:t>
      </w:r>
    </w:p>
    <w:p>
      <w:pPr/>
      <w:r>
        <w:rPr>
          <w:rFonts w:ascii="Arial" w:hAnsi="Arial"/>
          <w:color w:val="000000"/>
          <w:sz w:val="22"/>
        </w:rPr>
        <w:t>Project digital assets (course materials, student data, research data) are at risk from cyberattacks — a significant concern given that Ukrainian institutions are frequent targets of Russian state-sponsored cyber operations.</w:t>
      </w:r>
    </w:p>
    <w:p>
      <w:pPr/>
      <w:r>
        <w:rPr>
          <w:rFonts w:ascii="Arial" w:hAnsi="Arial"/>
          <w:color w:val="000000"/>
          <w:sz w:val="22"/>
        </w:rPr>
        <w:t>*Mitigation measures:*</w:t>
        <w:br/>
        <w:t>- ZNU's existing Microsoft Azure cloud infrastructure (deployed for wartime operational continuity) provides enterprise-grade security, including encryption at rest and in transit, multi-factor authentication, and geographic data redundancy outside Ukraine.</w:t>
        <w:br/>
        <w:t>- Sensitive personal data (student records, staff information) is stored exclusively on NTNU's NTNU Nett encrypted servers (Norway) with access restricted to authorised personnel.</w:t>
        <w:br/>
        <w:t>- No export-controlled technical content is included in SmartEnergy-UA; the project's technology focus (microgrid design, energy storage, demand response) does not intersect with dual-use or export control classifications under Norwegian export control regulations or EU Regulation 2021/821.</w:t>
        <w:br/>
        <w:t>- Academic freedom and national security: NTNU applies its institutional guidelines on academic cooperation with conflict-affected regions, ensuring that no information exchanged under the project could constitute a national security risk under Norwegian law.</w:t>
      </w:r>
    </w:p>
    <w:p>
      <w:pPr/>
      <w:r>
        <w:rPr>
          <w:rFonts w:ascii="Arial" w:hAnsi="Arial"/>
          <w:color w:val="000000"/>
          <w:sz w:val="22"/>
        </w:rPr>
        <w:t>---</w:t>
      </w:r>
    </w:p>
    <w:p>
      <w:pPr/>
      <w:r>
        <w:rPr>
          <w:rFonts w:ascii="Arial" w:hAnsi="Arial"/>
          <w:color w:val="000000"/>
          <w:sz w:val="22"/>
        </w:rPr>
        <w:t>**RISK 8 — Cost-Effectiveness**</w:t>
      </w:r>
    </w:p>
    <w:p>
      <w:pPr/>
      <w:r>
        <w:rPr>
          <w:rFonts w:ascii="Arial" w:hAnsi="Arial"/>
          <w:color w:val="000000"/>
          <w:sz w:val="22"/>
        </w:rPr>
        <w:t>SmartEnergy-UA is designed for maximum impact per Norwegian krone invested. The NOK 5,000,000 budget is structured as follows: approximately 25% (NOK 1,250,000) to NTNU personnel (within the 30% cap); approximately 55% (NOK 2,750,000) to Ukrainian partners (personnel, equipment, Living Lab, student support); approximately 10% (NOK 500,000) to student and staff mobility scholarships; approximately 10% (NOK 500,000) to travel, dissemination, and project management. The digital-first delivery model minimises travel costs while maximising staff development reach. The OER publication strategy ensures that all five course modules are freely accessible to the entire Ukrainian engineering education sector, multiplying impact significantly beyond the 120 directly trained students. The Living Lab generates a permanent physical research and teaching infrastructure whose operational value to ZNU extends indefinitely beyond the project period.</w:t>
      </w:r>
    </w:p>
    <w:p w14:paraId="640C68E4" w14:textId="77777777" w:rsidR="000233C9" w:rsidRPr="003462FB" w:rsidRDefault="000233C9" w:rsidP="000233C9">
      <w:pPr>
        <w:pStyle w:val="Ingenmellomrom"/>
      </w:pPr>
    </w:p>
    <w:p w14:paraId="4B20E0D3" w14:textId="77777777" w:rsidR="000233C9" w:rsidRPr="003462FB" w:rsidRDefault="000233C9" w:rsidP="000233C9">
      <w:pPr>
        <w:pStyle w:val="Ingenmellomrom"/>
      </w:pPr>
    </w:p>
    <w:p w14:paraId="475DCB01" w14:textId="77777777" w:rsidR="000233C9" w:rsidRPr="003462FB" w:rsidRDefault="000233C9" w:rsidP="000233C9">
      <w:pPr>
        <w:pStyle w:val="Ingenmellomrom"/>
      </w:pPr>
    </w:p>
    <w:p w14:paraId="7D136DC1" w14:textId="77777777" w:rsidR="000233C9" w:rsidRPr="003462FB" w:rsidRDefault="000233C9" w:rsidP="000233C9">
      <w:pPr>
        <w:pStyle w:val="Ingenmellomrom"/>
      </w:pPr>
    </w:p>
    <w:p w14:paraId="7D2F47A8" w14:textId="77777777" w:rsidR="004107A8" w:rsidRDefault="004107A8">
      <w:pPr>
        <w:rPr>
          <w:b/>
          <w:bCs/>
          <w:sz w:val="32"/>
          <w:szCs w:val="32"/>
        </w:rPr>
      </w:pPr>
      <w:r>
        <w:rPr>
          <w:b/>
          <w:bCs/>
          <w:sz w:val="32"/>
          <w:szCs w:val="32"/>
        </w:rPr>
        <w:br w:type="page"/>
      </w:r>
    </w:p>
    <w:p w14:paraId="6D6684B7"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3</w:t>
      </w:r>
      <w:r w:rsidRPr="003462FB">
        <w:rPr>
          <w:b/>
          <w:bCs/>
          <w:sz w:val="32"/>
          <w:szCs w:val="32"/>
        </w:rPr>
        <w:tab/>
        <w:t xml:space="preserve">The project group and collaborative structures </w:t>
      </w:r>
    </w:p>
    <w:p w14:paraId="12FEE653" w14:textId="77777777" w:rsidR="000233C9" w:rsidRPr="003462FB" w:rsidRDefault="000233C9" w:rsidP="000233C9">
      <w:pPr>
        <w:pStyle w:val="Ingenmellomrom"/>
      </w:pPr>
    </w:p>
    <w:p w14:paraId="57D6BBF8" w14:textId="77777777" w:rsidR="000233C9" w:rsidRPr="003462FB" w:rsidRDefault="000233C9" w:rsidP="000233C9">
      <w:pPr>
        <w:pStyle w:val="Ingenmellomrom"/>
        <w:rPr>
          <w:b/>
          <w:bCs/>
        </w:rPr>
      </w:pPr>
      <w:r w:rsidRPr="003462FB">
        <w:rPr>
          <w:b/>
          <w:bCs/>
        </w:rPr>
        <w:t>3.1</w:t>
      </w:r>
      <w:r w:rsidRPr="003462FB">
        <w:rPr>
          <w:b/>
          <w:bCs/>
        </w:rPr>
        <w:tab/>
        <w:t>Key personnel for the implementation of the project</w:t>
      </w:r>
    </w:p>
    <w:p w14:paraId="63F5ED50" w14:textId="77777777" w:rsidR="000233C9" w:rsidRPr="003462FB" w:rsidRDefault="000233C9" w:rsidP="000233C9">
      <w:pPr>
        <w:pStyle w:val="Ingenmellomrom"/>
      </w:pPr>
    </w:p>
    <w:p w14:paraId="67673335" w14:textId="77777777" w:rsidR="000233C9" w:rsidRPr="003462FB" w:rsidRDefault="000233C9" w:rsidP="000233C9">
      <w:pPr>
        <w:pStyle w:val="Ingenmellomrom"/>
      </w:pPr>
    </w:p>
    <w:p w14:paraId="7D2473E2" w14:textId="205A702D" w:rsidR="000233C9" w:rsidRPr="003462FB" w:rsidRDefault="000233C9" w:rsidP="000233C9">
      <w:pPr/>
      <w:r>
        <w:rPr>
          <w:rFonts w:ascii="Arial" w:hAnsi="Arial"/>
          <w:color w:val="000000"/>
          <w:sz w:val="22"/>
        </w:rPr>
        <w:t>## 3.1 Key Personnel</w:t>
      </w:r>
    </w:p>
    <w:p>
      <w:pPr/>
      <w:r>
        <w:rPr>
          <w:rFonts w:ascii="Arial" w:hAnsi="Arial"/>
          <w:color w:val="000000"/>
          <w:sz w:val="22"/>
        </w:rPr>
        <w:t>### NTNU — Lead Institution</w:t>
      </w:r>
    </w:p>
    <w:p>
      <w:pPr/>
      <w:r>
        <w:rPr>
          <w:rFonts w:ascii="Arial" w:hAnsi="Arial"/>
          <w:color w:val="000000"/>
          <w:sz w:val="22"/>
        </w:rPr>
        <w:t>**Project Coordinator — Professor of Power Systems, Department of Electric Power Engineering, NTNU**</w:t>
        <w:br/>
        <w:t>The Project Coordinator holds a doctoral degree in electrical engineering with specialisation in power system stability and renewable energy integration, and has over 15 years of experience in energy systems research and international academic cooperation. As a senior faculty member within the Department of Electric Power Engineering — one of Europe's most highly cited research environments in power systems — the Coordinator brings direct research competence in all five SmartEnergy-UA curriculum areas: microgrid design, energy storage, demand response, resilience engineering, and renewable integration. The Coordinator has previously led two Horizon Europe Work Packages and managed bilateral academic partnerships with institutions in Eastern Europe, providing direct preparation for the administrative and scientific leadership demands of SmartEnergy-UA. Full CV submitted separately (max. 4 pages).</w:t>
      </w:r>
    </w:p>
    <w:p>
      <w:pPr/>
      <w:r>
        <w:rPr>
          <w:rFonts w:ascii="Arial" w:hAnsi="Arial"/>
          <w:color w:val="000000"/>
          <w:sz w:val="22"/>
        </w:rPr>
        <w:t>**Co-investigator — Associate Professor, Energy Storage Research Group, Department of Electric Power Engineering, NTNU**</w:t>
        <w:br/>
        <w:t>Specialises in battery management systems, grid-scale electrochemical storage, and hydrogen energy systems. Leads NTNU's contribution to WP1 Module 2 (Energy Storage Systems Engineering) and WP2 Summer School content development. Member of NTNU's Battery Research Centre, with active industry collaboration with Equinor and Freyr Battery.</w:t>
      </w:r>
    </w:p>
    <w:p>
      <w:pPr/>
      <w:r>
        <w:rPr>
          <w:rFonts w:ascii="Arial" w:hAnsi="Arial"/>
          <w:color w:val="000000"/>
          <w:sz w:val="22"/>
        </w:rPr>
        <w:t>**Co-investigator — Professor, HydroCen (Norwegian Research Centre for Hydropower Technology), NTNU**</w:t>
        <w:br/>
        <w:t>Worldwide recognised expertise in hydropower flexibility and hydropower–grid interaction. Leads WP1 Module 5 content development (Renewable Energy Integration at Scale) with specific focus on flexible hydropower's role in balancing variable renewables — directly relevant to Ukraine's post-war hydropower rehabilitation challenges.</w:t>
      </w:r>
    </w:p>
    <w:p>
      <w:pPr/>
      <w:r>
        <w:rPr>
          <w:rFonts w:ascii="Arial" w:hAnsi="Arial"/>
          <w:color w:val="000000"/>
          <w:sz w:val="22"/>
        </w:rPr>
        <w:t>**Administrative Officer, Faculty of Engineering, NTNU**</w:t>
        <w:br/>
        <w:t>Responsible for financial management, procurement compliance, and HK-dir reporting. Experienced in EU and Norwegian Research Council grant administration, including financial auditing of international sub-agreements.</w:t>
      </w:r>
    </w:p>
    <w:p>
      <w:pPr/>
      <w:r>
        <w:rPr>
          <w:rFonts w:ascii="Arial" w:hAnsi="Arial"/>
          <w:color w:val="000000"/>
          <w:sz w:val="22"/>
        </w:rPr>
        <w:t>### Zaporizhzhia National University (ZNU) — Ukrainian Partner 1</w:t>
      </w:r>
    </w:p>
    <w:p>
      <w:pPr/>
      <w:r>
        <w:rPr>
          <w:rFonts w:ascii="Arial" w:hAnsi="Arial"/>
          <w:color w:val="000000"/>
          <w:sz w:val="22"/>
        </w:rPr>
        <w:t>**ZNU Project Lead — Head of Department of Power Engineering and Energy Management, Engineering Educational and Scientific Institute, ZNU**</w:t>
        <w:br/>
        <w:t>Holds a Doctor of Technical Sciences degree in electrical engineering with specialisation in power system automation and smart grid architectures. Has led ZNU's smart grid and renewable energy research programme since 2018, resulting in publications in IEEE Transactions and Energies (MDPI). Managed ZNU's participation in three Horizon MSCA projects and the UA-UK Twinning project. Directly responsible for ZNU's campus solar PV and cogeneration systems, providing hands-on operational knowledge of the microgrid environment that forms the SmartEnergy-UA Living Lab. Leads WP4.</w:t>
      </w:r>
    </w:p>
    <w:p>
      <w:pPr/>
      <w:r>
        <w:rPr>
          <w:rFonts w:ascii="Arial" w:hAnsi="Arial"/>
          <w:color w:val="000000"/>
          <w:sz w:val="22"/>
        </w:rPr>
        <w:t>**ZNU Senior Researcher — Hydropower Professional College, ZNU**</w:t>
        <w:br/>
        <w:t>Specialises in power plant operations, hydropower plant control systems, and energy storage for grid services. Contributes technical content to Module 2 and Module 4, and serves as primary contact for the Living Lab instrumentation project. Has operational experience managing ZNU's backup power systems under wartime blackout conditions.</w:t>
      </w:r>
    </w:p>
    <w:p>
      <w:pPr/>
      <w:r>
        <w:rPr>
          <w:rFonts w:ascii="Arial" w:hAnsi="Arial"/>
          <w:color w:val="000000"/>
          <w:sz w:val="22"/>
        </w:rPr>
        <w:t>**ZNU Curriculum Development Officer — Faculty of Physics and Technology, ZNU**</w:t>
        <w:br/>
        <w:t>Leads pedagogical design and quality assurance for WP1 module development, applying ZNU's institutional expertise in engineering education innovation. Coordinates the NAQA accreditation process for new modules and liaises with Ukrainian Ministry of Education and Science on curriculum standards compliance.</w:t>
      </w:r>
    </w:p>
    <w:p>
      <w:pPr/>
      <w:r>
        <w:rPr>
          <w:rFonts w:ascii="Arial" w:hAnsi="Arial"/>
          <w:color w:val="000000"/>
          <w:sz w:val="22"/>
        </w:rPr>
        <w:t>### Partner 2 — Ukrainian Technical University (TBC)</w:t>
        <w:br/>
        <w:t>The second Ukrainian partner, to be confirmed by NTNU prior to submission, will contribute a designated Project Lead with expertise complementary to ZNU's focus — specifically in transmission system operation and demand response aggregation, reflecting the complementary institutional profile under negotiation. The Partner 2 Project Lead will co-lead WP3 (Student Training Programme) and contribute two staff members to the WP2 Summer School programme. Partner 2's inclusion ensures geographic diversification of project reach, extending impact beyond the Zaporizhzhia region.</w:t>
      </w:r>
    </w:p>
    <w:p w14:paraId="7A7EB110" w14:textId="77777777" w:rsidR="000233C9" w:rsidRPr="003462FB" w:rsidRDefault="000233C9" w:rsidP="000233C9">
      <w:pPr>
        <w:pStyle w:val="Ingenmellomrom"/>
      </w:pPr>
    </w:p>
    <w:p w14:paraId="695BBEB4" w14:textId="77777777" w:rsidR="000233C9" w:rsidRPr="003462FB" w:rsidRDefault="000233C9" w:rsidP="000233C9">
      <w:pPr>
        <w:pStyle w:val="Ingenmellomrom"/>
      </w:pPr>
    </w:p>
    <w:p w14:paraId="7FAFDE06" w14:textId="77777777" w:rsidR="000233C9" w:rsidRPr="003462FB" w:rsidRDefault="000233C9" w:rsidP="000233C9">
      <w:pPr>
        <w:pStyle w:val="Ingenmellomrom"/>
      </w:pPr>
    </w:p>
    <w:p w14:paraId="18E575D5" w14:textId="77777777" w:rsidR="000233C9" w:rsidRPr="003462FB" w:rsidRDefault="000233C9" w:rsidP="000233C9">
      <w:pPr>
        <w:pStyle w:val="Ingenmellomrom"/>
      </w:pPr>
    </w:p>
    <w:p w14:paraId="35E6245A" w14:textId="77777777" w:rsidR="000233C9" w:rsidRPr="003462FB" w:rsidRDefault="000233C9" w:rsidP="000233C9">
      <w:pPr>
        <w:pStyle w:val="Ingenmellomrom"/>
        <w:rPr>
          <w:b/>
          <w:bCs/>
        </w:rPr>
      </w:pPr>
      <w:r w:rsidRPr="003462FB">
        <w:rPr>
          <w:b/>
          <w:bCs/>
        </w:rPr>
        <w:t>3.2</w:t>
      </w:r>
      <w:r w:rsidRPr="003462FB">
        <w:rPr>
          <w:b/>
          <w:bCs/>
        </w:rPr>
        <w:tab/>
        <w:t>Involvement, interaction and division of work between the project partners</w:t>
      </w:r>
    </w:p>
    <w:p w14:paraId="590D5E78" w14:textId="77777777" w:rsidR="000233C9" w:rsidRPr="003462FB" w:rsidRDefault="000233C9" w:rsidP="000233C9">
      <w:pPr>
        <w:pStyle w:val="Ingenmellomrom"/>
      </w:pPr>
    </w:p>
    <w:p w14:paraId="3697E7A2" w14:textId="77777777" w:rsidR="000233C9" w:rsidRPr="003462FB" w:rsidRDefault="000233C9" w:rsidP="000233C9">
      <w:pPr>
        <w:pStyle w:val="Ingenmellomrom"/>
      </w:pPr>
    </w:p>
    <w:p w14:paraId="7C9DF535" w14:textId="14CD729D" w:rsidR="000233C9" w:rsidRPr="003462FB" w:rsidRDefault="000233C9" w:rsidP="000233C9">
      <w:pPr/>
      <w:r>
        <w:rPr>
          <w:rFonts w:ascii="Arial" w:hAnsi="Arial"/>
          <w:color w:val="000000"/>
          <w:sz w:val="22"/>
        </w:rPr>
        <w:t>## 3.2 Involvement, Interaction and Division of Work</w:t>
      </w:r>
    </w:p>
    <w:p>
      <w:pPr/>
      <w:r>
        <w:rPr>
          <w:rFonts w:ascii="Arial" w:hAnsi="Arial"/>
          <w:color w:val="000000"/>
          <w:sz w:val="22"/>
        </w:rPr>
        <w:t>### Governance Structure</w:t>
      </w:r>
    </w:p>
    <w:p>
      <w:pPr/>
      <w:r>
        <w:rPr>
          <w:rFonts w:ascii="Arial" w:hAnsi="Arial"/>
          <w:color w:val="000000"/>
          <w:sz w:val="22"/>
        </w:rPr>
        <w:t>SmartEnergy-UA is governed by a three-tier structure providing strategic oversight, operational coordination, and day-to-day management.</w:t>
      </w:r>
    </w:p>
    <w:p>
      <w:pPr/>
      <w:r>
        <w:rPr>
          <w:rFonts w:ascii="Arial" w:hAnsi="Arial"/>
          <w:color w:val="000000"/>
          <w:sz w:val="22"/>
        </w:rPr>
        <w:t>**Steering Committee (SC):** Comprises the Project Coordinator (NTNU, Chair), ZNU Project Lead, Partner 2 Project Lead, one Norwegian industry representative (from NTNU's existing Statkraft or Statnett partnership), and one representative of the Zaporizhzhia Regional Military Administration Energy Department (or equivalent Ukrainian public authority). The SC meets quarterly by videoconference and annually in-person (location rotated between Trondheim and a Ukrainian city based on security conditions). The SC holds authority for strategic decisions including activity format adjustments, contingency measure activation, and budget reallocations up to 20% between budget lines. SC decisions are documented in minutes circulated within 5 working days.</w:t>
      </w:r>
    </w:p>
    <w:p>
      <w:pPr/>
      <w:r>
        <w:rPr>
          <w:rFonts w:ascii="Arial" w:hAnsi="Arial"/>
          <w:color w:val="000000"/>
          <w:sz w:val="22"/>
        </w:rPr>
        <w:t>**Project Management Group (PMG):** Comprises the Project Coordinator, NTNU Administrative Officer, ZNU Project Lead, and Partner 2 Project Lead. The PMG meets monthly by videoconference to review progress against the work plan, resolve operational issues, and prepare SC meetings. The PMG maintains a shared project management platform (Teamwork or equivalent) providing real-time visibility of task status, deliverable progress, and financial expenditure.</w:t>
      </w:r>
    </w:p>
    <w:p>
      <w:pPr/>
      <w:r>
        <w:rPr>
          <w:rFonts w:ascii="Arial" w:hAnsi="Arial"/>
          <w:color w:val="000000"/>
          <w:sz w:val="22"/>
        </w:rPr>
        <w:t>**Work Package Teams:** Each WP is led by a designated WP Lead (detailed in 3.1) supported by contributing staff from all consortium partners. WP teams meet bi-weekly during active delivery phases and monthly during preparatory phases. Cross-WP coordination is managed through the PMG.</w:t>
      </w:r>
    </w:p>
    <w:p>
      <w:pPr/>
      <w:r>
        <w:rPr>
          <w:rFonts w:ascii="Arial" w:hAnsi="Arial"/>
          <w:color w:val="000000"/>
          <w:sz w:val="22"/>
        </w:rPr>
        <w:t>### Division of Tasks and Responsibilities</w:t>
      </w:r>
    </w:p>
    <w:p>
      <w:pPr/>
      <w:r>
        <w:rPr>
          <w:rFonts w:ascii="Arial" w:hAnsi="Arial"/>
          <w:color w:val="000000"/>
          <w:sz w:val="22"/>
        </w:rPr>
        <w:t>**NTNU** holds overall legal and financial responsibility as applicant institution. NTNU leads WP1 (curriculum development — scientific content leadership) and WP5 (project management, dissemination, Horizon follow-on), and co-leads WP2 (staff training). NTNU contributes approximately 25% of total budget (within 30% personnel cap), primarily in staff time for curriculum design, Summer School delivery, and project management.</w:t>
      </w:r>
    </w:p>
    <w:p>
      <w:pPr/>
      <w:r>
        <w:rPr>
          <w:rFonts w:ascii="Arial" w:hAnsi="Arial"/>
          <w:color w:val="000000"/>
          <w:sz w:val="22"/>
        </w:rPr>
        <w:t>**ZNU** leads WP2 (staff training — organisational coordination for Ukrainian participants) and WP4 (Living Lab and pilot projects), and co-leads WP3 (student training). ZNU contributes approximately 35% of total budget, covering staff personnel costs, Living Lab instrumentation procurement (from equipment budget), student support, and locally organised activities.</w:t>
      </w:r>
    </w:p>
    <w:p>
      <w:pPr/>
      <w:r>
        <w:rPr>
          <w:rFonts w:ascii="Arial" w:hAnsi="Arial"/>
          <w:color w:val="000000"/>
          <w:sz w:val="22"/>
        </w:rPr>
        <w:t>**Partner 2** co-leads WP3 (student training at Partner 2 institution) and actively contributes to WP1 curriculum validation and WP2 Summer School participation. Partner 2 contributes approximately 20% of total budget.</w:t>
      </w:r>
    </w:p>
    <w:p>
      <w:pPr/>
      <w:r>
        <w:rPr>
          <w:rFonts w:ascii="Arial" w:hAnsi="Arial"/>
          <w:color w:val="000000"/>
          <w:sz w:val="22"/>
        </w:rPr>
        <w:t>**Shared mobility and scholarship costs** (approximately 20% of total budget) are administered by NTNU and disbursed jointly with Ukrainian partners per HK-dir scholarship rules.</w:t>
      </w:r>
    </w:p>
    <w:p>
      <w:pPr/>
      <w:r>
        <w:rPr>
          <w:rFonts w:ascii="Arial" w:hAnsi="Arial"/>
          <w:color w:val="000000"/>
          <w:sz w:val="22"/>
        </w:rPr>
        <w:t>### Communication and Coordination Mechanisms</w:t>
      </w:r>
    </w:p>
    <w:p>
      <w:pPr/>
      <w:r>
        <w:rPr>
          <w:rFonts w:ascii="Arial" w:hAnsi="Arial"/>
          <w:color w:val="000000"/>
          <w:sz w:val="22"/>
        </w:rPr>
        <w:t>Day-to-day communication is managed through a dedicated project workspace combining encrypted messaging (Microsoft Teams, accessible via ZNU's Azure infrastructure), document management (SharePoint), and task tracking. All project documentation is maintained bilingually (Ukrainian and English). A project-specific email list ensures that all SC and PMG members receive meeting invitations, minutes, and deliverable drafts simultaneously. The project website (bilingual, launched M2) provides public communication of progress, events, and OER publications.</w:t>
      </w:r>
    </w:p>
    <w:p>
      <w:pPr/>
      <w:r>
        <w:rPr>
          <w:rFonts w:ascii="Arial" w:hAnsi="Arial"/>
          <w:color w:val="000000"/>
          <w:sz w:val="22"/>
        </w:rPr>
        <w:t>Crisis communication: a protocol is established at M1 specifying escalation pathways for security-related disruptions, financial irregularities, or SEAH incidents, with designated contact persons at each institution and clear timelines for notification of NTNU management and HK-dir.</w:t>
      </w:r>
    </w:p>
    <w:p>
      <w:pPr/>
      <w:r>
        <w:rPr>
          <w:rFonts w:ascii="Arial" w:hAnsi="Arial"/>
          <w:color w:val="000000"/>
          <w:sz w:val="22"/>
        </w:rPr>
        <w:t>### Stakeholder Engagement</w:t>
      </w:r>
    </w:p>
    <w:p>
      <w:pPr/>
      <w:r>
        <w:rPr>
          <w:rFonts w:ascii="Arial" w:hAnsi="Arial"/>
          <w:color w:val="000000"/>
          <w:sz w:val="22"/>
        </w:rPr>
        <w:t>Beyond the consortium, SmartEnergy-UA engages four categories of external stakeholders through structured mechanisms:</w:t>
      </w:r>
    </w:p>
    <w:p>
      <w:pPr/>
      <w:r>
        <w:rPr>
          <w:rFonts w:ascii="Arial" w:hAnsi="Arial"/>
          <w:color w:val="000000"/>
          <w:sz w:val="22"/>
        </w:rPr>
        <w:t>**Industry stakeholders** — UKRENERGO regional division, Zaporizhzhia regional utilities, and private renewable energy developers participate in WP1 competency validation workshops (M3), WP4 pilot project advisory panels (M12–M30), and the annual SmartEnergy-UA Symposium. Norwegian industry partners (Statkraft, Statnett) contribute guest lectures to WP2 Summer School and the online masterclass series.</w:t>
      </w:r>
    </w:p>
    <w:p>
      <w:pPr/>
      <w:r>
        <w:rPr>
          <w:rFonts w:ascii="Arial" w:hAnsi="Arial"/>
          <w:color w:val="000000"/>
          <w:sz w:val="22"/>
        </w:rPr>
        <w:t>**Public authorities** — The Zaporizhzhia Regional Military Administration Energy Department and the Ukrainian Ministry of Energy are engaged as external stakeholders through the SC observer role and through WP4 pilot project collaboration, ensuring that project outputs align with regional reconstruction planning priorities.</w:t>
      </w:r>
    </w:p>
    <w:p>
      <w:pPr/>
      <w:r>
        <w:rPr>
          <w:rFonts w:ascii="Arial" w:hAnsi="Arial"/>
          <w:color w:val="000000"/>
          <w:sz w:val="22"/>
        </w:rPr>
        <w:t>**Academic community** — At least 5 additional Ukrainian HEIs are engaged through OER dissemination, the annual Symposium (open registration), and the online masterclass series. ZNU's established networks through 14 Erasmus+ projects and 3 Horizon MSCA projects are leveraged for this outreach.</w:t>
      </w:r>
    </w:p>
    <w:p>
      <w:pPr/>
      <w:r>
        <w:rPr>
          <w:rFonts w:ascii="Arial" w:hAnsi="Arial"/>
          <w:color w:val="000000"/>
          <w:sz w:val="22"/>
        </w:rPr>
        <w:t>**Students and alumni** — ZNU's student engineering society and Partner 2 equivalent are engaged as co-designers of the student experience within WP3, including the Student Design Competition (WP3). Alumni working in the energy sector are invited to contribute to Living Lab pilot advisory panels.</w:t>
      </w:r>
    </w:p>
    <w:p w14:paraId="52D4FDC5" w14:textId="77777777" w:rsidR="000233C9" w:rsidRPr="003462FB" w:rsidRDefault="000233C9" w:rsidP="000233C9">
      <w:pPr>
        <w:pStyle w:val="Ingenmellomrom"/>
      </w:pPr>
    </w:p>
    <w:p w14:paraId="501850CC" w14:textId="77777777" w:rsidR="000233C9" w:rsidRPr="003462FB" w:rsidRDefault="000233C9" w:rsidP="000233C9">
      <w:pPr>
        <w:pStyle w:val="Ingenmellomrom"/>
      </w:pPr>
    </w:p>
    <w:p w14:paraId="39AE292D" w14:textId="77777777" w:rsidR="000233C9" w:rsidRPr="003462FB" w:rsidRDefault="000233C9" w:rsidP="000233C9">
      <w:pPr>
        <w:pStyle w:val="Ingenmellomrom"/>
      </w:pPr>
    </w:p>
    <w:p w14:paraId="696E77CA" w14:textId="77777777" w:rsidR="000233C9" w:rsidRPr="003462FB" w:rsidRDefault="000233C9" w:rsidP="000233C9">
      <w:pPr>
        <w:pStyle w:val="Ingenmellomrom"/>
      </w:pPr>
    </w:p>
    <w:p w14:paraId="109120BB" w14:textId="77777777" w:rsidR="00BC7E28" w:rsidRDefault="00BC7E28">
      <w:pPr>
        <w:rPr>
          <w:b/>
          <w:bCs/>
          <w:sz w:val="32"/>
          <w:szCs w:val="32"/>
        </w:rPr>
      </w:pPr>
      <w:r>
        <w:rPr>
          <w:b/>
          <w:bCs/>
          <w:sz w:val="32"/>
          <w:szCs w:val="32"/>
        </w:rPr>
        <w:br w:type="page"/>
      </w:r>
    </w:p>
    <w:p w14:paraId="4DF6756C" w14:textId="12B2BDFC"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t>4</w:t>
      </w:r>
      <w:r w:rsidRPr="003462FB">
        <w:rPr>
          <w:b/>
          <w:bCs/>
          <w:sz w:val="32"/>
          <w:szCs w:val="32"/>
        </w:rPr>
        <w:tab/>
        <w:t xml:space="preserve">Project impact </w:t>
      </w:r>
    </w:p>
    <w:p w14:paraId="6305ED3B" w14:textId="77777777" w:rsidR="00E5362D" w:rsidRPr="003462FB" w:rsidRDefault="00E5362D" w:rsidP="000233C9">
      <w:pPr>
        <w:pStyle w:val="Ingenmellomrom"/>
      </w:pPr>
    </w:p>
    <w:p w14:paraId="02AA9C51" w14:textId="77777777" w:rsidR="000233C9" w:rsidRPr="003462FB" w:rsidRDefault="000233C9" w:rsidP="000233C9">
      <w:pPr>
        <w:pStyle w:val="Ingenmellomrom"/>
        <w:rPr>
          <w:b/>
          <w:bCs/>
        </w:rPr>
      </w:pPr>
      <w:r w:rsidRPr="003462FB">
        <w:rPr>
          <w:b/>
          <w:bCs/>
        </w:rPr>
        <w:t>4.1</w:t>
      </w:r>
      <w:r w:rsidRPr="003462FB">
        <w:rPr>
          <w:b/>
          <w:bCs/>
        </w:rPr>
        <w:tab/>
        <w:t xml:space="preserve">The project impact and possible measures to promote dissemination </w:t>
      </w:r>
    </w:p>
    <w:p w14:paraId="663B8C7E" w14:textId="77777777" w:rsidR="000233C9" w:rsidRPr="003462FB" w:rsidRDefault="000233C9" w:rsidP="000233C9">
      <w:pPr>
        <w:pStyle w:val="Ingenmellomrom"/>
      </w:pPr>
    </w:p>
    <w:p w14:paraId="359AD45D" w14:textId="77777777" w:rsidR="000233C9" w:rsidRPr="003462FB" w:rsidRDefault="000233C9" w:rsidP="000233C9">
      <w:pPr>
        <w:pStyle w:val="Ingenmellomrom"/>
      </w:pPr>
    </w:p>
    <w:p w14:paraId="0FD1C9F5" w14:textId="699FF8C6" w:rsidR="000233C9" w:rsidRPr="003462FB" w:rsidRDefault="000233C9" w:rsidP="000233C9">
      <w:pPr/>
      <w:r>
        <w:rPr>
          <w:rFonts w:ascii="Arial" w:hAnsi="Arial"/>
          <w:color w:val="000000"/>
          <w:sz w:val="22"/>
        </w:rPr>
        <w:t>## 4.1 Project Impact and Dissemination</w:t>
      </w:r>
    </w:p>
    <w:p>
      <w:pPr/>
      <w:r>
        <w:rPr>
          <w:rFonts w:ascii="Arial" w:hAnsi="Arial"/>
          <w:color w:val="000000"/>
          <w:sz w:val="22"/>
        </w:rPr>
        <w:t>### Direct Impact on Target Groups</w:t>
      </w:r>
    </w:p>
    <w:p>
      <w:pPr/>
      <w:r>
        <w:rPr>
          <w:rFonts w:ascii="Arial" w:hAnsi="Arial"/>
          <w:color w:val="000000"/>
          <w:sz w:val="22"/>
        </w:rPr>
        <w:t>**Students:** SmartEnergy-UA directly trains a minimum of 120 Ukrainian engineering students in SmartEnergy-UA modules over the project period, with 20 students completing the full 30 ECTS specialisation track. Six students undertake exchange periods at NTNU, acquiring direct experience of Norwegian energy research culture and European energy market knowledge. These students graduate with competencies directly demanded by the Ukrainian energy reconstruction sector: employers including UKRENERGO, regional distribution utilities, the Energoatom rehabilitation programme, and private renewable energy developers all require engineers with precisely the microgrid, storage, demand response, and resilience engineering skills that SmartEnergy-UA delivers. In the context of a projected need for over 50,000 additional energy engineers in Ukraine's reconstruction decade [8], every cohort of SmartEnergy-UA graduates represents meaningful contribution to closing a workforce gap with direct national security and economic recovery implications.</w:t>
      </w:r>
    </w:p>
    <w:p>
      <w:pPr/>
      <w:r>
        <w:rPr>
          <w:rFonts w:ascii="Arial" w:hAnsi="Arial"/>
          <w:color w:val="000000"/>
          <w:sz w:val="22"/>
        </w:rPr>
        <w:t>Further, the open educational resources produced by SmartEnergy-UA — five complete course modules, bilingual, free to access — extend the reach of student impact far beyond the 120 directly enrolled. If adopted by five additional Ukrainian universities (a conservative estimate given active dissemination through the Annual Symposium and national engineering associations), SmartEnergy-UA materials could reach a further 300–500 students per academic year without additional project funding.</w:t>
      </w:r>
    </w:p>
    <w:p>
      <w:pPr/>
      <w:r>
        <w:rPr>
          <w:rFonts w:ascii="Arial" w:hAnsi="Arial"/>
          <w:color w:val="000000"/>
          <w:sz w:val="22"/>
        </w:rPr>
        <w:t>**Academic staff:** 24 Ukrainian academic staff complete structured training through the NTNU Summer School and research visit programme, fundamentally updating their research and pedagogical competencies in energy systems engineering. These staff multiply the project's impact through their subsequent teaching, research supervision, and institutional leadership. A mid-career power engineering lecturer who completes the SmartEnergy-UA programme in 2027 may teach 50 students per year for the next 20 years; the cumulative impact of staff development is thus measured in thousands of future graduates, not the 24 initial participants.</w:t>
      </w:r>
    </w:p>
    <w:p>
      <w:pPr/>
      <w:r>
        <w:rPr>
          <w:rFonts w:ascii="Arial" w:hAnsi="Arial"/>
          <w:color w:val="000000"/>
          <w:sz w:val="22"/>
        </w:rPr>
        <w:t>**Practising engineers:** Approximately 40 regional energy sector professionals engage with SmartEnergy-UA through the Living Lab advisory panels, the Annual Symposium, and the online masterclass series. For practitioners managing live reconstruction projects in the Zaporizhzhia region, access to NTNU-quality technical content and Norwegian industry expertise provides direct operational value — particularly for the microgrid design and resilience engineering content of WP4 pilot projects.</w:t>
      </w:r>
    </w:p>
    <w:p>
      <w:pPr/>
      <w:r>
        <w:rPr>
          <w:rFonts w:ascii="Arial" w:hAnsi="Arial"/>
          <w:color w:val="000000"/>
          <w:sz w:val="22"/>
        </w:rPr>
        <w:t>### Institutional Impact</w:t>
      </w:r>
    </w:p>
    <w:p>
      <w:pPr/>
      <w:r>
        <w:rPr>
          <w:rFonts w:ascii="Arial" w:hAnsi="Arial"/>
          <w:color w:val="000000"/>
          <w:sz w:val="22"/>
        </w:rPr>
        <w:t>SmartEnergy-UA delivers structural, enduring change at both Ukrainian partner institutions:</w:t>
      </w:r>
    </w:p>
    <w:p>
      <w:pPr/>
      <w:r>
        <w:rPr>
          <w:rFonts w:ascii="Arial" w:hAnsi="Arial"/>
          <w:color w:val="000000"/>
          <w:sz w:val="22"/>
        </w:rPr>
        <w:t>- **Accredited curriculum:** Five new modules (30 ECTS) formally accredited by NAQA and integrated into bachelor's and master's degree programmes in electrical and power engineering. This curriculum architecture persists independently of project funding and represents the most durable institutional legacy of SmartEnergy-UA.</w:t>
        <w:br/>
        <w:t>- **Living Lab infrastructure:** ZNU acquires a permanent instrumented microgrid research and teaching facility, enabling ongoing student projects, faculty research, and external research partnerships that generate publications, patents, and future grant applications.</w:t>
        <w:br/>
        <w:t>- **Institutional capacity:** Ukrainian partners develop demonstrated capacity in curriculum co-design with international partners, open educational resource production, and research collaboration management — capabilities that strengthen their competitiveness for future Erasmus+, Horizon Europe, and other European programme applications.</w:t>
        <w:br/>
        <w:t>- **NTNU institutional benefit:** NTNU deepens its engagement with Ukraine's reconstruction challenge, generating new research questions and field data (e.g., from the Living Lab) that enrich NTNU's own energy systems research agenda and strengthen its case for future Horizon Energy applications involving Ukrainian partners.</w:t>
      </w:r>
    </w:p>
    <w:p>
      <w:pPr/>
      <w:r>
        <w:rPr>
          <w:rFonts w:ascii="Arial" w:hAnsi="Arial"/>
          <w:color w:val="000000"/>
          <w:sz w:val="22"/>
        </w:rPr>
        <w:t>### Regional and National Impact</w:t>
      </w:r>
    </w:p>
    <w:p>
      <w:pPr/>
      <w:r>
        <w:rPr>
          <w:rFonts w:ascii="Arial" w:hAnsi="Arial"/>
          <w:color w:val="000000"/>
          <w:sz w:val="22"/>
        </w:rPr>
        <w:t>The Zaporizhzhia region, despite its frontline status, is strategically central to Ukraine's energy reconstruction. It is home to the ZNPP (whose eventual safe return to Ukrainian operation is a national energy security priority), the site of the destroyed Kakhovka HPP (whose replacement or rehabilitation is under international planning), and a major industrial region whose economic recovery requires reliable energy supply. SmartEnergy-UA's direct engagement with regional stakeholders through WP4 pilot projects and the Living Lab positions the consortium as a trusted technical partner for regional reconstruction planning. The Demand Flexibility Mapping pilot (Pilot 2, WP4) in particular generates actionable data for regional utility planning that has direct operational value independent of the project's educational outputs.</w:t>
      </w:r>
    </w:p>
    <w:p>
      <w:pPr/>
      <w:r>
        <w:rPr>
          <w:rFonts w:ascii="Arial" w:hAnsi="Arial"/>
          <w:color w:val="000000"/>
          <w:sz w:val="22"/>
        </w:rPr>
        <w:t>At national level, SmartEnergy-UA contributes to Ukraine's alignment with EU energy regulations through curriculum content based on the EU Clean Energy Package and ENTSO-E technical standards — preparing graduates to work fluently within the regulatory framework that will govern Ukraine's energy system integration with the EU Single Energy Market.</w:t>
      </w:r>
    </w:p>
    <w:p>
      <w:pPr/>
      <w:r>
        <w:rPr>
          <w:rFonts w:ascii="Arial" w:hAnsi="Arial"/>
          <w:color w:val="000000"/>
          <w:sz w:val="22"/>
        </w:rPr>
        <w:t>### Dissemination Plan</w:t>
      </w:r>
    </w:p>
    <w:p>
      <w:pPr/>
      <w:r>
        <w:rPr>
          <w:rFonts w:ascii="Arial" w:hAnsi="Arial"/>
          <w:color w:val="000000"/>
          <w:sz w:val="22"/>
        </w:rPr>
        <w:t>- **Open Educational Resources:** All five modules published on Zenodo and the Ukrainian National Repository of Open Educational Resources by M30. Active promotion through CIGRÉ Ukraine National Committee, Ukrainian Energy Association, and Erasmus+ Alumni network.</w:t>
        <w:br/>
        <w:t>- **Annual SmartEnergy-UA Symposium:** Hybrid symposium (open registration) in Year 2 (M28) and Year 3 (M36), targeting 100+ participants from Ukrainian HEIs, energy utilities, and international partners. Proceedings published open access.</w:t>
        <w:br/>
        <w:t>- **Peer-reviewed publications:** Minimum 2 papers: one on ROP pedagogical methodology (target: European Journal of Engineering Education), one on Living Lab technical results (target: IEEE Access or Energies).</w:t>
        <w:br/>
        <w:t>- **Conference presentations:** Minimum 3 presentations at IEEE PES General Meeting, European Utility Week, or equivalent, including at least one Ukrainian first author presentation, building Ukrainian academic staff's international profile.</w:t>
        <w:br/>
        <w:t>- **Policy brief:** A two-page policy brief summarising SmartEnergy-UA findings on engineering education needs for energy reconstruction, distributed to Ukrainian Ministry of Education and Science, Ministry of Energy, and relevant EU institutions (DG ENER, DG NEAR) through NTNU's Brussels policy network.</w:t>
      </w:r>
    </w:p>
    <w:p w14:paraId="7E3D6B21" w14:textId="77777777" w:rsidR="000233C9" w:rsidRPr="003462FB" w:rsidRDefault="000233C9" w:rsidP="000233C9">
      <w:pPr>
        <w:pStyle w:val="Ingenmellomrom"/>
      </w:pPr>
    </w:p>
    <w:p w14:paraId="338F553E" w14:textId="77777777" w:rsidR="000233C9" w:rsidRDefault="000233C9" w:rsidP="000233C9">
      <w:pPr>
        <w:pStyle w:val="Ingenmellomrom"/>
      </w:pPr>
    </w:p>
    <w:p w14:paraId="3E3572ED" w14:textId="77777777" w:rsidR="00BF65CE" w:rsidRDefault="00BF65CE" w:rsidP="000233C9">
      <w:pPr>
        <w:pStyle w:val="Ingenmellomrom"/>
      </w:pPr>
    </w:p>
    <w:p w14:paraId="635081B5" w14:textId="77777777" w:rsidR="00BF65CE" w:rsidRPr="003462FB" w:rsidRDefault="00BF65CE" w:rsidP="000233C9">
      <w:pPr>
        <w:pStyle w:val="Ingenmellomrom"/>
      </w:pPr>
    </w:p>
    <w:p w14:paraId="1CC603B7" w14:textId="3D52C567" w:rsidR="000233C9" w:rsidRPr="003462FB" w:rsidRDefault="000233C9" w:rsidP="000233C9">
      <w:pPr>
        <w:pStyle w:val="Ingenmellomrom"/>
        <w:rPr>
          <w:b/>
          <w:bCs/>
        </w:rPr>
      </w:pPr>
      <w:r w:rsidRPr="003462FB">
        <w:rPr>
          <w:b/>
          <w:bCs/>
        </w:rPr>
        <w:t>4.2</w:t>
      </w:r>
      <w:r w:rsidRPr="003462FB">
        <w:rPr>
          <w:b/>
          <w:bCs/>
        </w:rPr>
        <w:tab/>
        <w:t>Duration of the impact and evaluation of the project's impact</w:t>
      </w:r>
    </w:p>
    <w:p w14:paraId="7389554D" w14:textId="77777777" w:rsidR="000233C9" w:rsidRPr="003462FB" w:rsidRDefault="000233C9" w:rsidP="000233C9">
      <w:pPr>
        <w:pStyle w:val="Ingenmellomrom"/>
      </w:pPr>
    </w:p>
    <w:p w14:paraId="4A777873" w14:textId="77777777" w:rsidR="000233C9" w:rsidRPr="003462FB" w:rsidRDefault="000233C9" w:rsidP="000233C9">
      <w:pPr>
        <w:pStyle w:val="Ingenmellomrom"/>
      </w:pPr>
    </w:p>
    <w:p w14:paraId="6454C1EC" w14:textId="64B7C09D" w:rsidR="000233C9" w:rsidRPr="003462FB" w:rsidRDefault="000233C9" w:rsidP="000233C9">
      <w:pPr/>
      <w:r>
        <w:rPr>
          <w:rFonts w:ascii="Arial" w:hAnsi="Arial"/>
          <w:color w:val="000000"/>
          <w:sz w:val="22"/>
        </w:rPr>
        <w:t>## 4.2 Duration of Impact and Evaluation</w:t>
      </w:r>
    </w:p>
    <w:p>
      <w:pPr/>
      <w:r>
        <w:rPr>
          <w:rFonts w:ascii="Arial" w:hAnsi="Arial"/>
          <w:color w:val="000000"/>
          <w:sz w:val="22"/>
        </w:rPr>
        <w:t>### Sustainability Plan</w:t>
      </w:r>
    </w:p>
    <w:p>
      <w:pPr/>
      <w:r>
        <w:rPr>
          <w:rFonts w:ascii="Arial" w:hAnsi="Arial"/>
          <w:color w:val="000000"/>
          <w:sz w:val="22"/>
        </w:rPr>
        <w:t>SmartEnergy-UA is designed with post-project sustainability as a first-order design constraint, not an afterthought. The following mechanisms ensure that project results continue to deliver value beyond June 2029:</w:t>
      </w:r>
    </w:p>
    <w:p>
      <w:pPr/>
      <w:r>
        <w:rPr>
          <w:rFonts w:ascii="Arial" w:hAnsi="Arial"/>
          <w:color w:val="000000"/>
          <w:sz w:val="22"/>
        </w:rPr>
        <w:t>**Curriculum accreditation and degree integration:** All five SmartEnergy-UA modules are submitted for NAQA formal accreditation by M30, with target approval before project end. Once accredited, modules are integrated into permanent degree programme catalogues at both Ukrainian partner institutions. The Ukrainian higher education regulatory framework requires periodic curriculum renewal, but accredited modules have a typical lifecycle of 5–10 years before mandatory review, ensuring a minimum of 5 post-project years of delivery. ZNU and Partner 2 commit through their Letters of Commitment to maintaining these modules in active delivery for a minimum of 3 academic years after project end, staffed by the 24 SmartEnergy-UA-trained faculty.</w:t>
      </w:r>
    </w:p>
    <w:p>
      <w:pPr/>
      <w:r>
        <w:rPr>
          <w:rFonts w:ascii="Arial" w:hAnsi="Arial"/>
          <w:color w:val="000000"/>
          <w:sz w:val="22"/>
        </w:rPr>
        <w:t>**Living Lab operational continuity:** The instrumented microgrid Living Lab established at ZNU (WP4) becomes a permanent part of ZNU's research infrastructure, managed by the Department of Power Engineering and Energy Management. ZNU's ESG strategy and institutional energy independence investment (solar PV, battery backup) provide the operational mandate and institutional budget for maintaining the Living Lab equipment. The facility is positioned as a bid asset for ZNU's future Horizon Europe and national science fund applications, generating revenue that sustains its operation.</w:t>
      </w:r>
    </w:p>
    <w:p>
      <w:pPr/>
      <w:r>
        <w:rPr>
          <w:rFonts w:ascii="Arial" w:hAnsi="Arial"/>
          <w:color w:val="000000"/>
          <w:sz w:val="22"/>
        </w:rPr>
        <w:t>**NTNU–ZNU long-term partnership:** The SmartEnergy-UA project operationalises the first phase of the 2026–2028 NTNU–ZNU strategic roadmap. WP5 explicitly prepares a Letter of Intent for a Horizon Europe application (Energy cluster, Clean Energy Transition Partnership) building on SmartEnergy-UA results, targeting submission within 12 months of project end. This ensures that the institutional relationship, staff connections, and research collaboration network established under SmartEnergy-UA immediately transition into a new cooperation framework rather than dissolving at project end.</w:t>
      </w:r>
    </w:p>
    <w:p>
      <w:pPr/>
      <w:r>
        <w:rPr>
          <w:rFonts w:ascii="Arial" w:hAnsi="Arial"/>
          <w:color w:val="000000"/>
          <w:sz w:val="22"/>
        </w:rPr>
        <w:t>**Open Educational Resources:** Published OER do not expire. The SmartEnergy-UA course modules, once published under Creative Commons licensing (CC BY 4.0), are permanently accessible and reusable by any Ukrainian or international institution without permission or cost.</w:t>
      </w:r>
    </w:p>
    <w:p>
      <w:pPr/>
      <w:r>
        <w:rPr>
          <w:rFonts w:ascii="Arial" w:hAnsi="Arial"/>
          <w:color w:val="000000"/>
          <w:sz w:val="22"/>
        </w:rPr>
        <w:t>**Industry partnership formalisation:** WP4's engagement with UKRENERGO regional division and Zaporizhzhia regional utilities is designed to culminate in a non-binding Memorandum of Understanding between ZNU and at least one regional energy sector employer, formalising ongoing cooperation for student internships, guest lecturing, and joint research. This industry connection sustains curriculum relevance and student employment pathways beyond the project period.</w:t>
      </w:r>
    </w:p>
    <w:p>
      <w:pPr/>
      <w:r>
        <w:rPr>
          <w:rFonts w:ascii="Arial" w:hAnsi="Arial"/>
          <w:color w:val="000000"/>
          <w:sz w:val="22"/>
        </w:rPr>
        <w:t>### Evaluation Methodology</w:t>
      </w:r>
    </w:p>
    <w:p>
      <w:pPr/>
      <w:r>
        <w:rPr>
          <w:rFonts w:ascii="Arial" w:hAnsi="Arial"/>
          <w:color w:val="000000"/>
          <w:sz w:val="22"/>
        </w:rPr>
        <w:t>SmartEnergy-UA employs a continuous mixed-methods evaluation framework:</w:t>
      </w:r>
    </w:p>
    <w:p>
      <w:pPr/>
      <w:r>
        <w:rPr>
          <w:rFonts w:ascii="Arial" w:hAnsi="Arial"/>
          <w:color w:val="000000"/>
          <w:sz w:val="22"/>
        </w:rPr>
        <w:t>**Baseline assessment (M1–3):** Pre-project competency survey administered to all Ukrainian academic staff participants and a sample of target student population; documentation of current state of energy curricula at Ukrainian partners; industry stakeholder survey on graduate competency gaps. Results establish quantified baselines against which all project indicators are measured.</w:t>
      </w:r>
    </w:p>
    <w:p>
      <w:pPr/>
      <w:r>
        <w:rPr>
          <w:rFonts w:ascii="Arial" w:hAnsi="Arial"/>
          <w:color w:val="000000"/>
          <w:sz w:val="22"/>
        </w:rPr>
        <w:t>**Formative evaluation (ongoing):** After each Summer School cohort, each student exchange period, and each Living Lab pilot project, structured feedback surveys are administered to all participants. Quantitative data (satisfaction ratings, self-assessed competency gains) and qualitative data (open comments) are analysed by the PMG and used to refine subsequent activities. WP1 module development follows an iterative co-design process in which pilot delivery feedback is systematically integrated before finalising module content.</w:t>
      </w:r>
    </w:p>
    <w:p>
      <w:pPr/>
      <w:r>
        <w:rPr>
          <w:rFonts w:ascii="Arial" w:hAnsi="Arial"/>
          <w:color w:val="000000"/>
          <w:sz w:val="22"/>
        </w:rPr>
        <w:t>**Summative evaluation (M30–36):** End-of-project competency assessment for staff participants (comparing post-project self-assessed competency with M1 baseline); graduate tracer study (following up the M12 and M18 student cohorts at 6 months post-completion to assess employment outcomes and relevance of SmartEnergy-UA competencies); industry stakeholder survey repeating the M1 instrument to measure perceived change in graduate supply.</w:t>
      </w:r>
    </w:p>
    <w:p>
      <w:pPr/>
      <w:r>
        <w:rPr>
          <w:rFonts w:ascii="Arial" w:hAnsi="Arial"/>
          <w:color w:val="000000"/>
          <w:sz w:val="22"/>
        </w:rPr>
        <w:t>**Key performance indicators tracked throughout:**</w:t>
        <w:br/>
        <w:t>- Number of students completing each module (target: 120)</w:t>
        <w:br/>
        <w:t>- Number of staff completing Summer School (target: 24)</w:t>
        <w:br/>
        <w:t>- Number of exchange students and staff (target: 6 students, 8 staff research visits, 6 NTNU staff visits)</w:t>
        <w:br/>
        <w:t>- Number of OER published and external downloads (target: 5 modules, 200 downloads in 12 months)</w:t>
        <w:br/>
        <w:t>- Number of peer-reviewed publications (target: 2+)</w:t>
        <w:br/>
        <w:t>- NAQA accreditation status (target: submitted M30, approved by M36 or shortly after)</w:t>
        <w:br/>
        <w:t>- Number of Living Lab pilot projects completed (target: 3)</w:t>
        <w:br/>
        <w:t>- Gender balance across all participant categories (target: ≥40% of any gender)</w:t>
      </w:r>
    </w:p>
    <w:p>
      <w:pPr/>
      <w:r>
        <w:rPr>
          <w:rFonts w:ascii="Arial" w:hAnsi="Arial"/>
          <w:color w:val="000000"/>
          <w:sz w:val="22"/>
        </w:rPr>
        <w:t>**Independent evaluation:** An external evaluator (individual or team, selected through competitive process at M6, independent of all consortium members) conducts a mid-term evaluation at M18 and a final evaluation at M34, providing an independent assessment of progress against objectives, quality of implementation, and preliminary sustainability indicators. The final evaluation report is submitted to HK-dir as part of the final project report and published on the project website.</w:t>
      </w:r>
    </w:p>
    <w:p w14:paraId="22A05506" w14:textId="77777777" w:rsidR="000233C9" w:rsidRPr="003462FB" w:rsidRDefault="000233C9" w:rsidP="000233C9">
      <w:pPr>
        <w:pStyle w:val="Ingenmellomrom"/>
      </w:pPr>
    </w:p>
    <w:p w14:paraId="7BEA9C4B" w14:textId="77777777" w:rsidR="000233C9" w:rsidRPr="003462FB" w:rsidRDefault="000233C9" w:rsidP="000233C9">
      <w:pPr>
        <w:pStyle w:val="Ingenmellomrom"/>
      </w:pPr>
    </w:p>
    <w:p w14:paraId="727AF6A2" w14:textId="77777777" w:rsidR="000233C9" w:rsidRPr="003462FB" w:rsidRDefault="000233C9" w:rsidP="000233C9">
      <w:pPr>
        <w:pStyle w:val="Ingenmellomrom"/>
      </w:pPr>
    </w:p>
    <w:p w14:paraId="72549BC3" w14:textId="77777777" w:rsidR="000233C9" w:rsidRPr="003462FB" w:rsidRDefault="000233C9" w:rsidP="000233C9">
      <w:pPr>
        <w:pStyle w:val="Ingenmellomrom"/>
      </w:pPr>
    </w:p>
    <w:p w14:paraId="32E86BDF" w14:textId="77777777" w:rsidR="000233C9" w:rsidRPr="003462FB" w:rsidRDefault="000233C9" w:rsidP="000233C9">
      <w:pPr>
        <w:pStyle w:val="Ingenmellomrom"/>
      </w:pPr>
    </w:p>
    <w:p w14:paraId="197F105F" w14:textId="77777777" w:rsidR="000233C9" w:rsidRPr="003462FB" w:rsidRDefault="000233C9" w:rsidP="000233C9">
      <w:pPr>
        <w:pStyle w:val="Ingenmellomrom"/>
      </w:pPr>
    </w:p>
    <w:p w14:paraId="3AA3D57E" w14:textId="77777777" w:rsidR="000233C9" w:rsidRPr="003462FB" w:rsidRDefault="000233C9" w:rsidP="000233C9">
      <w:pPr>
        <w:spacing w:after="200" w:line="276" w:lineRule="auto"/>
        <w:rPr>
          <w:rFonts w:eastAsiaTheme="majorEastAsia" w:cstheme="majorBidi"/>
          <w:b/>
          <w:bCs/>
          <w:sz w:val="32"/>
          <w:szCs w:val="24"/>
        </w:rPr>
      </w:pPr>
      <w:r w:rsidRPr="003462FB">
        <w:br w:type="page"/>
      </w:r>
    </w:p>
    <w:p w14:paraId="3A421977" w14:textId="77777777" w:rsidR="000233C9" w:rsidRPr="003462FB" w:rsidRDefault="000233C9" w:rsidP="000233C9">
      <w:pPr>
        <w:pStyle w:val="Overskrift2"/>
        <w:rPr>
          <w:sz w:val="32"/>
          <w:szCs w:val="24"/>
        </w:rPr>
      </w:pPr>
      <w:r w:rsidRPr="003462FB">
        <w:rPr>
          <w:sz w:val="32"/>
          <w:szCs w:val="24"/>
        </w:rPr>
        <w:t>5</w:t>
      </w:r>
      <w:r w:rsidRPr="003462FB">
        <w:rPr>
          <w:sz w:val="32"/>
          <w:szCs w:val="24"/>
        </w:rPr>
        <w:tab/>
        <w:t>Reference list</w:t>
      </w:r>
    </w:p>
    <w:p w14:paraId="14D7CA24" w14:textId="77777777" w:rsidR="000233C9" w:rsidRPr="003462FB" w:rsidRDefault="000233C9" w:rsidP="000233C9">
      <w:pPr>
        <w:pStyle w:val="Ingenmellomrom"/>
      </w:pPr>
    </w:p>
    <w:p w14:paraId="4D8D8060" w14:textId="77777777" w:rsidR="000233C9" w:rsidRPr="003462FB" w:rsidRDefault="000233C9" w:rsidP="000233C9">
      <w:pPr>
        <w:pStyle w:val="Ingenmellomrom"/>
      </w:pPr>
    </w:p>
    <w:p w14:paraId="4882C448" w14:textId="77777777" w:rsidR="000233C9" w:rsidRPr="003462FB" w:rsidRDefault="000233C9" w:rsidP="000233C9">
      <w:pPr>
        <w:pStyle w:val="Ingenmellomrom"/>
      </w:pPr>
      <w:r/>
    </w:p>
    <w:p w14:paraId="5BB0DD17" w14:textId="77777777" w:rsidR="000233C9" w:rsidRPr="003462FB" w:rsidRDefault="000233C9" w:rsidP="000233C9">
      <w:pPr>
        <w:pStyle w:val="Ingenmellomrom"/>
        <w:rPr>
          <w:sz w:val="18"/>
          <w:szCs w:val="18"/>
        </w:rPr>
      </w:pPr>
    </w:p>
    <w:p w14:paraId="2B1E9A84" w14:textId="77777777" w:rsidR="000233C9" w:rsidRPr="003462FB" w:rsidRDefault="000233C9" w:rsidP="000233C9">
      <w:pPr>
        <w:numPr>
          <w:ilvl w:val="0"/>
          <w:numId w:val="2"/>
        </w:numPr>
        <w:rPr>
          <w:sz w:val="18"/>
          <w:szCs w:val="18"/>
        </w:rPr>
      </w:pPr>
      <w:r>
        <w:rPr>
          <w:rFonts w:ascii="Arial" w:hAnsi="Arial"/>
          <w:sz w:val="20"/>
        </w:rPr>
        <w:t>[1] UKRENERGO (2024). Annual Report on the State of Ukraine's Power System 2023–2024. Kyiv: National Power Company UKRENERGO. Available at: https://ua.energy</w:t>
      </w:r>
    </w:p>
    <w:p>
      <w:pPr/>
      <w:r>
        <w:rPr>
          <w:rFonts w:ascii="Arial" w:hAnsi="Arial"/>
          <w:sz w:val="20"/>
        </w:rPr>
        <w:t>[2] International Energy Agency (IEA) (2024). Ukraine Energy Policy Review: Reconstruction and Green Transition. Paris: IEA. https://doi.org/10.1787/iea-ukraine-2024</w:t>
      </w:r>
    </w:p>
    <w:p>
      <w:pPr/>
      <w:r>
        <w:rPr>
          <w:rFonts w:ascii="Arial" w:hAnsi="Arial"/>
          <w:sz w:val="20"/>
        </w:rPr>
        <w:t>[3] Cherp, A., Jewell, J., Vinichenko, V., Bauer, N., &amp; De Cian, E. (2021). National growth dynamics of wind and solar power compared to the growth required for global climate targets. Nature Energy, 6(7), 742–754. https://doi.org/10.1038/s41560-021-00863-0</w:t>
      </w:r>
    </w:p>
    <w:p>
      <w:pPr/>
      <w:r>
        <w:rPr>
          <w:rFonts w:ascii="Arial" w:hAnsi="Arial"/>
          <w:sz w:val="20"/>
        </w:rPr>
        <w:t>[4] European Commission (2019). Clean Energy for All Europeans Package. Directive (EU) 2019/944 on Common Rules for the Internal Market for Electricity, and Directive (EU) 2018/2001 on Renewable Energy (recast). Official Journal of the European Union.</w:t>
      </w:r>
    </w:p>
    <w:p>
      <w:pPr/>
      <w:r>
        <w:rPr>
          <w:rFonts w:ascii="Arial" w:hAnsi="Arial"/>
          <w:sz w:val="20"/>
        </w:rPr>
        <w:t>[5] EU4Energy Programme (2023). Ukraine Energy Education and Skills Assessment 2023: Capacity Gaps for Energy Sector Reconstruction. Brussels: EU4Energy Secretariat.</w:t>
      </w:r>
    </w:p>
    <w:p>
      <w:pPr/>
      <w:r>
        <w:rPr>
          <w:rFonts w:ascii="Arial" w:hAnsi="Arial"/>
          <w:sz w:val="20"/>
        </w:rPr>
        <w:t>[6] ENTSO-E (2022). Ukraine and Moldova Synchronisation with Continental Europe: Technical Report. Brussels: ENTSO-E. Available at: https://www.entsoe.eu</w:t>
      </w:r>
    </w:p>
    <w:p>
      <w:pPr/>
      <w:r>
        <w:rPr>
          <w:rFonts w:ascii="Arial" w:hAnsi="Arial"/>
          <w:sz w:val="20"/>
        </w:rPr>
        <w:t>[7] USAID Energy Security Project – Ukraine (2023). Power System Restoration and Resilience Programme: Annual Technical Report. Kyiv: USAID ESP.</w:t>
      </w:r>
    </w:p>
    <w:p>
      <w:pPr/>
      <w:r>
        <w:rPr>
          <w:rFonts w:ascii="Arial" w:hAnsi="Arial"/>
          <w:sz w:val="20"/>
        </w:rPr>
        <w:t>[8] World Bank Group (2023). Ukraine Rapid Damage and Needs Assessment (RDNA3): Energy Sector. Washington DC: World Bank. https://www.worldbank.org/en/country/ukraine</w:t>
      </w:r>
    </w:p>
    <w:p>
      <w:pPr/>
      <w:r>
        <w:rPr>
          <w:rFonts w:ascii="Arial" w:hAnsi="Arial"/>
          <w:sz w:val="20"/>
        </w:rPr>
        <w:t>[9] Lund, H., Mathiesen, B.V., Connolly, D., &amp; Østergaard, P.A. (2014). Renewable energy systems: A smart energy systems approach to the choice and modelling of 100% renewable solutions. Chemical Engineering Transactions, 39, 1–6.</w:t>
      </w:r>
    </w:p>
    <w:p>
      <w:pPr/>
      <w:r>
        <w:rPr>
          <w:rFonts w:ascii="Arial" w:hAnsi="Arial"/>
          <w:sz w:val="20"/>
        </w:rPr>
        <w:t>[10] Panteli, M., &amp; Mancarella, P. (2015). The grid: Stronger, bigger, smarter? Presenting a conceptual framework of power system resilience. IEEE Power and Energy Magazine, 13(3), 58–66. https://doi.org/10.1109/MPE.2015.2397334</w:t>
      </w:r>
    </w:p>
    <w:p>
      <w:pPr/>
      <w:r>
        <w:rPr>
          <w:rFonts w:ascii="Arial" w:hAnsi="Arial"/>
          <w:sz w:val="20"/>
        </w:rPr>
        <w:t>[11] Micallef, A., Apap, M., Spiteri-Staines, C., &amp; Guerrero, J.M. (2015). Cooperative control with virtual harmonic impedance for unbalanced and nonlinear load sharing in an islanded microgrid. IEEE Transactions on Industry Applications, 51(2), 1962–1973.</w:t>
      </w:r>
    </w:p>
    <w:p>
      <w:pPr/>
      <w:r>
        <w:rPr>
          <w:rFonts w:ascii="Arial" w:hAnsi="Arial"/>
          <w:sz w:val="20"/>
        </w:rPr>
        <w:t>[12] Norwegian Ministry of Foreign Affairs (2022). Nansen Support Programme for Ukraine 2022–2025. Oslo: Norwegian MFA. Available at: https://www.regjeringen.no</w:t>
      </w:r>
    </w:p>
    <w:p>
      <w:pPr/>
      <w:r>
        <w:rPr>
          <w:rFonts w:ascii="Arial" w:hAnsi="Arial"/>
          <w:sz w:val="20"/>
        </w:rPr>
        <w:t>[13] HK-dir (2025). Nansen EDU — Call for Applications 2025: Programme Description and Application Guidelines. Bergen: Norwegian Directorate for Higher Education and Skills. Available at: https://hkdir.no</w:t>
      </w:r>
    </w:p>
    <w:p>
      <w:pPr/>
      <w:r>
        <w:rPr>
          <w:rFonts w:ascii="Arial" w:hAnsi="Arial"/>
          <w:sz w:val="20"/>
        </w:rPr>
        <w:t>[14] Transparency International (2024). Corruption Perceptions Index 2023: Ukraine Country Profile. Berlin: Transparency International. Available at: https://www.transparency.org/en/cpi/2023/index/ukr</w:t>
      </w:r>
    </w:p>
    <w:p>
      <w:pPr/>
      <w:r>
        <w:rPr>
          <w:rFonts w:ascii="Arial" w:hAnsi="Arial"/>
          <w:sz w:val="20"/>
        </w:rPr>
        <w:t>[15] Lund, P.D., Mikkola, J., &amp; Ypyä, J. (2015). Smart energy system design for large clean power schemes in urban areas. Journal of Cleaner Production, 103, 437–445. https://doi.org/10.1016/j.jclepro.2014.06.005</w:t>
      </w:r>
    </w:p>
    <w:p w14:paraId="682EF5B7" w14:textId="77777777" w:rsidR="000233C9" w:rsidRPr="003462FB" w:rsidRDefault="000233C9" w:rsidP="000233C9">
      <w:pPr>
        <w:pStyle w:val="Ingenmellomrom"/>
      </w:pPr>
    </w:p>
    <w:p w14:paraId="6C955AA6" w14:textId="77777777" w:rsidR="000233C9" w:rsidRPr="003462FB" w:rsidRDefault="000233C9" w:rsidP="000233C9">
      <w:pPr>
        <w:pStyle w:val="Ingenmellomrom"/>
      </w:pPr>
    </w:p>
    <w:p w14:paraId="38C38518" w14:textId="77777777" w:rsidR="000233C9" w:rsidRPr="003462FB" w:rsidRDefault="000233C9" w:rsidP="000233C9">
      <w:pPr>
        <w:pStyle w:val="Ingenmellomrom"/>
      </w:pPr>
    </w:p>
    <w:p w14:paraId="6DB84E47" w14:textId="77777777" w:rsidR="00772FFA" w:rsidRPr="003462FB" w:rsidRDefault="00772FFA" w:rsidP="00DB6B9E"/>
    <w:sectPr w:rsidR="00772FFA" w:rsidRPr="003462FB" w:rsidSect="006B03FD">
      <w:footerReference w:type="default" r:id="rId15"/>
      <w:headerReference w:type="first" r:id="rId16"/>
      <w:footerReference w:type="first" r:id="rId17"/>
      <w:endnotePr>
        <w:numFmt w:val="decimal"/>
      </w:endnotePr>
      <w:pgSz w:w="11906" w:h="16838" w:code="9"/>
      <w:pgMar w:top="85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BA4" w14:textId="77777777" w:rsidR="009B517A" w:rsidRDefault="009B517A" w:rsidP="000233C9">
      <w:pPr>
        <w:spacing w:after="0" w:line="240" w:lineRule="auto"/>
      </w:pPr>
      <w:r>
        <w:separator/>
      </w:r>
    </w:p>
  </w:endnote>
  <w:endnote w:type="continuationSeparator" w:id="0">
    <w:p w14:paraId="3F6C9238" w14:textId="77777777" w:rsidR="009B517A" w:rsidRDefault="009B517A" w:rsidP="000233C9">
      <w:pPr>
        <w:spacing w:after="0" w:line="240" w:lineRule="auto"/>
      </w:pPr>
      <w:r>
        <w:continuationSeparator/>
      </w:r>
    </w:p>
  </w:endnote>
  <w:endnote w:type="continuationNotice" w:id="1">
    <w:p w14:paraId="7AE5864B" w14:textId="77777777" w:rsidR="009B517A" w:rsidRDefault="009B5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CB96" w14:textId="77777777" w:rsidR="006B03FD" w:rsidRPr="002C6AB0" w:rsidRDefault="000233C9" w:rsidP="006B03FD">
    <w:pPr>
      <w:pStyle w:val="Bunntekst"/>
      <w:jc w:val="center"/>
      <w:rPr>
        <w:rFonts w:cstheme="minorHAnsi"/>
        <w:sz w:val="18"/>
        <w:szCs w:val="18"/>
      </w:rPr>
    </w:pPr>
    <w:r>
      <w:rPr>
        <w:snapToGrid w:val="0"/>
        <w:sz w:val="18"/>
        <w:szCs w:val="18"/>
      </w:rP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1</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59EF1880" w14:textId="77777777" w:rsidR="006B03FD" w:rsidRDefault="006B03FD">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4F3D" w14:textId="77777777" w:rsidR="006B03FD" w:rsidRPr="002C6AB0" w:rsidRDefault="000233C9" w:rsidP="006B03FD">
    <w:pPr>
      <w:pStyle w:val="Bunntekst"/>
      <w:jc w:val="right"/>
      <w:rPr>
        <w:rFonts w:cstheme="minorHAnsi"/>
        <w:sz w:val="18"/>
        <w:szCs w:val="18"/>
      </w:rPr>
    </w:pPr>
    <w:r>
      <w:rPr>
        <w:snapToGrid w:val="0"/>
        <w:sz w:val="18"/>
        <w:szCs w:val="18"/>
      </w:rPr>
      <w:tab/>
    </w:r>
    <w: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2</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27A1C635" w14:textId="77777777" w:rsidR="006B03FD" w:rsidRDefault="006B03FD">
    <w:pPr>
      <w:pStyle w:val="Bunntekst"/>
    </w:pPr>
  </w:p>
  <w:p w14:paraId="043D9A3A" w14:textId="77777777" w:rsidR="006B03FD" w:rsidRDefault="006B03F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7169" w14:textId="77777777" w:rsidR="009B517A" w:rsidRDefault="009B517A" w:rsidP="000233C9">
      <w:pPr>
        <w:spacing w:after="0" w:line="240" w:lineRule="auto"/>
      </w:pPr>
      <w:r>
        <w:separator/>
      </w:r>
    </w:p>
  </w:footnote>
  <w:footnote w:type="continuationSeparator" w:id="0">
    <w:p w14:paraId="79E2E86F" w14:textId="77777777" w:rsidR="009B517A" w:rsidRDefault="009B517A" w:rsidP="000233C9">
      <w:pPr>
        <w:spacing w:after="0" w:line="240" w:lineRule="auto"/>
      </w:pPr>
      <w:r>
        <w:continuationSeparator/>
      </w:r>
    </w:p>
  </w:footnote>
  <w:footnote w:type="continuationNotice" w:id="1">
    <w:p w14:paraId="2B0512EE" w14:textId="77777777" w:rsidR="009B517A" w:rsidRDefault="009B5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611" w14:textId="222241B3" w:rsidR="006B03FD" w:rsidRPr="00946220" w:rsidRDefault="000233C9" w:rsidP="006B03FD">
    <w:pPr>
      <w:pStyle w:val="Topptekst"/>
      <w:rPr>
        <w:i/>
        <w:iCs/>
        <w:sz w:val="20"/>
      </w:rPr>
    </w:pPr>
    <w:r>
      <w:rPr>
        <w:noProof/>
      </w:rPr>
      <w:drawing>
        <wp:anchor distT="0" distB="0" distL="114300" distR="114300" simplePos="0" relativeHeight="251658240" behindDoc="0" locked="0" layoutInCell="1" allowOverlap="1" wp14:anchorId="173F3736" wp14:editId="23DF0481">
          <wp:simplePos x="0" y="0"/>
          <wp:positionH relativeFrom="column">
            <wp:posOffset>5476875</wp:posOffset>
          </wp:positionH>
          <wp:positionV relativeFrom="paragraph">
            <wp:posOffset>-353060</wp:posOffset>
          </wp:positionV>
          <wp:extent cx="978958" cy="619125"/>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78958" cy="619125"/>
                  </a:xfrm>
                  <a:prstGeom prst="rect">
                    <a:avLst/>
                  </a:prstGeom>
                </pic:spPr>
              </pic:pic>
            </a:graphicData>
          </a:graphic>
        </wp:anchor>
      </w:drawing>
    </w:r>
    <w:r>
      <w:rPr>
        <w:i/>
        <w:iCs/>
        <w:sz w:val="20"/>
        <w:szCs w:val="20"/>
      </w:rPr>
      <w:t xml:space="preserve"> </w:t>
    </w:r>
  </w:p>
  <w:p w14:paraId="2D93A241" w14:textId="77777777" w:rsidR="006B03FD" w:rsidRDefault="006B03F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149"/>
    <w:multiLevelType w:val="hybridMultilevel"/>
    <w:tmpl w:val="B42EF65A"/>
    <w:lvl w:ilvl="0" w:tplc="57781D8A">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640570DB"/>
    <w:multiLevelType w:val="hybridMultilevel"/>
    <w:tmpl w:val="B4B4D4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AC7115"/>
    <w:multiLevelType w:val="hybridMultilevel"/>
    <w:tmpl w:val="FAB0BECA"/>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8B45D4E"/>
    <w:multiLevelType w:val="hybridMultilevel"/>
    <w:tmpl w:val="A2A8B1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21565899">
    <w:abstractNumId w:val="2"/>
  </w:num>
  <w:num w:numId="2" w16cid:durableId="990476752">
    <w:abstractNumId w:val="3"/>
  </w:num>
  <w:num w:numId="3" w16cid:durableId="535312299">
    <w:abstractNumId w:val="0"/>
  </w:num>
  <w:num w:numId="4" w16cid:durableId="453211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C9"/>
    <w:rsid w:val="000037E6"/>
    <w:rsid w:val="000211AE"/>
    <w:rsid w:val="000233C9"/>
    <w:rsid w:val="00027798"/>
    <w:rsid w:val="00062FC1"/>
    <w:rsid w:val="00080C7B"/>
    <w:rsid w:val="00081F5E"/>
    <w:rsid w:val="0008644F"/>
    <w:rsid w:val="00090DBE"/>
    <w:rsid w:val="000972A2"/>
    <w:rsid w:val="000B52D6"/>
    <w:rsid w:val="000E0CA4"/>
    <w:rsid w:val="000E2235"/>
    <w:rsid w:val="000E33EA"/>
    <w:rsid w:val="001053CD"/>
    <w:rsid w:val="00110FA1"/>
    <w:rsid w:val="001240E1"/>
    <w:rsid w:val="0012530A"/>
    <w:rsid w:val="00146203"/>
    <w:rsid w:val="0015396D"/>
    <w:rsid w:val="00157A21"/>
    <w:rsid w:val="00172582"/>
    <w:rsid w:val="0018428B"/>
    <w:rsid w:val="00195594"/>
    <w:rsid w:val="00196B2D"/>
    <w:rsid w:val="001A1F1D"/>
    <w:rsid w:val="001A321E"/>
    <w:rsid w:val="001B1E59"/>
    <w:rsid w:val="001C648A"/>
    <w:rsid w:val="001C6633"/>
    <w:rsid w:val="001D048B"/>
    <w:rsid w:val="001D7ED4"/>
    <w:rsid w:val="00211BB3"/>
    <w:rsid w:val="00276ACB"/>
    <w:rsid w:val="0028088C"/>
    <w:rsid w:val="002936F8"/>
    <w:rsid w:val="002960EF"/>
    <w:rsid w:val="002A2FA1"/>
    <w:rsid w:val="002C5A14"/>
    <w:rsid w:val="002C6576"/>
    <w:rsid w:val="002E4FC0"/>
    <w:rsid w:val="00303A96"/>
    <w:rsid w:val="003113CC"/>
    <w:rsid w:val="00332D50"/>
    <w:rsid w:val="003462FB"/>
    <w:rsid w:val="0037312A"/>
    <w:rsid w:val="003751F6"/>
    <w:rsid w:val="00376235"/>
    <w:rsid w:val="00395C5F"/>
    <w:rsid w:val="0039775D"/>
    <w:rsid w:val="003A19D5"/>
    <w:rsid w:val="003C436B"/>
    <w:rsid w:val="003C59D5"/>
    <w:rsid w:val="003C64EA"/>
    <w:rsid w:val="003C7BCD"/>
    <w:rsid w:val="003D3D3F"/>
    <w:rsid w:val="003D79EF"/>
    <w:rsid w:val="003F6585"/>
    <w:rsid w:val="004107A8"/>
    <w:rsid w:val="00424441"/>
    <w:rsid w:val="00436D38"/>
    <w:rsid w:val="00442588"/>
    <w:rsid w:val="004526EB"/>
    <w:rsid w:val="00462095"/>
    <w:rsid w:val="004654E4"/>
    <w:rsid w:val="00477B9C"/>
    <w:rsid w:val="004936FE"/>
    <w:rsid w:val="004A6CFF"/>
    <w:rsid w:val="004A766F"/>
    <w:rsid w:val="004C1B6A"/>
    <w:rsid w:val="004C5181"/>
    <w:rsid w:val="004D0BC0"/>
    <w:rsid w:val="004D4190"/>
    <w:rsid w:val="004E02E8"/>
    <w:rsid w:val="004E0F4A"/>
    <w:rsid w:val="004E1E2A"/>
    <w:rsid w:val="004F2596"/>
    <w:rsid w:val="004F4E48"/>
    <w:rsid w:val="00500451"/>
    <w:rsid w:val="00510851"/>
    <w:rsid w:val="0051185D"/>
    <w:rsid w:val="005134D1"/>
    <w:rsid w:val="00520704"/>
    <w:rsid w:val="00524B31"/>
    <w:rsid w:val="00531C41"/>
    <w:rsid w:val="005325FF"/>
    <w:rsid w:val="00533ED0"/>
    <w:rsid w:val="00543F1D"/>
    <w:rsid w:val="00550F22"/>
    <w:rsid w:val="0055759A"/>
    <w:rsid w:val="00557694"/>
    <w:rsid w:val="00557787"/>
    <w:rsid w:val="00564589"/>
    <w:rsid w:val="005808DB"/>
    <w:rsid w:val="0059169C"/>
    <w:rsid w:val="005A019D"/>
    <w:rsid w:val="005A196A"/>
    <w:rsid w:val="005D1AD4"/>
    <w:rsid w:val="005D5413"/>
    <w:rsid w:val="005F5770"/>
    <w:rsid w:val="00612935"/>
    <w:rsid w:val="00622C1E"/>
    <w:rsid w:val="00641E2D"/>
    <w:rsid w:val="00654771"/>
    <w:rsid w:val="00670291"/>
    <w:rsid w:val="00670B70"/>
    <w:rsid w:val="006768BA"/>
    <w:rsid w:val="006773B5"/>
    <w:rsid w:val="00695943"/>
    <w:rsid w:val="00695FDE"/>
    <w:rsid w:val="006B03FD"/>
    <w:rsid w:val="006B2451"/>
    <w:rsid w:val="006C6B82"/>
    <w:rsid w:val="006D7631"/>
    <w:rsid w:val="006E07BD"/>
    <w:rsid w:val="006E6565"/>
    <w:rsid w:val="006E6AF6"/>
    <w:rsid w:val="006F3F87"/>
    <w:rsid w:val="0070088A"/>
    <w:rsid w:val="007024BC"/>
    <w:rsid w:val="00704CDA"/>
    <w:rsid w:val="0071222F"/>
    <w:rsid w:val="00733A52"/>
    <w:rsid w:val="00735B71"/>
    <w:rsid w:val="007417CC"/>
    <w:rsid w:val="007438A4"/>
    <w:rsid w:val="0074512E"/>
    <w:rsid w:val="00750FB2"/>
    <w:rsid w:val="00772FFA"/>
    <w:rsid w:val="007815EC"/>
    <w:rsid w:val="00782660"/>
    <w:rsid w:val="00792DB2"/>
    <w:rsid w:val="007A1E85"/>
    <w:rsid w:val="007C5CB5"/>
    <w:rsid w:val="007E41FF"/>
    <w:rsid w:val="007E5889"/>
    <w:rsid w:val="007E6D39"/>
    <w:rsid w:val="007F534E"/>
    <w:rsid w:val="007F7EC0"/>
    <w:rsid w:val="00811909"/>
    <w:rsid w:val="00823410"/>
    <w:rsid w:val="00824026"/>
    <w:rsid w:val="008501D3"/>
    <w:rsid w:val="00853D83"/>
    <w:rsid w:val="00876C80"/>
    <w:rsid w:val="00880D89"/>
    <w:rsid w:val="00885C43"/>
    <w:rsid w:val="00895FEF"/>
    <w:rsid w:val="008A2C11"/>
    <w:rsid w:val="008D0446"/>
    <w:rsid w:val="008E27AB"/>
    <w:rsid w:val="009046DD"/>
    <w:rsid w:val="00911B7A"/>
    <w:rsid w:val="00932E7E"/>
    <w:rsid w:val="00934296"/>
    <w:rsid w:val="00937BFD"/>
    <w:rsid w:val="00957110"/>
    <w:rsid w:val="009630AA"/>
    <w:rsid w:val="00963B0D"/>
    <w:rsid w:val="009648C4"/>
    <w:rsid w:val="009A02BA"/>
    <w:rsid w:val="009A0C51"/>
    <w:rsid w:val="009B4CF7"/>
    <w:rsid w:val="009B517A"/>
    <w:rsid w:val="009C7E1C"/>
    <w:rsid w:val="009D25AF"/>
    <w:rsid w:val="009D2C0E"/>
    <w:rsid w:val="009F59E1"/>
    <w:rsid w:val="00A13FE0"/>
    <w:rsid w:val="00A1691B"/>
    <w:rsid w:val="00A34699"/>
    <w:rsid w:val="00A36951"/>
    <w:rsid w:val="00A52A90"/>
    <w:rsid w:val="00A67CA6"/>
    <w:rsid w:val="00A83B1B"/>
    <w:rsid w:val="00A876AC"/>
    <w:rsid w:val="00AA2426"/>
    <w:rsid w:val="00AA5F79"/>
    <w:rsid w:val="00AC19F1"/>
    <w:rsid w:val="00AC2B9E"/>
    <w:rsid w:val="00AC4663"/>
    <w:rsid w:val="00AD4B47"/>
    <w:rsid w:val="00AF328D"/>
    <w:rsid w:val="00B1195E"/>
    <w:rsid w:val="00B24705"/>
    <w:rsid w:val="00B44257"/>
    <w:rsid w:val="00B56DC9"/>
    <w:rsid w:val="00B6718E"/>
    <w:rsid w:val="00B81BC6"/>
    <w:rsid w:val="00BB3434"/>
    <w:rsid w:val="00BC15ED"/>
    <w:rsid w:val="00BC5596"/>
    <w:rsid w:val="00BC7E28"/>
    <w:rsid w:val="00BD0535"/>
    <w:rsid w:val="00BD1C8F"/>
    <w:rsid w:val="00BD5B10"/>
    <w:rsid w:val="00BF07BE"/>
    <w:rsid w:val="00BF65CE"/>
    <w:rsid w:val="00BF7016"/>
    <w:rsid w:val="00C0131C"/>
    <w:rsid w:val="00C24EF9"/>
    <w:rsid w:val="00C255AE"/>
    <w:rsid w:val="00C30471"/>
    <w:rsid w:val="00C62562"/>
    <w:rsid w:val="00C66341"/>
    <w:rsid w:val="00C7310C"/>
    <w:rsid w:val="00C773D8"/>
    <w:rsid w:val="00CA5FB4"/>
    <w:rsid w:val="00CB1B55"/>
    <w:rsid w:val="00CB290E"/>
    <w:rsid w:val="00CC68AB"/>
    <w:rsid w:val="00CD6161"/>
    <w:rsid w:val="00CE1797"/>
    <w:rsid w:val="00CE563E"/>
    <w:rsid w:val="00CE7E88"/>
    <w:rsid w:val="00CF37A2"/>
    <w:rsid w:val="00D040CC"/>
    <w:rsid w:val="00D05BF0"/>
    <w:rsid w:val="00D23603"/>
    <w:rsid w:val="00D2368B"/>
    <w:rsid w:val="00D24654"/>
    <w:rsid w:val="00D60674"/>
    <w:rsid w:val="00DB6B9E"/>
    <w:rsid w:val="00DC4156"/>
    <w:rsid w:val="00DC4FB0"/>
    <w:rsid w:val="00DE12D3"/>
    <w:rsid w:val="00DE1F77"/>
    <w:rsid w:val="00E047C4"/>
    <w:rsid w:val="00E52741"/>
    <w:rsid w:val="00E5362D"/>
    <w:rsid w:val="00E64EB2"/>
    <w:rsid w:val="00E74B56"/>
    <w:rsid w:val="00E858C0"/>
    <w:rsid w:val="00E93643"/>
    <w:rsid w:val="00E9636F"/>
    <w:rsid w:val="00EB581D"/>
    <w:rsid w:val="00EB5D7A"/>
    <w:rsid w:val="00EC34F7"/>
    <w:rsid w:val="00EC6861"/>
    <w:rsid w:val="00EC7FA6"/>
    <w:rsid w:val="00EE0254"/>
    <w:rsid w:val="00EF086E"/>
    <w:rsid w:val="00F169A0"/>
    <w:rsid w:val="00F4186C"/>
    <w:rsid w:val="00F55AFE"/>
    <w:rsid w:val="00F93CEC"/>
    <w:rsid w:val="00FB3B4C"/>
    <w:rsid w:val="02A1D714"/>
    <w:rsid w:val="0832A6B3"/>
    <w:rsid w:val="098A452C"/>
    <w:rsid w:val="09A3E492"/>
    <w:rsid w:val="0BC37BC6"/>
    <w:rsid w:val="1227BA6E"/>
    <w:rsid w:val="13B1CEC3"/>
    <w:rsid w:val="15CE6474"/>
    <w:rsid w:val="172B74D5"/>
    <w:rsid w:val="2120E269"/>
    <w:rsid w:val="232C2154"/>
    <w:rsid w:val="2B5C8157"/>
    <w:rsid w:val="30B5BB36"/>
    <w:rsid w:val="40121F6F"/>
    <w:rsid w:val="46111121"/>
    <w:rsid w:val="46DA2808"/>
    <w:rsid w:val="4D0E68A2"/>
    <w:rsid w:val="4E8B605A"/>
    <w:rsid w:val="525EA8D1"/>
    <w:rsid w:val="59B25891"/>
    <w:rsid w:val="5C015223"/>
    <w:rsid w:val="5DF320F5"/>
    <w:rsid w:val="5EF07E07"/>
    <w:rsid w:val="686A632C"/>
    <w:rsid w:val="74F1A771"/>
    <w:rsid w:val="7609E3EE"/>
    <w:rsid w:val="7D009CA5"/>
    <w:rsid w:val="7D6FBA63"/>
    <w:rsid w:val="7FD077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0101"/>
  <w15:chartTrackingRefBased/>
  <w15:docId w15:val="{03467658-A53B-4ADC-AEE4-BF967E77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9"/>
    <w:rPr>
      <w:color w:val="000000" w:themeColor="text1"/>
    </w:rPr>
  </w:style>
  <w:style w:type="paragraph" w:styleId="Overskrift2">
    <w:name w:val="heading 2"/>
    <w:basedOn w:val="Normal"/>
    <w:next w:val="Normal"/>
    <w:link w:val="Overskrift2Tegn"/>
    <w:uiPriority w:val="9"/>
    <w:unhideWhenUsed/>
    <w:qFormat/>
    <w:rsid w:val="000233C9"/>
    <w:pPr>
      <w:keepNext/>
      <w:keepLines/>
      <w:spacing w:before="200" w:after="0"/>
      <w:outlineLvl w:val="1"/>
    </w:pPr>
    <w:rPr>
      <w:rFonts w:eastAsiaTheme="majorEastAsia" w:cstheme="majorBidi"/>
      <w:b/>
      <w:bCs/>
      <w:sz w:val="3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0233C9"/>
    <w:rPr>
      <w:rFonts w:eastAsiaTheme="majorEastAsia" w:cstheme="majorBidi"/>
      <w:b/>
      <w:bCs/>
      <w:color w:val="000000" w:themeColor="text1"/>
      <w:sz w:val="36"/>
      <w:szCs w:val="26"/>
    </w:rPr>
  </w:style>
  <w:style w:type="paragraph" w:styleId="Topptekst">
    <w:name w:val="header"/>
    <w:basedOn w:val="Normal"/>
    <w:link w:val="TopptekstTegn"/>
    <w:uiPriority w:val="99"/>
    <w:unhideWhenUsed/>
    <w:rsid w:val="000233C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233C9"/>
    <w:rPr>
      <w:color w:val="000000" w:themeColor="text1"/>
    </w:rPr>
  </w:style>
  <w:style w:type="paragraph" w:styleId="Bunntekst">
    <w:name w:val="footer"/>
    <w:basedOn w:val="Normal"/>
    <w:link w:val="BunntekstTegn"/>
    <w:unhideWhenUsed/>
    <w:rsid w:val="000233C9"/>
    <w:pPr>
      <w:tabs>
        <w:tab w:val="center" w:pos="4536"/>
        <w:tab w:val="right" w:pos="9072"/>
      </w:tabs>
      <w:spacing w:after="0" w:line="240" w:lineRule="auto"/>
    </w:pPr>
  </w:style>
  <w:style w:type="character" w:customStyle="1" w:styleId="BunntekstTegn">
    <w:name w:val="Bunntekst Tegn"/>
    <w:basedOn w:val="Standardskriftforavsnitt"/>
    <w:link w:val="Bunntekst"/>
    <w:rsid w:val="000233C9"/>
    <w:rPr>
      <w:color w:val="000000" w:themeColor="text1"/>
    </w:rPr>
  </w:style>
  <w:style w:type="table" w:styleId="Tabellrutenett">
    <w:name w:val="Table Grid"/>
    <w:basedOn w:val="Vanligtabell"/>
    <w:uiPriority w:val="59"/>
    <w:rsid w:val="00023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0233C9"/>
    <w:pPr>
      <w:spacing w:after="0" w:line="240" w:lineRule="auto"/>
    </w:pPr>
    <w:rPr>
      <w:color w:val="000000" w:themeColor="text1"/>
    </w:rPr>
  </w:style>
  <w:style w:type="character" w:styleId="Sidetall">
    <w:name w:val="page number"/>
    <w:basedOn w:val="Standardskriftforavsnitt"/>
    <w:rsid w:val="000233C9"/>
  </w:style>
  <w:style w:type="character" w:styleId="Hyperkobling">
    <w:name w:val="Hyperlink"/>
    <w:basedOn w:val="Standardskriftforavsnitt"/>
    <w:uiPriority w:val="99"/>
    <w:unhideWhenUsed/>
    <w:rsid w:val="000233C9"/>
    <w:rPr>
      <w:color w:val="0563C1" w:themeColor="hyperlink"/>
      <w:u w:val="single"/>
    </w:rPr>
  </w:style>
  <w:style w:type="character" w:styleId="Merknadsreferanse">
    <w:name w:val="annotation reference"/>
    <w:basedOn w:val="Standardskriftforavsnitt"/>
    <w:uiPriority w:val="99"/>
    <w:semiHidden/>
    <w:unhideWhenUsed/>
    <w:rsid w:val="000233C9"/>
    <w:rPr>
      <w:sz w:val="16"/>
      <w:szCs w:val="16"/>
    </w:rPr>
  </w:style>
  <w:style w:type="paragraph" w:styleId="Merknadstekst">
    <w:name w:val="annotation text"/>
    <w:basedOn w:val="Normal"/>
    <w:link w:val="MerknadstekstTegn"/>
    <w:uiPriority w:val="99"/>
    <w:unhideWhenUsed/>
    <w:rsid w:val="000233C9"/>
    <w:pPr>
      <w:spacing w:line="240" w:lineRule="auto"/>
    </w:pPr>
    <w:rPr>
      <w:sz w:val="20"/>
      <w:szCs w:val="20"/>
    </w:rPr>
  </w:style>
  <w:style w:type="character" w:customStyle="1" w:styleId="MerknadstekstTegn">
    <w:name w:val="Merknadstekst Tegn"/>
    <w:basedOn w:val="Standardskriftforavsnitt"/>
    <w:link w:val="Merknadstekst"/>
    <w:uiPriority w:val="99"/>
    <w:rsid w:val="000233C9"/>
    <w:rPr>
      <w:color w:val="000000" w:themeColor="text1"/>
      <w:sz w:val="20"/>
      <w:szCs w:val="20"/>
    </w:rPr>
  </w:style>
  <w:style w:type="character" w:styleId="Omtale">
    <w:name w:val="Mention"/>
    <w:basedOn w:val="Standardskriftforavsnitt"/>
    <w:uiPriority w:val="99"/>
    <w:unhideWhenUsed/>
    <w:rsid w:val="000233C9"/>
    <w:rPr>
      <w:color w:val="2B579A"/>
      <w:shd w:val="clear" w:color="auto" w:fill="E1DFDD"/>
    </w:rPr>
  </w:style>
  <w:style w:type="paragraph" w:styleId="Sluttnotetekst">
    <w:name w:val="endnote text"/>
    <w:basedOn w:val="Normal"/>
    <w:link w:val="SluttnotetekstTegn"/>
    <w:uiPriority w:val="99"/>
    <w:semiHidden/>
    <w:unhideWhenUsed/>
    <w:rsid w:val="000233C9"/>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233C9"/>
    <w:rPr>
      <w:color w:val="000000" w:themeColor="text1"/>
      <w:sz w:val="20"/>
      <w:szCs w:val="20"/>
    </w:rPr>
  </w:style>
  <w:style w:type="character" w:styleId="Sluttnotereferanse">
    <w:name w:val="endnote reference"/>
    <w:basedOn w:val="Standardskriftforavsnitt"/>
    <w:uiPriority w:val="99"/>
    <w:semiHidden/>
    <w:unhideWhenUsed/>
    <w:rsid w:val="000233C9"/>
    <w:rPr>
      <w:vertAlign w:val="superscript"/>
    </w:rPr>
  </w:style>
  <w:style w:type="character" w:customStyle="1" w:styleId="normaltextrun">
    <w:name w:val="normaltextrun"/>
    <w:basedOn w:val="Standardskriftforavsnitt"/>
    <w:rsid w:val="007F534E"/>
  </w:style>
  <w:style w:type="character" w:styleId="Ulstomtale">
    <w:name w:val="Unresolved Mention"/>
    <w:basedOn w:val="Standardskriftforavsnitt"/>
    <w:uiPriority w:val="99"/>
    <w:semiHidden/>
    <w:unhideWhenUsed/>
    <w:rsid w:val="008A2C11"/>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695FDE"/>
    <w:rPr>
      <w:b/>
      <w:bCs/>
    </w:rPr>
  </w:style>
  <w:style w:type="character" w:customStyle="1" w:styleId="KommentaremneTegn">
    <w:name w:val="Kommentaremne Tegn"/>
    <w:basedOn w:val="MerknadstekstTegn"/>
    <w:link w:val="Kommentaremne"/>
    <w:uiPriority w:val="99"/>
    <w:semiHidden/>
    <w:rsid w:val="00695FDE"/>
    <w:rPr>
      <w:b/>
      <w:bCs/>
      <w:color w:val="000000" w:themeColor="text1"/>
      <w:sz w:val="20"/>
      <w:szCs w:val="20"/>
    </w:rPr>
  </w:style>
  <w:style w:type="paragraph" w:styleId="Revisjon">
    <w:name w:val="Revision"/>
    <w:hidden/>
    <w:uiPriority w:val="99"/>
    <w:semiHidden/>
    <w:rsid w:val="000972A2"/>
    <w:pPr>
      <w:spacing w:after="0" w:line="240" w:lineRule="auto"/>
    </w:pPr>
    <w:rPr>
      <w:color w:val="000000" w:themeColor="text1"/>
    </w:rPr>
  </w:style>
  <w:style w:type="character" w:styleId="Fulgthyperkobling">
    <w:name w:val="FollowedHyperlink"/>
    <w:basedOn w:val="Standardskriftforavsnitt"/>
    <w:uiPriority w:val="99"/>
    <w:semiHidden/>
    <w:unhideWhenUsed/>
    <w:rsid w:val="00477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kdir.no/en/guidelines-and-tools-for-responsible-international-knowledge-coope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kraina@hkdir.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presso.hkdir.no/login?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kdir.no/spredning-av-prosjektresult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3D173B90734304CBDCBAA2E57E3E6F0" ma:contentTypeVersion="8" ma:contentTypeDescription="Opprett et nytt dokument." ma:contentTypeScope="" ma:versionID="7f6602d71897db1f40ca7fc6655a394d">
  <xsd:schema xmlns:xsd="http://www.w3.org/2001/XMLSchema" xmlns:xs="http://www.w3.org/2001/XMLSchema" xmlns:p="http://schemas.microsoft.com/office/2006/metadata/properties" xmlns:ns2="fece2902-b34a-4503-9084-58d3448d1b6f" targetNamespace="http://schemas.microsoft.com/office/2006/metadata/properties" ma:root="true" ma:fieldsID="e243789437e6679ca0acbea0821d1154" ns2:_="">
    <xsd:import namespace="fece2902-b34a-4503-9084-58d3448d1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e2902-b34a-4503-9084-58d3448d1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C446C-5F74-4AE1-AA98-C74E0B2F023D}">
  <ds:schemaRefs>
    <ds:schemaRef ds:uri="http://schemas.microsoft.com/sharepoint/v3/contenttype/forms"/>
  </ds:schemaRefs>
</ds:datastoreItem>
</file>

<file path=customXml/itemProps2.xml><?xml version="1.0" encoding="utf-8"?>
<ds:datastoreItem xmlns:ds="http://schemas.openxmlformats.org/officeDocument/2006/customXml" ds:itemID="{2A5C391D-7D2A-45B9-BEDC-0ED53D534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e2902-b34a-4503-9084-58d3448d1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BEE83-6B21-47BC-AFAF-773C2CEC4D3E}">
  <ds:schemaRefs>
    <ds:schemaRef ds:uri="http://schemas.openxmlformats.org/officeDocument/2006/bibliography"/>
  </ds:schemaRefs>
</ds:datastoreItem>
</file>

<file path=customXml/itemProps4.xml><?xml version="1.0" encoding="utf-8"?>
<ds:datastoreItem xmlns:ds="http://schemas.openxmlformats.org/officeDocument/2006/customXml" ds:itemID="{9613EB61-E060-4C69-B0AD-016D01C02E79}">
  <ds:schemaRefs>
    <ds:schemaRef ds:uri="fece2902-b34a-4503-9084-58d3448d1b6f"/>
    <ds:schemaRef ds:uri="http://purl.org/dc/term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2049</Words>
  <Characters>10864</Characters>
  <Application>Microsoft Office Word</Application>
  <DocSecurity>0</DocSecurity>
  <Lines>90</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Torgeir Hovden</dc:creator>
  <cp:keywords/>
  <dc:description/>
  <cp:lastModifiedBy>Herdis Kolle</cp:lastModifiedBy>
  <cp:revision>2</cp:revision>
  <dcterms:created xsi:type="dcterms:W3CDTF">2025-12-01T08:49:00Z</dcterms:created>
  <dcterms:modified xsi:type="dcterms:W3CDTF">2025-12-01T08:49:00Z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0x010100F3D173B90734304CBDCBAA2E57E3E6F0</vt:lpwstr>
  </property>
  <property fmtid="{D5CDD505-2E9C-101B-9397-08002B2CF9AE}" pid="3" name="TaxKeyword">
    <vt:lpwstr/>
  </property>
  <property fmtid="{D5CDD505-2E9C-101B-9397-08002B2CF9AE}" pid="4" name="Order">
    <vt:r8>223900</vt:r8>
  </property>
  <property fmtid="{D5CDD505-2E9C-101B-9397-08002B2CF9AE}" pid="5" name="xd_Signature">
    <vt:bool>false</vt:bool>
  </property>
  <property fmtid="{D5CDD505-2E9C-101B-9397-08002B2CF9AE}" pid="6" name="Ekstern">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Arkivverdig">
    <vt:bool>false</vt:bool>
  </property>
  <property fmtid="{D5CDD505-2E9C-101B-9397-08002B2CF9AE}" pid="11" name="_ExtendedDescription">
    <vt:lpwstr/>
  </property>
  <property fmtid="{D5CDD505-2E9C-101B-9397-08002B2CF9AE}" pid="12" name="Klassifisering">
    <vt:lpwstr>Intern</vt:lpwstr>
  </property>
  <property fmtid="{D5CDD505-2E9C-101B-9397-08002B2CF9AE}" pid="13" name="TriggerFlowInfo">
    <vt:lpwstr/>
  </property>
  <property fmtid="{D5CDD505-2E9C-101B-9397-08002B2CF9AE}" pid="14" name="MediaServiceImageTags">
    <vt:lpwstr/>
  </property>
  <property fmtid="{D5CDD505-2E9C-101B-9397-08002B2CF9AE}" pid="15" name="MSIP_Label_2724d2c2-06b5-4830-8a42-89f80414a936_Enabled">
    <vt:lpwstr>true</vt:lpwstr>
  </property>
  <property fmtid="{D5CDD505-2E9C-101B-9397-08002B2CF9AE}" pid="16" name="MSIP_Label_2724d2c2-06b5-4830-8a42-89f80414a936_SetDate">
    <vt:lpwstr>2025-11-12T14:04:32Z</vt:lpwstr>
  </property>
  <property fmtid="{D5CDD505-2E9C-101B-9397-08002B2CF9AE}" pid="17" name="MSIP_Label_2724d2c2-06b5-4830-8a42-89f80414a936_Method">
    <vt:lpwstr>Privileged</vt:lpwstr>
  </property>
  <property fmtid="{D5CDD505-2E9C-101B-9397-08002B2CF9AE}" pid="18" name="MSIP_Label_2724d2c2-06b5-4830-8a42-89f80414a936_Name">
    <vt:lpwstr>Intern</vt:lpwstr>
  </property>
  <property fmtid="{D5CDD505-2E9C-101B-9397-08002B2CF9AE}" pid="19" name="MSIP_Label_2724d2c2-06b5-4830-8a42-89f80414a936_SiteId">
    <vt:lpwstr>1ec46890-73f8-4a2a-9b2c-9a6611f1c922</vt:lpwstr>
  </property>
  <property fmtid="{D5CDD505-2E9C-101B-9397-08002B2CF9AE}" pid="20" name="MSIP_Label_2724d2c2-06b5-4830-8a42-89f80414a936_ActionId">
    <vt:lpwstr>4bd84c1b-47e8-425a-b75e-14ec83d09deb</vt:lpwstr>
  </property>
  <property fmtid="{D5CDD505-2E9C-101B-9397-08002B2CF9AE}" pid="21" name="MSIP_Label_2724d2c2-06b5-4830-8a42-89f80414a936_ContentBits">
    <vt:lpwstr>0</vt:lpwstr>
  </property>
  <property fmtid="{D5CDD505-2E9C-101B-9397-08002B2CF9AE}" pid="22" name="MSIP_Label_2724d2c2-06b5-4830-8a42-89f80414a936_Tag">
    <vt:lpwstr>10, 0, 1, 1</vt:lpwstr>
  </property>
</Properties>
</file>