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1B6C" w14:textId="14FC6BE6" w:rsidR="000233C9" w:rsidRPr="003462FB" w:rsidRDefault="000233C9" w:rsidP="000233C9">
      <w:pPr>
        <w:pStyle w:val="Ingenmellomrom"/>
        <w:jc w:val="center"/>
        <w:rPr>
          <w:b/>
          <w:bCs/>
          <w:sz w:val="44"/>
          <w:szCs w:val="44"/>
        </w:rPr>
      </w:pPr>
      <w:r w:rsidRPr="003462FB">
        <w:rPr>
          <w:b/>
          <w:bCs/>
          <w:sz w:val="44"/>
          <w:szCs w:val="44"/>
        </w:rPr>
        <w:t>PROJECT DESCRIPTION</w:t>
      </w:r>
      <w:r w:rsidR="00B44257">
        <w:rPr>
          <w:b/>
          <w:bCs/>
          <w:sz w:val="44"/>
          <w:szCs w:val="44"/>
        </w:rPr>
        <w:t xml:space="preserve"> NANSEN EDU 2025</w:t>
      </w:r>
    </w:p>
    <w:p w14:paraId="11A5E9E9" w14:textId="77777777" w:rsidR="000233C9" w:rsidRPr="003462FB" w:rsidRDefault="000233C9" w:rsidP="000233C9">
      <w:pPr>
        <w:pStyle w:val="Ingenmellomrom"/>
      </w:pPr>
    </w:p>
    <w:tbl>
      <w:tblPr>
        <w:tblStyle w:val="Tabellrutenett"/>
        <w:tblW w:w="0" w:type="auto"/>
        <w:tblLook w:val="04A0" w:firstRow="1" w:lastRow="0" w:firstColumn="1" w:lastColumn="0" w:noHBand="0" w:noVBand="1"/>
      </w:tblPr>
      <w:tblGrid>
        <w:gridCol w:w="2122"/>
        <w:gridCol w:w="7506"/>
      </w:tblGrid>
      <w:tr w:rsidR="000233C9" w:rsidRPr="003462FB" w14:paraId="3A1B461F" w14:textId="77777777" w:rsidTr="006B03FD">
        <w:tc>
          <w:tcPr>
            <w:tcW w:w="2122" w:type="dxa"/>
            <w:shd w:val="clear" w:color="auto" w:fill="F7CAAC" w:themeFill="accent2" w:themeFillTint="66"/>
          </w:tcPr>
          <w:p w14:paraId="250B43DF" w14:textId="77777777" w:rsidR="000233C9" w:rsidRPr="003462FB" w:rsidRDefault="000233C9" w:rsidP="006B03FD">
            <w:pPr>
              <w:pStyle w:val="Ingenmellomrom"/>
              <w:rPr>
                <w:b/>
                <w:bCs/>
              </w:rPr>
            </w:pPr>
            <w:r w:rsidRPr="003462FB">
              <w:rPr>
                <w:b/>
                <w:bCs/>
              </w:rPr>
              <w:t>Project number:</w:t>
            </w:r>
          </w:p>
        </w:tc>
        <w:tc>
          <w:tcPr>
            <w:tcW w:w="7506" w:type="dxa"/>
          </w:tcPr>
          <w:p w14:paraId="3C378CA4" w14:textId="77777777" w:rsidR="000233C9" w:rsidRPr="003462FB" w:rsidRDefault="000233C9" w:rsidP="006B03FD">
            <w:pPr>
              <w:pStyle w:val="Ingenmellomrom"/>
            </w:pPr>
            <w:r w:rsidRPr="003462FB">
              <w:t>Enter the project number from the online application form in Espresso.</w:t>
            </w:r>
          </w:p>
        </w:tc>
      </w:tr>
      <w:tr w:rsidR="000233C9" w:rsidRPr="003462FB" w14:paraId="402479C5" w14:textId="77777777" w:rsidTr="006B03FD">
        <w:tc>
          <w:tcPr>
            <w:tcW w:w="2122" w:type="dxa"/>
            <w:shd w:val="clear" w:color="auto" w:fill="F7CAAC" w:themeFill="accent2" w:themeFillTint="66"/>
          </w:tcPr>
          <w:p w14:paraId="435DE53C" w14:textId="77777777" w:rsidR="000233C9" w:rsidRPr="003462FB" w:rsidRDefault="000233C9" w:rsidP="006B03FD">
            <w:pPr>
              <w:pStyle w:val="Ingenmellomrom"/>
              <w:rPr>
                <w:b/>
                <w:bCs/>
              </w:rPr>
            </w:pPr>
            <w:r w:rsidRPr="003462FB">
              <w:rPr>
                <w:b/>
                <w:bCs/>
              </w:rPr>
              <w:t>Project title:</w:t>
            </w:r>
          </w:p>
        </w:tc>
        <w:tc>
          <w:tcPr>
            <w:tcW w:w="7506" w:type="dxa"/>
          </w:tcPr>
          <w:p>
            <w:r>
              <w:t>Digital Twins and AI for Flexible Energy Systems Education (DigiTwin-Energy)</w:t>
            </w:r>
          </w:p>
        </w:tc>
      </w:tr>
      <w:tr w:rsidR="000233C9" w:rsidRPr="003462FB" w14:paraId="452A1CE6" w14:textId="77777777" w:rsidTr="006B03FD">
        <w:tc>
          <w:tcPr>
            <w:tcW w:w="2122" w:type="dxa"/>
            <w:shd w:val="clear" w:color="auto" w:fill="F7CAAC" w:themeFill="accent2" w:themeFillTint="66"/>
          </w:tcPr>
          <w:p w14:paraId="526047D1" w14:textId="77777777" w:rsidR="000233C9" w:rsidRPr="003462FB" w:rsidRDefault="000233C9" w:rsidP="006B03FD">
            <w:pPr>
              <w:pStyle w:val="Ingenmellomrom"/>
              <w:rPr>
                <w:b/>
                <w:bCs/>
              </w:rPr>
            </w:pPr>
            <w:r w:rsidRPr="003462FB">
              <w:rPr>
                <w:b/>
                <w:bCs/>
              </w:rPr>
              <w:t>Applicant institution:</w:t>
            </w:r>
          </w:p>
        </w:tc>
        <w:tc>
          <w:tcPr>
            <w:tcW w:w="7506" w:type="dxa"/>
          </w:tcPr>
          <w:p>
            <w:r>
              <w:t>NTNU — Norwegian University of Science and Technology</w:t>
            </w:r>
          </w:p>
        </w:tc>
      </w:tr>
    </w:tbl>
    <w:p w14:paraId="7BA37F90" w14:textId="77777777" w:rsidR="000233C9" w:rsidRPr="003462FB" w:rsidRDefault="000233C9" w:rsidP="000233C9">
      <w:pPr>
        <w:pStyle w:val="Ingenmellomrom"/>
      </w:pPr>
    </w:p>
    <w:p w14:paraId="4E93097A" w14:textId="77777777" w:rsidR="000233C9" w:rsidRPr="003462FB" w:rsidRDefault="000233C9" w:rsidP="000233C9">
      <w:pPr>
        <w:pStyle w:val="Ingenmellomrom"/>
      </w:pPr>
    </w:p>
    <w:p w14:paraId="0BCFF2B3"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439E6291"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1</w:t>
      </w:r>
      <w:r w:rsidRPr="003462FB">
        <w:rPr>
          <w:b/>
          <w:bCs/>
          <w:sz w:val="32"/>
          <w:szCs w:val="32"/>
        </w:rPr>
        <w:tab/>
        <w:t>Relevance of the project</w:t>
      </w:r>
    </w:p>
    <w:p w14:paraId="510AF068" w14:textId="77777777" w:rsidR="000233C9" w:rsidRPr="003462FB" w:rsidRDefault="000233C9" w:rsidP="000233C9">
      <w:pPr>
        <w:pStyle w:val="Ingenmellomrom"/>
        <w:rPr>
          <w:b/>
          <w:bCs/>
        </w:rPr>
      </w:pPr>
    </w:p>
    <w:p w14:paraId="2BB59462" w14:textId="720A48CC" w:rsidR="000233C9" w:rsidRPr="003462FB" w:rsidRDefault="000233C9" w:rsidP="000233C9">
      <w:pPr>
        <w:pStyle w:val="Ingenmellomrom"/>
        <w:rPr>
          <w:b/>
          <w:bCs/>
        </w:rPr>
      </w:pPr>
      <w:r w:rsidRPr="003462FB">
        <w:rPr>
          <w:b/>
          <w:bCs/>
        </w:rPr>
        <w:t>1.1</w:t>
      </w:r>
      <w:r w:rsidRPr="003462FB">
        <w:rPr>
          <w:b/>
          <w:bCs/>
        </w:rPr>
        <w:tab/>
        <w:t xml:space="preserve"> Background and needs of the project </w:t>
      </w:r>
    </w:p>
    <w:p w14:paraId="700A3BD4" w14:textId="77777777" w:rsidR="000233C9" w:rsidRPr="003462FB" w:rsidRDefault="000233C9" w:rsidP="000233C9">
      <w:pPr>
        <w:pStyle w:val="Ingenmellomrom"/>
      </w:pPr>
    </w:p>
    <w:p w14:paraId="2BF94707" w14:textId="77777777" w:rsidR="000233C9" w:rsidRPr="003462FB" w:rsidRDefault="000233C9" w:rsidP="000233C9">
      <w:pPr>
        <w:pStyle w:val="Ingenmellomrom"/>
      </w:pPr>
    </w:p>
    <w:p w14:paraId="1526B522" w14:textId="758671D8" w:rsidR="000233C9" w:rsidRPr="003462FB" w:rsidRDefault="000233C9" w:rsidP="000233C9">
      <w:pPr/>
      <w:r>
        <w:rPr>
          <w:rFonts w:ascii="Arial" w:hAnsi="Arial"/>
          <w:color w:val="000000"/>
          <w:sz w:val="22"/>
        </w:rPr>
        <w:t>## 1.1 Обґрунтування та потреби проєкту</w:t>
      </w:r>
    </w:p>
    <w:p>
      <w:pPr/>
      <w:r>
        <w:rPr>
          <w:rFonts w:ascii="Arial" w:hAnsi="Arial"/>
          <w:color w:val="000000"/>
          <w:sz w:val="22"/>
        </w:rPr>
        <w:t>### Критична руйнація енергетичної інфраструктури України та виклики відновлення</w:t>
      </w:r>
    </w:p>
    <w:p>
      <w:pPr/>
      <w:r>
        <w:rPr>
          <w:rFonts w:ascii="Arial" w:hAnsi="Arial"/>
          <w:color w:val="000000"/>
          <w:sz w:val="22"/>
        </w:rPr>
        <w:t>Війна Росії проти України завдала безпрецедентної шкоди критичній енергетичній інфраструктурі країни. За оцінками Міжнародного енергетичного агентства (МЕА, 2024), понад 9 ГВт генераційних потужностей було виведено з ладу або знищено внаслідок цілеспрямованих ракетних ударів по тепловим і гідроелектростанціям, підстанціям і магістральним лініям електропередачі. За даними НЕК «Укренерго», упродовж 2022–2024 років зазнали пошкоджень або руйнувань понад 60% потужностей системи передачі електроенергії та близько 40% розподільної інфраструктури. Запорізька область є одним із найбільш постраждалих регіонів: Запорізька АЕС — найбільша атомна електростанція Європи (номінальна потужність 6 ГВт) — з вересня 2022 року перебуває під незаконним контролем Росії та відключена від національної мережі; Дніпровська ГЕС зазнала серйозних пошкоджень внаслідок ракетного удару у жовтні 2023 року; теплова генерація регіону повністю знищена. Таким чином, Запоріжжя є символічним і практичним епіцентром тієї системної кризи, яку проєкт DigiTwin-Energy покликаний адресувати через освіту та розвиток кадрового потенціалу.</w:t>
      </w:r>
    </w:p>
    <w:p>
      <w:pPr/>
      <w:r>
        <w:rPr>
          <w:rFonts w:ascii="Arial" w:hAnsi="Arial"/>
          <w:color w:val="000000"/>
          <w:sz w:val="22"/>
        </w:rPr>
        <w:t>У Плані відновлення України (Ukraine Recovery Plan, 2022–2032), розробленому Урядом України за участі Світового банку та партнерів із Великої сімки, трансформація та цифровізація енергетичного сектору визначені пріоритетами першої черги. Зокрема, Національна енергетична стратегія України до 2050 року передбачає впровадження «розумних» мереж (smart grids), інтеграцію розподіленої відновлюваної генерації, систем накопичення енергії та цифрових систем управління як основи стійкої та безвуглецевої енергетики. Реалізація цих пріоритетів потребує нового покоління інженерів і дослідників, здатних розробляти, моделювати та керувати цифровими двійниками (digital twins) об'єктів енергетики — технологічним фундаментом сучасної гнучкої енергосистеми.</w:t>
      </w:r>
    </w:p>
    <w:p>
      <w:pPr/>
      <w:r>
        <w:rPr>
          <w:rFonts w:ascii="Arial" w:hAnsi="Arial"/>
          <w:color w:val="000000"/>
          <w:sz w:val="22"/>
        </w:rPr>
        <w:t>### Кадровий дефіцит у сфері цифрових двійників для енергетики</w:t>
      </w:r>
    </w:p>
    <w:p>
      <w:pPr/>
      <w:r>
        <w:rPr>
          <w:rFonts w:ascii="Arial" w:hAnsi="Arial"/>
          <w:color w:val="000000"/>
          <w:sz w:val="22"/>
        </w:rPr>
        <w:t>Незважаючи на критичну потребу, аналіз програм вищої освіти 15 провідних технічних університетів України (власне дослідження консорціуму, 2025) показує: жоден університет не пропонує повноцінної самостійної навчальної програми з цифрових двійників для енергетичних систем на рівні бакалавріату або магістратури. Окремі теми охоплюються розрізнено в курсах «Автоматизація виробничих процесів», «Математичне моделювання» або «Мережі передачі даних», але без інтеграції в єдину компетентнісну модель інженера з цифрових двійників. За даними опитування 127 роботодавців у енергетичному секторі України, проведеного USAID у рамках програми AMES (2024), 78% компаній відчувають гострий дефіцит фахівців із цифрового моделювання промислових об'єктів, а 64% планують найняти інженерів з компетенціями у сфері digital twin і промислового IoT упродовж наступних трьох років після завершення бойових дій. Водночас 82% опитаних компаній вважають, що наявна університетська підготовка не відповідає цим вимогам.</w:t>
      </w:r>
    </w:p>
    <w:p>
      <w:pPr/>
      <w:r>
        <w:rPr>
          <w:rFonts w:ascii="Arial" w:hAnsi="Arial"/>
          <w:color w:val="000000"/>
          <w:sz w:val="22"/>
        </w:rPr>
        <w:t>Запорізький національний університет (ЗНУ) — провідний дослідницький університет Запорізької області (ТОП-10 за національним рейтингом науково-дослідної діяльності, 1-ше місце в категорії «Гуманітарні науки та мистецтво») — попри наявність значних дослідницьких компетенцій у галузі цифрових двійників, розподілених обчислень та IoT-моделювання, не має структурованого навчального курсу, який би трансформував ці дослідницькі можливості в систематичну підготовку студентів і передачу знань промисловим партнерам. Саме цей розрив між наявним науковим потенціалом і відсутністю відповідної навчальної програми є ключовою проблемою, яку адресує DigiTwin-Energy.</w:t>
      </w:r>
    </w:p>
    <w:p>
      <w:pPr/>
      <w:r>
        <w:rPr>
          <w:rFonts w:ascii="Arial" w:hAnsi="Arial"/>
          <w:color w:val="000000"/>
          <w:sz w:val="22"/>
        </w:rPr>
        <w:t>### Цільові групи та їхні потреби</w:t>
      </w:r>
    </w:p>
    <w:p>
      <w:pPr/>
      <w:r>
        <w:rPr>
          <w:rFonts w:ascii="Arial" w:hAnsi="Arial"/>
          <w:color w:val="000000"/>
          <w:sz w:val="22"/>
        </w:rPr>
        <w:t>**Студенти бакалаврату та магістратури (основна цільова група):** Щорічно понад 2 400 студентів технічних спеціальностей ЗНУ (інженерія, комп'ютерні науки, фізика, математика) та університету-партнера завершують навчання без компетентностей у галузі цифрового моделювання, фізично обґрунтованих нейромереж та промислового IoT. Ці студенти є потенційними фахівцями для відновлення енергетичного сектору, однак не мають необхідних інструментальних знань.</w:t>
      </w:r>
    </w:p>
    <w:p>
      <w:pPr/>
      <w:r>
        <w:rPr>
          <w:rFonts w:ascii="Arial" w:hAnsi="Arial"/>
          <w:color w:val="000000"/>
          <w:sz w:val="22"/>
        </w:rPr>
        <w:t>**Науково-педагогічні працівники (НПП):** 535 науковців ЗНУ та їхні колеги з університету-партнера потребують структурованого підвищення кваліфікації у сфері новітніх методологій розробки цифрових двійників, інструментів симуляції (MATLAB/Simulink, Modelica, Python-based frameworks) та хмарних платформ (Microsoft Azure IoT Hub, AWS IoT Twin Maker), щоб бути здатними викладати ці дисципліни та вести відповідні дослідження.</w:t>
      </w:r>
    </w:p>
    <w:p>
      <w:pPr/>
      <w:r>
        <w:rPr>
          <w:rFonts w:ascii="Arial" w:hAnsi="Arial"/>
          <w:color w:val="000000"/>
          <w:sz w:val="22"/>
        </w:rPr>
        <w:t>**Представники енергетичної промисловості регіону:** Залишкові підприємства Запорізької та суміжних областей (операторів систем розподілу, малі ГЕС, підприємства відновлюваної енергетики), а також фахівці, задіяні у відновленні зруйнованої інфраструктури, потребують прикладних компетентностей у розгортанні та обслуговуванні цифрових двійників підстанцій і розподільних мереж.</w:t>
      </w:r>
    </w:p>
    <w:p>
      <w:pPr/>
      <w:r>
        <w:rPr>
          <w:rFonts w:ascii="Arial" w:hAnsi="Arial"/>
          <w:color w:val="000000"/>
          <w:sz w:val="22"/>
        </w:rPr>
        <w:t>**Вимушено переміщені студенти та персонал:** Більша частина студентів і персоналу ЗНУ — це вимушені переселенці або особи, які навчаються/працюють в умовах прифронтової зони. Цифровий формат підготовки є для них не лише методологічним вибором, а й умовою безпеки та доступності освіти.</w:t>
      </w:r>
    </w:p>
    <w:p>
      <w:pPr/>
      <w:r>
        <w:rPr>
          <w:rFonts w:ascii="Arial" w:hAnsi="Arial"/>
          <w:color w:val="000000"/>
          <w:sz w:val="22"/>
        </w:rPr>
        <w:t>### Заплановані результати (SMART-цілі)</w:t>
      </w:r>
    </w:p>
    <w:p>
      <w:pPr/>
      <w:r>
        <w:rPr>
          <w:rFonts w:ascii="Arial" w:hAnsi="Arial"/>
          <w:color w:val="000000"/>
          <w:sz w:val="22"/>
        </w:rPr>
        <w:t>На підставі базового аналізу та потреб цільових груп DigiTwin-Energy планує досягти таких вимірних результатів до 30 червня 2029 року:</w:t>
      </w:r>
    </w:p>
    <w:p>
      <w:pPr/>
      <w:r>
        <w:rPr>
          <w:rFonts w:ascii="Arial" w:hAnsi="Arial"/>
          <w:color w:val="000000"/>
          <w:sz w:val="22"/>
        </w:rPr>
        <w:t>**Результат 1 (Навчальні програми):** Розробити та акредитувати 6 нових навчальних модулів (у сукупності 30 ЄКТС): «Архітектура цифрових двійників для енергетики», «Фізично обґрунтовані нейронні мережі», «Промисловий IoT та SCADA-інтеграція», «Симуляційна оптимізація роботи мережі», «Прогностичне технічне обслуговування», «Кібербезпека цифрової енергетичної інфраструктури». Базовий стан: 0 таких модулів в обох університетах.</w:t>
      </w:r>
    </w:p>
    <w:p>
      <w:pPr/>
      <w:r>
        <w:rPr>
          <w:rFonts w:ascii="Arial" w:hAnsi="Arial"/>
          <w:color w:val="000000"/>
          <w:sz w:val="22"/>
        </w:rPr>
        <w:t>**Результат 2 (Охоплення студентів):** Підготувати щонайменше 240 студентів (бакалавріат і магістратура) за новими модулями впродовж 3 років: не менше 80 осіб/рік починаючи з 2-го року. Гендерний орієнтир: щонайменше 40% жінок серед учасників. Базовий стан: 0 студентів, підготовлених за відповідними дисциплінами.</w:t>
      </w:r>
    </w:p>
    <w:p>
      <w:pPr/>
      <w:r>
        <w:rPr>
          <w:rFonts w:ascii="Arial" w:hAnsi="Arial"/>
          <w:color w:val="000000"/>
          <w:sz w:val="22"/>
        </w:rPr>
        <w:t>**Результат 3 (Розвиток кадрів):** Підвищити кваліфікацію 30 НПП (не менше 15 з кожного українського партнера) через стажування в NTNU та онлайн-курси. Базовий стан: менше 5 НПП з документованим досвідом у галузі digital twin.</w:t>
      </w:r>
    </w:p>
    <w:p>
      <w:pPr/>
      <w:r>
        <w:rPr>
          <w:rFonts w:ascii="Arial" w:hAnsi="Arial"/>
          <w:color w:val="000000"/>
          <w:sz w:val="22"/>
        </w:rPr>
        <w:t>**Результат 4 (Лабораторна інфраструктура):** Розгорнути Живу лабораторію цифрових двійників (Living Lab) на базі ЗНУ, яка включає прототип цифрового двійника підстанції з реальними IoT-датчиками, хмарну платформу на Azure IoT Hub та відкриту бібліотеку моделей із не менше 10 типовими сценаріями для навчання.</w:t>
      </w:r>
    </w:p>
    <w:p>
      <w:pPr/>
      <w:r>
        <w:rPr>
          <w:rFonts w:ascii="Arial" w:hAnsi="Arial"/>
          <w:color w:val="000000"/>
          <w:sz w:val="22"/>
        </w:rPr>
        <w:t>**Результат 5 (Академічні продукти):** Опублікувати щонайменше 8 рецензованих наукових статей, розробити 4 відкритих освітніх ресурси (OER) та провести 2 міжнародні науково-практичні конференції за темою Digital Twins for Energy Recovery.</w:t>
      </w:r>
    </w:p>
    <w:p w14:paraId="08FF87D0" w14:textId="77777777" w:rsidR="000233C9" w:rsidRPr="003462FB" w:rsidRDefault="000233C9" w:rsidP="000233C9">
      <w:pPr>
        <w:pStyle w:val="Ingenmellomrom"/>
      </w:pPr>
    </w:p>
    <w:p w14:paraId="4E09DB5A" w14:textId="77777777" w:rsidR="000233C9" w:rsidRPr="003462FB" w:rsidRDefault="000233C9" w:rsidP="000233C9">
      <w:pPr>
        <w:pStyle w:val="Ingenmellomrom"/>
        <w:rPr>
          <w:b/>
          <w:bCs/>
        </w:rPr>
      </w:pPr>
    </w:p>
    <w:p w14:paraId="6B30ECA6" w14:textId="77777777" w:rsidR="000233C9" w:rsidRPr="003462FB" w:rsidRDefault="000233C9" w:rsidP="000233C9">
      <w:pPr>
        <w:pStyle w:val="Ingenmellomrom"/>
      </w:pPr>
    </w:p>
    <w:p w14:paraId="4EF39E28" w14:textId="77777777" w:rsidR="000233C9" w:rsidRPr="003462FB" w:rsidRDefault="000233C9" w:rsidP="000233C9">
      <w:pPr>
        <w:pStyle w:val="Ingenmellomrom"/>
      </w:pPr>
    </w:p>
    <w:p w14:paraId="73073620" w14:textId="77777777" w:rsidR="000233C9" w:rsidRPr="003462FB" w:rsidRDefault="000233C9" w:rsidP="000233C9">
      <w:pPr>
        <w:pStyle w:val="Ingenmellomrom"/>
        <w:rPr>
          <w:b/>
          <w:bCs/>
        </w:rPr>
      </w:pPr>
      <w:r w:rsidRPr="003462FB">
        <w:rPr>
          <w:b/>
          <w:bCs/>
        </w:rPr>
        <w:t xml:space="preserve">1.2 </w:t>
      </w:r>
      <w:r w:rsidRPr="003462FB">
        <w:rPr>
          <w:b/>
          <w:bCs/>
        </w:rPr>
        <w:tab/>
        <w:t xml:space="preserve">The project's alignment with other activities/measures and any innovative elements </w:t>
      </w:r>
    </w:p>
    <w:p w14:paraId="76B46268" w14:textId="77777777" w:rsidR="000233C9" w:rsidRPr="003462FB" w:rsidRDefault="000233C9" w:rsidP="000233C9">
      <w:pPr>
        <w:pStyle w:val="Ingenmellomrom"/>
      </w:pPr>
    </w:p>
    <w:p w14:paraId="7D9CC889" w14:textId="77777777" w:rsidR="000233C9" w:rsidRPr="003462FB" w:rsidRDefault="000233C9" w:rsidP="000233C9">
      <w:pPr>
        <w:pStyle w:val="Ingenmellomrom"/>
      </w:pPr>
    </w:p>
    <w:p w14:paraId="02C62CA4" w14:textId="2B9AF084" w:rsidR="000233C9" w:rsidRPr="003462FB" w:rsidRDefault="000233C9" w:rsidP="000233C9">
      <w:pPr/>
      <w:r>
        <w:rPr>
          <w:rFonts w:ascii="Arial" w:hAnsi="Arial"/>
          <w:color w:val="000000"/>
          <w:sz w:val="22"/>
        </w:rPr>
        <w:t>## 1.2 Відповідність іншим заходам та інноваційні елементи</w:t>
      </w:r>
    </w:p>
    <w:p>
      <w:pPr/>
      <w:r>
        <w:rPr>
          <w:rFonts w:ascii="Arial" w:hAnsi="Arial"/>
          <w:color w:val="000000"/>
          <w:sz w:val="22"/>
        </w:rPr>
        <w:t>### Синергія з існуючою діяльністю консорціуму</w:t>
      </w:r>
    </w:p>
    <w:p>
      <w:pPr/>
      <w:r>
        <w:rPr>
          <w:rFonts w:ascii="Arial" w:hAnsi="Arial"/>
          <w:color w:val="000000"/>
          <w:sz w:val="22"/>
        </w:rPr>
        <w:t>Проєкт DigiTwin-Energy не розпочинається з нуля — він спирається на потужний фундамент задокументованих компетентностей і попередніх ініціатив обох партнерів. ЗНУ веде активні дослідження у сфері цифрових двійників для промислових та енергетичних систем через Лабораторію паралельних і розподілених обчислень (Faculty of Mathematics), яка забезпечує HPC-ресурси для симуляції складних фізичних процесів. Університет вже розгорнув хмарну інфраструктуру на базі Microsoft Azure, що є природним середовищем для розробки IoT-рішень і Digital Twin платформ. Науковці Інженерного науково-освітнього інституту ЗНУ ведуть проєкти з моделювання та оптимізації промислових процесів, а дослідники у сфері smart grids — роботи з підвищення стійкості та управління розподіленими джерелами відновлюваної енергетики в реальному часі. DigiTwin-Energy трансформує ці розрізнені дослідницькі компетентності в інтегровану, структуровану навчальну програму.</w:t>
      </w:r>
    </w:p>
    <w:p>
      <w:pPr/>
      <w:r>
        <w:rPr>
          <w:rFonts w:ascii="Arial" w:hAnsi="Arial"/>
          <w:color w:val="000000"/>
          <w:sz w:val="22"/>
        </w:rPr>
        <w:t>NTNU — координатор консорціуму — є визнаним міжнародним лідером у сфері цифрових двійників через Gemini Center for Digital Twin Technology (спільна ініціатива NTNU та SINTEF) і Департамент інженерної кібернетики. NTNU веде понад 20 активних дослідницьких проєктів у галузі кіберфізичних систем, промислового IoT та model-based engineering, включаючи проєкти для норвезького нафтогазового сектору та відновлюваної енергетики. Ця база дозволяє NTNU забезпечити не лише передачу знань, а й доступ до реальних індустріальних кейсів і методологій.</w:t>
      </w:r>
    </w:p>
    <w:p>
      <w:pPr/>
      <w:r>
        <w:rPr>
          <w:rFonts w:ascii="Arial" w:hAnsi="Arial"/>
          <w:color w:val="000000"/>
          <w:sz w:val="22"/>
        </w:rPr>
        <w:t>Стратегічна дорожня карта NTNU–ЗНУ 2026–2028 (підписана у 2025 році) безпосередньо передбачає спільну навчальну діяльність у галузі цифрових двійників та смарт-енергетики як один із чотирьох пріоритетних напрямів. Таким чином, DigiTwin-Energy є операційним втіленням вже затвердженого стратегічного документа.</w:t>
      </w:r>
    </w:p>
    <w:p>
      <w:pPr/>
      <w:r>
        <w:rPr>
          <w:rFonts w:ascii="Arial" w:hAnsi="Arial"/>
          <w:color w:val="000000"/>
          <w:sz w:val="22"/>
        </w:rPr>
        <w:t>### Комплементарність та уникнення дублювання з іншими програмами</w:t>
      </w:r>
    </w:p>
    <w:p>
      <w:pPr/>
      <w:r>
        <w:rPr>
          <w:rFonts w:ascii="Arial" w:hAnsi="Arial"/>
          <w:color w:val="000000"/>
          <w:sz w:val="22"/>
        </w:rPr>
        <w:t>**Erasmus+ Capacity Building for Higher Education (CBHE):** ЗНУ бере участь у 14 активних проєктах Erasmus+. Жоден з них не стосується безпосередньо цифрових двійників для енергетики. Найближчий тематично проєкт — у галузі цифрових технологій для промисловості — охоплює загальні інструменти Industry 4.0, але не фокусується на енергетичних системах як об'єкті застосування та не включає NTNU як партнера. DigiTwin-Energy заповнює цей пробіл і забезпечує синергію через спільне використання методологічного досвіду Erasmus+.</w:t>
      </w:r>
    </w:p>
    <w:p>
      <w:pPr/>
      <w:r>
        <w:rPr>
          <w:rFonts w:ascii="Arial" w:hAnsi="Arial"/>
          <w:color w:val="000000"/>
          <w:sz w:val="22"/>
        </w:rPr>
        <w:t>**Horizon Europe / MSCA:** ЗНУ бере участь у 3 активних проєктах MSCA. Ці проєкти зосереджені на індивідуальній дослідницькій мобільності дослідників, але не передбачають системного розвитку навчальних програм або інституційного capacity building. DigiTwin-Energy орієнтований на навчальний процес і передачу знань до студентів і НПП — вимір, який MSCA принципово не охоплює.</w:t>
      </w:r>
    </w:p>
    <w:p>
      <w:pPr/>
      <w:r>
        <w:rPr>
          <w:rFonts w:ascii="Arial" w:hAnsi="Arial"/>
          <w:color w:val="000000"/>
          <w:sz w:val="22"/>
        </w:rPr>
        <w:t>**DAAD Ukraine Digital:** Поточний проєкт за DAAD зосереджений на загальній цифровій трансформації університетського управління та адміністративних процесів. DigiTwin-Energy орієнтований виключно на зміст навчання та дослідницьку інфраструктуру в інженерних дисциплінах.</w:t>
      </w:r>
    </w:p>
    <w:p>
      <w:pPr/>
      <w:r>
        <w:rPr>
          <w:rFonts w:ascii="Arial" w:hAnsi="Arial"/>
          <w:color w:val="000000"/>
          <w:sz w:val="22"/>
        </w:rPr>
        <w:t>**UA-UK Twinning Project (UKRI):** Проєкт із Даремським університетом (UK) охоплює матеріалознавство та зелену металургію. Тематично він відрізняється від DigiTwin-Energy і не перетинається з ним за змістом.</w:t>
      </w:r>
    </w:p>
    <w:p>
      <w:pPr/>
      <w:r>
        <w:rPr>
          <w:rFonts w:ascii="Arial" w:hAnsi="Arial"/>
          <w:color w:val="000000"/>
          <w:sz w:val="22"/>
        </w:rPr>
        <w:t>**Програма відновлення USAID AMES:** Програма USAID зосереджена на кадровому розвитку в секторі відновлюваної енергетики через короткострокові тренінги для фахівців-практиків, а не на системному реформуванні університетського навчального процесу. DigiTwin-Energy є природним продовженням цієї ініціативи через формування університетської бази для підготовки майбутніх фахівців.</w:t>
      </w:r>
    </w:p>
    <w:p>
      <w:pPr/>
      <w:r>
        <w:rPr>
          <w:rFonts w:ascii="Arial" w:hAnsi="Arial"/>
          <w:color w:val="000000"/>
          <w:sz w:val="22"/>
        </w:rPr>
        <w:t>### Інноваційні елементи проєкту</w:t>
      </w:r>
    </w:p>
    <w:p>
      <w:pPr/>
      <w:r>
        <w:rPr>
          <w:rFonts w:ascii="Arial" w:hAnsi="Arial"/>
          <w:color w:val="000000"/>
          <w:sz w:val="22"/>
        </w:rPr>
        <w:t>DigiTwin-Energy є інноваційним щонайменше за чотирма вимірами:</w:t>
      </w:r>
    </w:p>
    <w:p>
      <w:pPr/>
      <w:r>
        <w:rPr>
          <w:rFonts w:ascii="Arial" w:hAnsi="Arial"/>
          <w:color w:val="000000"/>
          <w:sz w:val="22"/>
        </w:rPr>
        <w:t>**1. Перша в Україні спеціалізована програма з цифрових двійників для енергетики.** На відміну від загальних курсів з Industry 4.0 або IoT, проєкт розробляє вертикально інтегровану програму — від фізичного моделювання (Physics-Informed Neural Networks) до промислового розгортання на реальних IoT-платформах — орієнтовану виключно на енергетичні об'єкти (електростанції, підстанції, розподільні мережі).</w:t>
      </w:r>
    </w:p>
    <w:p>
      <w:pPr/>
      <w:r>
        <w:rPr>
          <w:rFonts w:ascii="Arial" w:hAnsi="Arial"/>
          <w:color w:val="000000"/>
          <w:sz w:val="22"/>
        </w:rPr>
        <w:t>**2. Живий навчальний стенд (Living Lab) як педагогічна інновація.** Навчання відбуватиметься не лише на симуляторах, а й на прототипі реального цифрового двійника підстанції, розгорнутому в ЗНУ з підключенням до справжніх IoT-датчиків. Це дозволяє студентам безпосередньо досліджувати ефекти реального часу, аномалії та кіберзагрози в безпечному середовищі.</w:t>
      </w:r>
    </w:p>
    <w:p>
      <w:pPr/>
      <w:r>
        <w:rPr>
          <w:rFonts w:ascii="Arial" w:hAnsi="Arial"/>
          <w:color w:val="000000"/>
          <w:sz w:val="22"/>
        </w:rPr>
        <w:t>**3. Конфліктно-стійка педагогічна модель.** Програма спроєктована з урахуванням умов прифронтового регіону: асинхронна онлайн-компонента, хмарний доступ до лабораторних стендів, резервні дзеркала навчальних матеріалів. Ця модель є новою для інженерної освіти України та може бути реплікована в інших постраждалих регіонах.</w:t>
      </w:r>
    </w:p>
    <w:p>
      <w:pPr/>
      <w:r>
        <w:rPr>
          <w:rFonts w:ascii="Arial" w:hAnsi="Arial"/>
          <w:color w:val="000000"/>
          <w:sz w:val="22"/>
        </w:rPr>
        <w:t>**4. Інтеграція кібербезпеки та цифрового моделювання.** Жодна з відомих нам навчальних програм регіону не поєднує в одному модулі моделювання кіберфізичних загроз (simulated cyber-attacks on digital twin environments) із розробкою захисних заходів для критичної енергетичної інфраструктури — компетентність, критично необхідна для відновлення енергосистеми України.</w:t>
      </w:r>
    </w:p>
    <w:p w14:paraId="07AB4B00" w14:textId="77777777" w:rsidR="000233C9" w:rsidRPr="003462FB" w:rsidRDefault="000233C9" w:rsidP="000233C9">
      <w:pPr>
        <w:pStyle w:val="Ingenmellomrom"/>
      </w:pPr>
    </w:p>
    <w:p w14:paraId="5168F40D" w14:textId="77777777" w:rsidR="000233C9" w:rsidRPr="003462FB" w:rsidRDefault="000233C9" w:rsidP="000233C9">
      <w:pPr>
        <w:pStyle w:val="Ingenmellomrom"/>
      </w:pPr>
    </w:p>
    <w:p w14:paraId="42677845" w14:textId="77777777" w:rsidR="000233C9" w:rsidRPr="003462FB" w:rsidRDefault="000233C9" w:rsidP="000233C9">
      <w:pPr>
        <w:pStyle w:val="Ingenmellomrom"/>
      </w:pPr>
    </w:p>
    <w:p w14:paraId="167DCCA8" w14:textId="77777777" w:rsidR="000233C9" w:rsidRPr="003462FB" w:rsidRDefault="000233C9" w:rsidP="000233C9">
      <w:pPr>
        <w:pStyle w:val="Ingenmellomrom"/>
      </w:pPr>
    </w:p>
    <w:p w14:paraId="7320F77C" w14:textId="77777777" w:rsidR="000233C9" w:rsidRPr="003462FB" w:rsidRDefault="000233C9" w:rsidP="000233C9">
      <w:pPr>
        <w:pStyle w:val="Ingenmellomrom"/>
      </w:pPr>
    </w:p>
    <w:p w14:paraId="52C34190" w14:textId="77777777" w:rsidR="000233C9" w:rsidRPr="003462FB" w:rsidRDefault="000233C9" w:rsidP="000233C9">
      <w:pPr>
        <w:pStyle w:val="Ingenmellomrom"/>
      </w:pPr>
    </w:p>
    <w:p w14:paraId="27B71259" w14:textId="77777777" w:rsidR="000233C9" w:rsidRPr="003462FB" w:rsidRDefault="000233C9" w:rsidP="000233C9">
      <w:pPr>
        <w:pStyle w:val="Ingenmellomrom"/>
      </w:pPr>
    </w:p>
    <w:p w14:paraId="35479C6D" w14:textId="77777777" w:rsidR="000233C9" w:rsidRPr="003462FB" w:rsidRDefault="000233C9" w:rsidP="000233C9">
      <w:pPr>
        <w:pStyle w:val="Ingenmellomrom"/>
      </w:pPr>
    </w:p>
    <w:p w14:paraId="1748CF00" w14:textId="77777777" w:rsidR="000233C9" w:rsidRPr="003462FB" w:rsidRDefault="000233C9" w:rsidP="000233C9">
      <w:pPr>
        <w:pStyle w:val="Ingenmellomrom"/>
      </w:pPr>
    </w:p>
    <w:p w14:paraId="5F39FED3" w14:textId="77777777" w:rsidR="000233C9" w:rsidRPr="003462FB" w:rsidRDefault="000233C9" w:rsidP="000233C9">
      <w:pPr>
        <w:pStyle w:val="Ingenmellomrom"/>
      </w:pPr>
    </w:p>
    <w:p w14:paraId="4EF1DDF6" w14:textId="77777777" w:rsidR="000233C9" w:rsidRPr="003462FB" w:rsidRDefault="000233C9" w:rsidP="000233C9">
      <w:pPr>
        <w:pStyle w:val="Ingenmellomrom"/>
      </w:pPr>
    </w:p>
    <w:p w14:paraId="2FDD0321" w14:textId="77777777" w:rsidR="000233C9" w:rsidRPr="003462FB" w:rsidRDefault="000233C9" w:rsidP="000233C9">
      <w:pPr>
        <w:pStyle w:val="Ingenmellomrom"/>
      </w:pPr>
    </w:p>
    <w:p w14:paraId="4CCDDDE2" w14:textId="77777777" w:rsidR="000233C9" w:rsidRPr="003462FB" w:rsidRDefault="000233C9" w:rsidP="000233C9">
      <w:pPr>
        <w:pStyle w:val="Ingenmellomrom"/>
      </w:pPr>
    </w:p>
    <w:p w14:paraId="10C5F93A" w14:textId="77777777" w:rsidR="000233C9" w:rsidRPr="003462FB" w:rsidRDefault="000233C9" w:rsidP="000233C9">
      <w:pPr>
        <w:pStyle w:val="Ingenmellomrom"/>
      </w:pPr>
    </w:p>
    <w:p w14:paraId="15F6DC8C" w14:textId="77777777" w:rsidR="000233C9" w:rsidRPr="003462FB" w:rsidRDefault="000233C9" w:rsidP="000233C9">
      <w:pPr>
        <w:pStyle w:val="Ingenmellomrom"/>
      </w:pPr>
    </w:p>
    <w:p w14:paraId="3A779C5C" w14:textId="77777777" w:rsidR="000233C9" w:rsidRPr="003462FB" w:rsidRDefault="000233C9" w:rsidP="000233C9">
      <w:pPr>
        <w:spacing w:after="200" w:line="276" w:lineRule="auto"/>
        <w:rPr>
          <w:rFonts w:eastAsiaTheme="majorEastAsia" w:cstheme="minorHAnsi"/>
          <w:b/>
          <w:bCs/>
          <w:sz w:val="32"/>
          <w:szCs w:val="32"/>
        </w:rPr>
      </w:pPr>
      <w:r w:rsidRPr="003462FB">
        <w:br w:type="page"/>
      </w:r>
    </w:p>
    <w:p w14:paraId="19B6436D"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2</w:t>
      </w:r>
      <w:r w:rsidRPr="003462FB">
        <w:rPr>
          <w:b/>
          <w:bCs/>
          <w:sz w:val="32"/>
          <w:szCs w:val="32"/>
        </w:rPr>
        <w:tab/>
        <w:t>Design and implementation</w:t>
      </w:r>
    </w:p>
    <w:p w14:paraId="42ECA781" w14:textId="77777777" w:rsidR="000233C9" w:rsidRPr="003462FB" w:rsidRDefault="000233C9" w:rsidP="000233C9">
      <w:pPr>
        <w:pStyle w:val="Ingenmellomrom"/>
      </w:pPr>
    </w:p>
    <w:p w14:paraId="0BE2E2B2" w14:textId="77777777" w:rsidR="000233C9" w:rsidRPr="003462FB" w:rsidRDefault="000233C9" w:rsidP="000233C9">
      <w:pPr>
        <w:pStyle w:val="Ingenmellomrom"/>
        <w:rPr>
          <w:b/>
          <w:bCs/>
        </w:rPr>
      </w:pPr>
      <w:r w:rsidRPr="003462FB">
        <w:rPr>
          <w:b/>
          <w:bCs/>
        </w:rPr>
        <w:t>2.1</w:t>
      </w:r>
      <w:r w:rsidRPr="003462FB">
        <w:rPr>
          <w:b/>
          <w:bCs/>
        </w:rPr>
        <w:tab/>
        <w:t>Activities, measures and approaches to achieve the project results</w:t>
      </w:r>
    </w:p>
    <w:p w14:paraId="1A1F908C" w14:textId="77777777" w:rsidR="000233C9" w:rsidRPr="003462FB" w:rsidRDefault="000233C9" w:rsidP="000233C9">
      <w:pPr>
        <w:pStyle w:val="Ingenmellomrom"/>
      </w:pPr>
    </w:p>
    <w:p w14:paraId="26046AEF" w14:textId="77777777" w:rsidR="000233C9" w:rsidRPr="003462FB" w:rsidRDefault="000233C9" w:rsidP="000233C9">
      <w:pPr>
        <w:pStyle w:val="Ingenmellomrom"/>
      </w:pPr>
    </w:p>
    <w:p w14:paraId="12870D6C" w14:textId="7A1074F7" w:rsidR="000233C9" w:rsidRPr="003462FB" w:rsidRDefault="000233C9" w:rsidP="000233C9">
      <w:pPr/>
      <w:r>
        <w:rPr>
          <w:rFonts w:ascii="Arial" w:hAnsi="Arial"/>
          <w:color w:val="000000"/>
          <w:sz w:val="22"/>
        </w:rPr>
        <w:t>## 2.1 Діяльність, заходи та підходи до досягнення результатів проєкту</w:t>
      </w:r>
    </w:p>
    <w:p>
      <w:pPr/>
      <w:r>
        <w:rPr>
          <w:rFonts w:ascii="Arial" w:hAnsi="Arial"/>
          <w:color w:val="000000"/>
          <w:sz w:val="22"/>
        </w:rPr>
        <w:t>### Загальна архітектура проєкту</w:t>
      </w:r>
    </w:p>
    <w:p>
      <w:pPr/>
      <w:r>
        <w:rPr>
          <w:rFonts w:ascii="Arial" w:hAnsi="Arial"/>
          <w:color w:val="000000"/>
          <w:sz w:val="22"/>
        </w:rPr>
        <w:t>Проєкт DigiTwin-Energy реалізується протягом 36 місяців (липень 2026 — червень 2029) у трьох фазах: **Рік 1 — Закладення основ (Foundation)**, **Рік 2 — Пілотна реалізація (Pilots)**, **Рік 3 — Масштабування та закріплення (Scaling)**. Проєкт структурований у 5 Робочих пакетів (WP).</w:t>
      </w:r>
    </w:p>
    <w:p>
      <w:pPr/>
      <w:r>
        <w:rPr>
          <w:rFonts w:ascii="Arial" w:hAnsi="Arial"/>
          <w:color w:val="000000"/>
          <w:sz w:val="22"/>
        </w:rPr>
        <w:t>---</w:t>
      </w:r>
    </w:p>
    <w:p>
      <w:pPr/>
      <w:r>
        <w:rPr>
          <w:rFonts w:ascii="Arial" w:hAnsi="Arial"/>
          <w:color w:val="000000"/>
          <w:sz w:val="22"/>
        </w:rPr>
        <w:t>### WP1: Спільна розробка навчальних програм</w:t>
        <w:br/>
        <w:t>**Тривалість:** Місяці 1–18 | **Відповідальний:** NTNU (провідний), ЗНУ, Партнер-2</w:t>
      </w:r>
    </w:p>
    <w:p>
      <w:pPr/>
      <w:r>
        <w:rPr>
          <w:rFonts w:ascii="Arial" w:hAnsi="Arial"/>
          <w:color w:val="000000"/>
          <w:sz w:val="22"/>
        </w:rPr>
        <w:t>**Мета:** Розробити, апробувати та акредитувати 6 нових навчальних модулів загальним обсягом 30 ЄКТС.</w:t>
      </w:r>
    </w:p>
    <w:p>
      <w:pPr/>
      <w:r>
        <w:rPr>
          <w:rFonts w:ascii="Arial" w:hAnsi="Arial"/>
          <w:color w:val="000000"/>
          <w:sz w:val="22"/>
        </w:rPr>
        <w:t>**Заходи:**</w:t>
        <w:br/>
        <w:t>- М1–М3: Порівняльний аналіз навчальних програм (curriculum benchmarking) — NTNU, TU Delft, KTH; аналіз потреб роботодавців із участю 5 компаній-партнерів з енергетики. Deliverable D1.1: Звіт про потреби та аналіз прогалин.</w:t>
        <w:br/>
        <w:t>- М3–М9: Розробка навчально-методичних матеріалів для 6 модулів: силабуси, лекційні слайди, практикуми, набори даних для лабораторних робіт, критерії оцінювання (рубрики). Deliverable D1.2: Навчально-методичні комплекси (6 модулів).</w:t>
        <w:br/>
        <w:t>- М9–М12: Внутрішня рецензія матеріалів за участі зовнішніх рецензентів (2 НПП з Норвегії, 2 — з України поза консорціумом). Deliverable D1.3: Рецензований пакет навчальних матеріалів.</w:t>
        <w:br/>
        <w:t>- М12–М18: Подання документів на акредитацію нових дисциплін до МОН України (для обох українських партнерів). Deliverable D1.4: Акредитовані навчальні плани з включенням нових модулів.</w:t>
      </w:r>
    </w:p>
    <w:p>
      <w:pPr/>
      <w:r>
        <w:rPr>
          <w:rFonts w:ascii="Arial" w:hAnsi="Arial"/>
          <w:color w:val="000000"/>
          <w:sz w:val="22"/>
        </w:rPr>
        <w:t>**Педагогічна методологія:** Навчання базується на поєднанні проблемно-орієнтованого навчання (Problem-Based Learning, PBL), case-study analysis на основі реальних аварій і збоїв в енергосистемах України та Норвегії, та project-based simulation. Курси розробляються за моделлю змішаного навчання (blended learning): 40% синхронні заняття (он-лайн та очні), 60% асинхронна самостійна робота через LMS (Moodle / Azure Education).</w:t>
      </w:r>
    </w:p>
    <w:p>
      <w:pPr/>
      <w:r>
        <w:rPr>
          <w:rFonts w:ascii="Arial" w:hAnsi="Arial"/>
          <w:color w:val="000000"/>
          <w:sz w:val="22"/>
        </w:rPr>
        <w:t>---</w:t>
      </w:r>
    </w:p>
    <w:p>
      <w:pPr/>
      <w:r>
        <w:rPr>
          <w:rFonts w:ascii="Arial" w:hAnsi="Arial"/>
          <w:color w:val="000000"/>
          <w:sz w:val="22"/>
        </w:rPr>
        <w:t>### WP2: Підвищення кваліфікації науково-педагогічних працівників</w:t>
        <w:br/>
        <w:t>**Тривалість:** Місяці 4–24 | **Відповідальний:** NTNU (провідний), ЗНУ, Партнер-2</w:t>
      </w:r>
    </w:p>
    <w:p>
      <w:pPr/>
      <w:r>
        <w:rPr>
          <w:rFonts w:ascii="Arial" w:hAnsi="Arial"/>
          <w:color w:val="000000"/>
          <w:sz w:val="22"/>
        </w:rPr>
        <w:t>**Мета:** Підвищити кваліфікацію 30 НПП обох українських партнерів (не менше 15 від кожного) у сфері цифрових двійників, фізично обґрунтованих нейронних мереж та промислового IoT.</w:t>
      </w:r>
    </w:p>
    <w:p>
      <w:pPr/>
      <w:r>
        <w:rPr>
          <w:rFonts w:ascii="Arial" w:hAnsi="Arial"/>
          <w:color w:val="000000"/>
          <w:sz w:val="22"/>
        </w:rPr>
        <w:t>**Заходи:**</w:t>
        <w:br/>
        <w:t>- М4–М6: Онлайн-курс NTNU «Foundations of Digital Twin Technology for Energy Systems» (40 годин, 2 кредити) — для всіх 30 НПП одночасно. Deliverable D2.1: Завершений онлайн-курс із сертифікатами учасників.</w:t>
        <w:br/>
        <w:t>- М6–М12: 3 стажування (staff exchanges) до NTNU: 5 НПП на 30 днів кожне (3 місяці по 5 осіб у місяці 7, 9, 11). Програма стажування: робота в Gemini Center, SINTEF Energy Lab, участь у поточних проєктах з цифрових двійників. Мінімум 40% жінок серед відряджених НПП.</w:t>
        <w:br/>
        <w:t>- М12–М18: Зворотне стажування (2 фахівці NTNU по 14 днів у кожному з українських партнерів) для підтримки впровадження нових курсів і налаштування Living Lab. Deliverable D2.2: Звіт про стажування з планом подальшого впровадження.</w:t>
        <w:br/>
        <w:t>- М18–М24: Внутрішній семінар «Train the Trainers» — підготовка 8 «амбасадорів знань» (по 4 від кожного українського партнера), які стануть основними викладачами нових курсів і зможуть самостійно їх актуалізувати після завершення проєкту. Deliverable D2.3: Сертифіковані викладачі-тренери (8 осіб).</w:t>
      </w:r>
    </w:p>
    <w:p>
      <w:pPr/>
      <w:r>
        <w:rPr>
          <w:rFonts w:ascii="Arial" w:hAnsi="Arial"/>
          <w:color w:val="000000"/>
          <w:sz w:val="22"/>
        </w:rPr>
        <w:t>---</w:t>
      </w:r>
    </w:p>
    <w:p>
      <w:pPr/>
      <w:r>
        <w:rPr>
          <w:rFonts w:ascii="Arial" w:hAnsi="Arial"/>
          <w:color w:val="000000"/>
          <w:sz w:val="22"/>
        </w:rPr>
        <w:t>### WP3: Навчальна програма для студентів</w:t>
        <w:br/>
        <w:t>**Тривалість:** Місяці 12–36 | **Відповідальний:** ЗНУ (провідний), Партнер-2, NTNU</w:t>
      </w:r>
    </w:p>
    <w:p>
      <w:pPr/>
      <w:r>
        <w:rPr>
          <w:rFonts w:ascii="Arial" w:hAnsi="Arial"/>
          <w:color w:val="000000"/>
          <w:sz w:val="22"/>
        </w:rPr>
        <w:t>**Мета:** Підготувати 240 студентів за новими модулями; забезпечити стажування 10 кращих студентів в NTNU.</w:t>
      </w:r>
    </w:p>
    <w:p>
      <w:pPr/>
      <w:r>
        <w:rPr>
          <w:rFonts w:ascii="Arial" w:hAnsi="Arial"/>
          <w:color w:val="000000"/>
          <w:sz w:val="22"/>
        </w:rPr>
        <w:t>**Заходи:**</w:t>
        <w:br/>
        <w:t>- М12–М15: Пілотне викладання першого модуля «Архітектура цифрових двійників» для 30 студентів (пілотна когорта). Deliverable D3.1: Звіт пілотного викладання з результатами оцінювання.</w:t>
        <w:br/>
        <w:t>- М15–М36: Регулярне викладання 6 модулів у рамках оновлених навчальних планів; охоплення щонайменше 80 студентів/рік починаючи з М16. Deliverable D3.2: Звіти про навчальний процес (щосеместровий).</w:t>
        <w:br/>
        <w:t>- М18–М36: 3 цикли студентської мобільності до NTNU: по 3–4 студенти на 1–3 місяці (стипендія EUR 250/місяць для бакалаврів/магістрів). Відбір на конкурсній основі за критеріями академічної успішності та гендерної рівності. Deliverable D3.3: Звіти студентів-стажерів (10 осіб).</w:t>
        <w:br/>
        <w:t>- М24–М36: Щорічний студентський хакатон DigiTwin Challenge (онлайн + очний гібридний формат) — розв'язання реальних задач з оптимізації чи відновлення енергетичних систем з використанням цифрових двійників. Очікується 50+ учасників щорічно. Deliverable D3.4: Хакатон-звіт, кращі рішення — у відкритих навчальних матеріалах.</w:t>
      </w:r>
    </w:p>
    <w:p>
      <w:pPr/>
      <w:r>
        <w:rPr>
          <w:rFonts w:ascii="Arial" w:hAnsi="Arial"/>
          <w:color w:val="000000"/>
          <w:sz w:val="22"/>
        </w:rPr>
        <w:t>---</w:t>
      </w:r>
    </w:p>
    <w:p>
      <w:pPr/>
      <w:r>
        <w:rPr>
          <w:rFonts w:ascii="Arial" w:hAnsi="Arial"/>
          <w:color w:val="000000"/>
          <w:sz w:val="22"/>
        </w:rPr>
        <w:t>### WP4: Жива лабораторія та пілотні проєкти (Living Lab)</w:t>
        <w:br/>
        <w:t>**Тривалість:** Місяці 6–30 | **Відповідальний:** ЗНУ (провідний), NTNU</w:t>
      </w:r>
    </w:p>
    <w:p>
      <w:pPr/>
      <w:r>
        <w:rPr>
          <w:rFonts w:ascii="Arial" w:hAnsi="Arial"/>
          <w:color w:val="000000"/>
          <w:sz w:val="22"/>
        </w:rPr>
        <w:t>**Мета:** Розгорнути прототипну Живу лабораторію цифрових двійників (Living Lab) на базі ЗНУ та реалізувати 2 пілотні дослідницько-навчальні проєкти.</w:t>
      </w:r>
    </w:p>
    <w:p>
      <w:pPr/>
      <w:r>
        <w:rPr>
          <w:rFonts w:ascii="Arial" w:hAnsi="Arial"/>
          <w:color w:val="000000"/>
          <w:sz w:val="22"/>
        </w:rPr>
        <w:t>**Заходи:**</w:t>
        <w:br/>
        <w:t>- М6–М12: Технічне проєктування Living Lab: архітектура IoT-стенду (датчики напруги/струму/температури, мікроконтролери, шлюзи), вибір хмарної платформи (Azure IoT Hub + Azure Digital Twins), проєктування програмної архітектури. Закупівля обладнання не пізніше М18 (не пізніше ніж за 12 місяців до завершення проєкту). Deliverable D4.1: Технічні специфікації Living Lab.</w:t>
        <w:br/>
        <w:t>- М12–М18: Розгортання фізичного стенду та хмарної частини Living Lab на базі ЗНУ; інтеграція з навчальним процесом WP3. Deliverable D4.2: Функціональний Living Lab (прийомо-здавальний акт).</w:t>
        <w:br/>
        <w:t>- М18–М24: Пілотний проєкт 1: Цифровий двійник модельної підстанції — студентські команди (5 осіб) моделюють нормальний режим роботи, аварійні ситуації та кіберзагрози в середовищі Azure Digital Twins. Deliverable D4.3: Технічний звіт та навчальний кейс.</w:t>
        <w:br/>
        <w:t>- М24–М30: Пілотний проєкт 2: Оптимізація графіка навантаження розподільної мережі з використанням PINN (Physics-Informed Neural Networks) та реальних даних із публічних джерел Укренерго. Deliverable D4.4: Алгоритм оптимізації, відкритий набір даних, технічний звіт.</w:t>
      </w:r>
    </w:p>
    <w:p>
      <w:pPr/>
      <w:r>
        <w:rPr>
          <w:rFonts w:ascii="Arial" w:hAnsi="Arial"/>
          <w:color w:val="000000"/>
          <w:sz w:val="22"/>
        </w:rPr>
        <w:t>**Бюджет WP4 на обладнання:** IoT-стенд, сервери, ліцензії — закуповуються не пізніше М18, тобто за 18 місяців до завершення проєкту (вимога Nansen EDU виконана).</w:t>
      </w:r>
    </w:p>
    <w:p>
      <w:pPr/>
      <w:r>
        <w:rPr>
          <w:rFonts w:ascii="Arial" w:hAnsi="Arial"/>
          <w:color w:val="000000"/>
          <w:sz w:val="22"/>
        </w:rPr>
        <w:t>---</w:t>
      </w:r>
    </w:p>
    <w:p>
      <w:pPr/>
      <w:r>
        <w:rPr>
          <w:rFonts w:ascii="Arial" w:hAnsi="Arial"/>
          <w:color w:val="000000"/>
          <w:sz w:val="22"/>
        </w:rPr>
        <w:t>### WP5: Розповсюдження результатів та стійкість</w:t>
        <w:br/>
        <w:t>**Тривалість:** Місяці 1–36 | **Відповідальний:** ЗНУ (провідний) + NTNU</w:t>
      </w:r>
    </w:p>
    <w:p>
      <w:pPr/>
      <w:r>
        <w:rPr>
          <w:rFonts w:ascii="Arial" w:hAnsi="Arial"/>
          <w:color w:val="000000"/>
          <w:sz w:val="22"/>
        </w:rPr>
        <w:t>**Мета:** Забезпечити широку відомість результатів проєкту, їх доступність та довгострокове використання.</w:t>
      </w:r>
    </w:p>
    <w:p>
      <w:pPr/>
      <w:r>
        <w:rPr>
          <w:rFonts w:ascii="Arial" w:hAnsi="Arial"/>
          <w:color w:val="000000"/>
          <w:sz w:val="22"/>
        </w:rPr>
        <w:t>**Заходи:**</w:t>
        <w:br/>
        <w:t>- М1–М36: Ведення відкритого репозиторію навчальних матеріалів (OER) на платформі Zenodo та GitHub; публікація 4 пакетів відкритих освітніх ресурсів.</w:t>
        <w:br/>
        <w:t>- М18: Проведення першої міжнародної науково-практичної конференції DigiTwin Ukraine (онлайн), 100+ учасників, 30+ доповідей.</w:t>
        <w:br/>
        <w:t>- М36: Підсумкова конференція в Осло або Тронгеймі (гібридний формат), презентація результатів проєкту представникам HK-dir, МОН України, промислових партнерів.</w:t>
        <w:br/>
        <w:t>- М6–М36: Публікація щонайменше 8 рецензованих статей у журналах Q1–Q2 (Scopus/WoS) — мінімум 2 від кожного українського партнера, 2 від NTNU, 2 у співавторстві.</w:t>
        <w:br/>
        <w:t>- М30–М36: Розробка концепції продовження програми (follow-up Horizon Europe proposal або Erasmus+ CBHE) та подання не пізніше М42 (поза межами поточного проєкту).</w:t>
      </w:r>
    </w:p>
    <w:p>
      <w:pPr/>
      <w:r>
        <w:rPr>
          <w:rFonts w:ascii="Arial" w:hAnsi="Arial"/>
          <w:color w:val="000000"/>
          <w:sz w:val="22"/>
        </w:rPr>
        <w:t>---</w:t>
      </w:r>
    </w:p>
    <w:p>
      <w:pPr/>
      <w:r>
        <w:rPr>
          <w:rFonts w:ascii="Arial" w:hAnsi="Arial"/>
          <w:color w:val="000000"/>
          <w:sz w:val="22"/>
        </w:rPr>
        <w:t>### Зведений часовий план</w:t>
      </w:r>
    </w:p>
    <w:p>
      <w:pPr/>
      <w:r>
        <w:rPr>
          <w:rFonts w:ascii="Arial" w:hAnsi="Arial"/>
          <w:color w:val="000000"/>
          <w:sz w:val="22"/>
        </w:rPr>
        <w:t>| Місяці | Ключові активності | Ключові результати |</w:t>
        <w:br/>
        <w:t>|---|---|---|</w:t>
        <w:br/>
        <w:t>| 1–6 | Аналіз потреб, проєктування WP4, онлайн-курс для НПП | D1.1, D2.1 |</w:t>
        <w:br/>
        <w:t>| 7–12 | Розробка модулів, стажування НПП в NTNU, закупівля обладнання | D1.2, D4.1 |</w:t>
        <w:br/>
        <w:t>| 13–18 | Акредитація, пілотне викладання, розгортання Living Lab | D1.4, D3.1, D4.2 |</w:t>
        <w:br/>
        <w:t>| 19–24 | Регулярне навчання студентів, пілот 1, хакатон, конференція 1 | D3.2, D4.3, D5.1 |</w:t>
        <w:br/>
        <w:t>| 25–30 | Масштабування навчання, пілот 2, зворотне стажування NTNU | D4.4, D2.2 |</w:t>
        <w:br/>
        <w:t>| 31–36 | Підсумкова оцінка, закриття, підсумкова конференція | D3.4, D5.2 |</w:t>
      </w:r>
    </w:p>
    <w:p w14:paraId="621A9D5B" w14:textId="77777777" w:rsidR="000233C9" w:rsidRPr="003462FB" w:rsidRDefault="000233C9" w:rsidP="000233C9">
      <w:pPr>
        <w:pStyle w:val="Ingenmellomrom"/>
      </w:pPr>
    </w:p>
    <w:p w14:paraId="3213A3F2" w14:textId="77777777" w:rsidR="000233C9" w:rsidRPr="003462FB" w:rsidRDefault="000233C9" w:rsidP="000233C9">
      <w:pPr>
        <w:pStyle w:val="Ingenmellomrom"/>
      </w:pPr>
    </w:p>
    <w:p w14:paraId="3685465E" w14:textId="77777777" w:rsidR="000233C9" w:rsidRPr="003462FB" w:rsidRDefault="000233C9" w:rsidP="000233C9">
      <w:pPr>
        <w:pStyle w:val="Ingenmellomrom"/>
      </w:pPr>
    </w:p>
    <w:p w14:paraId="31E95A9E" w14:textId="77777777" w:rsidR="000233C9" w:rsidRPr="003462FB" w:rsidRDefault="000233C9" w:rsidP="000233C9">
      <w:pPr>
        <w:pStyle w:val="Ingenmellomrom"/>
        <w:rPr>
          <w:b/>
          <w:bCs/>
        </w:rPr>
      </w:pPr>
      <w:r w:rsidRPr="003462FB">
        <w:rPr>
          <w:b/>
          <w:bCs/>
        </w:rPr>
        <w:t>2.2</w:t>
      </w:r>
      <w:r w:rsidRPr="003462FB">
        <w:rPr>
          <w:b/>
          <w:bCs/>
        </w:rPr>
        <w:tab/>
        <w:t>Risk factors in the project and measures to reduce them</w:t>
      </w:r>
    </w:p>
    <w:p w14:paraId="60462A66" w14:textId="77777777" w:rsidR="000233C9" w:rsidRPr="003462FB" w:rsidRDefault="000233C9" w:rsidP="000233C9">
      <w:pPr>
        <w:pStyle w:val="Ingenmellomrom"/>
      </w:pPr>
    </w:p>
    <w:p w14:paraId="1084F9B9" w14:textId="77777777" w:rsidR="000233C9" w:rsidRPr="003462FB" w:rsidRDefault="000233C9" w:rsidP="000233C9">
      <w:pPr>
        <w:pStyle w:val="Ingenmellomrom"/>
      </w:pPr>
    </w:p>
    <w:p w14:paraId="586CE14F" w14:textId="7CDDE6A1" w:rsidR="000233C9" w:rsidRPr="003462FB" w:rsidRDefault="000233C9" w:rsidP="000233C9">
      <w:pPr/>
      <w:r>
        <w:rPr>
          <w:rFonts w:ascii="Arial" w:hAnsi="Arial"/>
          <w:color w:val="000000"/>
          <w:sz w:val="22"/>
        </w:rPr>
        <w:t>## 2.2 Фактори ризику та заходи для їх мінімізації</w:t>
      </w:r>
    </w:p>
    <w:p>
      <w:pPr/>
      <w:r>
        <w:rPr>
          <w:rFonts w:ascii="Arial" w:hAnsi="Arial"/>
          <w:color w:val="000000"/>
          <w:sz w:val="22"/>
        </w:rPr>
        <w:t>### R1. Ризики безпеки (Критичний рівень)</w:t>
      </w:r>
    </w:p>
    <w:p>
      <w:pPr/>
      <w:r>
        <w:rPr>
          <w:rFonts w:ascii="Arial" w:hAnsi="Arial"/>
          <w:color w:val="000000"/>
          <w:sz w:val="22"/>
        </w:rPr>
        <w:t>**Характеристика ризику:** Запоріжжя є прифронтовим містом. Ракетні обстріли, повітряні тривоги та перебої в електропостачанні є регулярною реальністю. Частина студентів і персоналу ЗНУ — вимушено переміщені особи, інші перебувають у місті і наражаються на фізичні ризики.</w:t>
      </w:r>
    </w:p>
    <w:p>
      <w:pPr/>
      <w:r>
        <w:rPr>
          <w:rFonts w:ascii="Arial" w:hAnsi="Arial"/>
          <w:color w:val="000000"/>
          <w:sz w:val="22"/>
        </w:rPr>
        <w:t>**Заходи мінімізації:**</w:t>
        <w:br/>
        <w:t>- *Дистанційна архітектура за замовчуванням:* Усі навчальні матеріали, Living Lab і лекційний контент доступні онлайн; фізична присутність на занятті є опцією, а не вимогою. Сервери продубльовані в хмарі Azure (георезервування в регіонах поза зоною конфлікту).</w:t>
        <w:br/>
        <w:t>- *Переміщення заходів:* Будь-який захід, що потребує фізичної присутності понад 20 осіб, може бути перенесений у безпечне місто (Дніпро, Львів, Варшава) або проведений у повністю онлайн-форматі без втрати змістовного наповнення.</w:t>
        <w:br/>
        <w:t>- *Плановий моніторинг безпеки:* Щомісячна оцінка безпекової ситуації Steering Committee; автоматичне переведення в резервний план при ескалації.</w:t>
        <w:br/>
        <w:t>- *Страхування обладнання:* Все фізичне обладнання Living Lab застраховане на повну вартість; цифровий контент зберігається виключно у хмарі.</w:t>
        <w:br/>
        <w:t>- *Психологічна підтримка:* Проєкт передбачає бюджетну лінію на психологічну підтримку учасників і доступ до Mental Health ресурсів ЗНУ.</w:t>
      </w:r>
    </w:p>
    <w:p>
      <w:pPr/>
      <w:r>
        <w:rPr>
          <w:rFonts w:ascii="Arial" w:hAnsi="Arial"/>
          <w:color w:val="000000"/>
          <w:sz w:val="22"/>
        </w:rPr>
        <w:t>### R2. Ризик корупції (Середній рівень)</w:t>
      </w:r>
    </w:p>
    <w:p>
      <w:pPr/>
      <w:r>
        <w:rPr>
          <w:rFonts w:ascii="Arial" w:hAnsi="Arial"/>
          <w:color w:val="000000"/>
          <w:sz w:val="22"/>
        </w:rPr>
        <w:t>**Характеристика ризику:** Індекс сприйняття корупції (CPI) України становить 35/100 (Transparency International, 2023), що суттєво нижче порогу 69, визначеного HK-dir як тригер для обов'язкових заходів. Ризики стосуються насамперед закупівель обладнання, відбору студентів та фінансової звітності.</w:t>
      </w:r>
    </w:p>
    <w:p>
      <w:pPr/>
      <w:r>
        <w:rPr>
          <w:rFonts w:ascii="Arial" w:hAnsi="Arial"/>
          <w:color w:val="000000"/>
          <w:sz w:val="22"/>
        </w:rPr>
        <w:t>**Заходи мінімізації:**</w:t>
        <w:br/>
        <w:t>- *Розподілений контроль:* Усі фінансові транзакції на стороні ЗНУ затверджуються не менше ніж двома уповноваженими особами (двохпідписна авторизація). NTNU здійснює незалежний аудит витрат щопівроку.</w:t>
        <w:br/>
        <w:t>- *Прозорі закупівлі:* Закупівля обладнання проводиться через ProZorro (державна платформа публічних закупівель України) відповідно до законодавства; всі тендерні документи надаються HK-dir на запит.</w:t>
        <w:br/>
        <w:t>- *Конкурсний відбір студентів:* Відбір учасників програм мобільності та стипендій здійснюється Спільним відбірковим комітетом (4 особи: 2 від NTNU, по 1 від кожного українського партнера) за задокументованими критеріями, що публікуються перед конкурсом.</w:t>
        <w:br/>
        <w:t>- *Незалежний зовнішній аудит:* Щорічний фінансовий аудит усіх партнерів незалежним аудитором, акредитованим в Україні та визнаним HK-dir.</w:t>
        <w:br/>
        <w:t>- *Навчання з питань академічної доброчесності:* Обов'язковий онлайн-модуль (4 год.) з академічної доброчесності та антикорупційних правил для всіх учасників проєкту.</w:t>
      </w:r>
    </w:p>
    <w:p>
      <w:pPr/>
      <w:r>
        <w:rPr>
          <w:rFonts w:ascii="Arial" w:hAnsi="Arial"/>
          <w:color w:val="000000"/>
          <w:sz w:val="22"/>
        </w:rPr>
        <w:t>### R3. Ризики для клімату та навколишнього середовища (Низький рівень)</w:t>
      </w:r>
    </w:p>
    <w:p>
      <w:pPr/>
      <w:r>
        <w:rPr>
          <w:rFonts w:ascii="Arial" w:hAnsi="Arial"/>
          <w:color w:val="000000"/>
          <w:sz w:val="22"/>
        </w:rPr>
        <w:t>**Характеристика ризику:** Міжнародна мобільність (авіаперельоти Норвегія–Україна) генерує вуглецевий слід.</w:t>
      </w:r>
    </w:p>
    <w:p>
      <w:pPr/>
      <w:r>
        <w:rPr>
          <w:rFonts w:ascii="Arial" w:hAnsi="Arial"/>
          <w:color w:val="000000"/>
          <w:sz w:val="22"/>
        </w:rPr>
        <w:t>**Заходи мінімізації:**</w:t>
        <w:br/>
        <w:t>- *Принцип «цифрове за замовчуванням»:* Щонайменше 60% усіх спільних заходів проводяться онлайн. Фізична мобільність планується лише тоді, коли онлайн-формат не забезпечує аналогічного результату (наприклад, практичне стажування в NTNU).</w:t>
        <w:br/>
        <w:t>- *Залізничний транспорт:* НПП, що подорожують до Норвегії зі Західної України або Польщі, заохочуються використовувати залізничний транспорт (Варшава–Стокгольм–Осло або Берлін–Копенгаген–Осло); компенсація за залізничний квиток покривається в повному обсязі на відміну від авіаквитків.</w:t>
        <w:br/>
        <w:t>- *Компенсація вуглецевих викидів:* Бюджет проєкту включає щорічну компенсацію розрахованого вуглецевого сліду від авіаперельотів через акредитовану схему компенсації (GOLD Standard).</w:t>
        <w:br/>
        <w:t>- *Тематична відповідність:* Сам зміст проєкту (цифрові двійники для оптимізації енергоспоживання, інтеграція ВДЕ) безпосередньо сприяє зниженню вуглецевого сліду енергосистем і є вкладом у кліматичний порядок денний.</w:t>
      </w:r>
    </w:p>
    <w:p>
      <w:pPr/>
      <w:r>
        <w:rPr>
          <w:rFonts w:ascii="Arial" w:hAnsi="Arial"/>
          <w:color w:val="000000"/>
          <w:sz w:val="22"/>
        </w:rPr>
        <w:t>### R4. Гендерна рівність (Середній рівень)</w:t>
      </w:r>
    </w:p>
    <w:p>
      <w:pPr/>
      <w:r>
        <w:rPr>
          <w:rFonts w:ascii="Arial" w:hAnsi="Arial"/>
          <w:color w:val="000000"/>
          <w:sz w:val="22"/>
        </w:rPr>
        <w:t>**Характеристика ризику:** Технічні/інженерні дисципліни в Україні мають традиційно нижчу частку жінок серед студентів (в середньому 28% на технічних спеціальностях, за даними МОН України, 2023). Без цілеспрямованих заходів програма ризикує відтворити існуючий дисбаланс.</w:t>
      </w:r>
    </w:p>
    <w:p>
      <w:pPr/>
      <w:r>
        <w:rPr>
          <w:rFonts w:ascii="Arial" w:hAnsi="Arial"/>
          <w:color w:val="000000"/>
          <w:sz w:val="22"/>
        </w:rPr>
        <w:t>**Заходи мінімізації:**</w:t>
        <w:br/>
        <w:t>- *Гендерні орієнтири:* Мінімум 40% жінок серед студентів-учасників та НПП, що беруть участь у стажуваннях. Ці орієнтири є частиною щорічного звіту проєкту.</w:t>
        <w:br/>
        <w:t>- *Активне залучення:* Проведення спеціальних інформаційних сесій для студенток технічних спеціальностей (у партнерстві з клубами STEM для дівчат, що діють при обох партнерах).</w:t>
        <w:br/>
        <w:t>- *Гендерно-чутливий дизайн курсів:* Навчальні кейси та приклади включають жінок-лідерів у сфері енергетики та цифрових технологій; уникаються гендерні стереотипи в навчальних матеріалах.</w:t>
        <w:br/>
        <w:t>- *Гендерний баланс у керівництві проєктом:* Не менше 40% членів Наглядової ради (Steering Committee) — жінки.</w:t>
      </w:r>
    </w:p>
    <w:p>
      <w:pPr/>
      <w:r>
        <w:rPr>
          <w:rFonts w:ascii="Arial" w:hAnsi="Arial"/>
          <w:color w:val="000000"/>
          <w:sz w:val="22"/>
        </w:rPr>
        <w:t>### R5. Права людини (Низький-Середній рівень)</w:t>
      </w:r>
    </w:p>
    <w:p>
      <w:pPr/>
      <w:r>
        <w:rPr>
          <w:rFonts w:ascii="Arial" w:hAnsi="Arial"/>
          <w:color w:val="000000"/>
          <w:sz w:val="22"/>
        </w:rPr>
        <w:t>**Характеристика ризику:** Загальний контекст збройного конфлікту, примусова мобілізація та вимушене переміщення можуть обмежувати рівний доступ до освіти та мобільності.</w:t>
      </w:r>
    </w:p>
    <w:p>
      <w:pPr/>
      <w:r>
        <w:rPr>
          <w:rFonts w:ascii="Arial" w:hAnsi="Arial"/>
          <w:color w:val="000000"/>
          <w:sz w:val="22"/>
        </w:rPr>
        <w:t>**Заходи мінімізації:**</w:t>
        <w:br/>
        <w:t>- *Доступність за замовчуванням:* Усі навчальні матеріали є відкритими та безкоштовними; участь у програмах не обумовлена місцем фактичного проживання студента (Запоріжжя, переміщення до Дніпра/Києва/за кордон).</w:t>
        <w:br/>
        <w:t>- *Принцип недискримінації:* Відбір учасників здійснюється виключно за академічними критеріями, без дискримінації за місцем проживання, мовою, етнічністю або інвалідністю.</w:t>
        <w:br/>
        <w:t>- *Академічна свобода:* Зміст навчальних програм визначається академічними критеріями; жоден учасник не зазнає тиску щодо вираження будь-яких політичних поглядів. Проєкт підтримує принципи ЮНЕСКО щодо академічної свободи в умовах кризи.</w:t>
        <w:br/>
        <w:t>- *Контроль подвійного використання (Export Control):* Зміст курсів, пов'язаний з кібербезпекою та SCADA-системами, перевіряється на предмет відповідності норвезькому законодавству про контроль за експортом технологій подвійного використання (Lov om eksportkontroll). NTNU проводить юридичну перевірку навчальних матеріалів перед публікацією.</w:t>
      </w:r>
    </w:p>
    <w:p>
      <w:pPr/>
      <w:r>
        <w:rPr>
          <w:rFonts w:ascii="Arial" w:hAnsi="Arial"/>
          <w:color w:val="000000"/>
          <w:sz w:val="22"/>
        </w:rPr>
        <w:t>### R6. Запобігання сексуальній експлуатації, насильству та домаганням (SEAH)</w:t>
      </w:r>
    </w:p>
    <w:p>
      <w:pPr/>
      <w:r>
        <w:rPr>
          <w:rFonts w:ascii="Arial" w:hAnsi="Arial"/>
          <w:color w:val="000000"/>
          <w:sz w:val="22"/>
        </w:rPr>
        <w:t>**Характеристика ризику:** Будь-яка програма, що включає мобільність студентів і персоналу, несе ризики SEAH.</w:t>
      </w:r>
    </w:p>
    <w:p>
      <w:pPr/>
      <w:r>
        <w:rPr>
          <w:rFonts w:ascii="Arial" w:hAnsi="Arial"/>
          <w:color w:val="000000"/>
          <w:sz w:val="22"/>
        </w:rPr>
        <w:t>**Заходи мінімізації:**</w:t>
        <w:br/>
        <w:t>- *Кодекс поведінки:* Усі учасники проєкту підписують Кодекс поведінки NTNU щодо SEAH перед початком будь-якої мобільності. Кодекс перекладений українською мовою.</w:t>
        <w:br/>
        <w:t>- *Конфіденційний канал повідомлень:* NTNU забезпечує доступ до незалежного механізму повідомлень (Varsling) для всіх учасників, зокрема українських студентів і НПП під час перебування в Норвегії.</w:t>
        <w:br/>
        <w:t>- *Обов'язковий інструктаж:* 2-годинний онлайн-інструктаж із запобігання SEAH є обов'язковою умовою допуску до стажування або мобільності.</w:t>
        <w:br/>
        <w:t>- *Наставництво (buddy system):* Кожному українському студентові або НПП під час перебування в NTNU призначається норвезький куратор (buddy) — досвідчений аспірант або молодший дослідник.</w:t>
      </w:r>
    </w:p>
    <w:p>
      <w:pPr/>
      <w:r>
        <w:rPr>
          <w:rFonts w:ascii="Arial" w:hAnsi="Arial"/>
          <w:color w:val="000000"/>
          <w:sz w:val="22"/>
        </w:rPr>
        <w:t>### R7. Захист даних та кібербезпека</w:t>
      </w:r>
    </w:p>
    <w:p>
      <w:pPr/>
      <w:r>
        <w:rPr>
          <w:rFonts w:ascii="Arial" w:hAnsi="Arial"/>
          <w:color w:val="000000"/>
          <w:sz w:val="22"/>
        </w:rPr>
        <w:t>**Характеристика ризику:** Проєкт обробляє персональні дані студентів і НПП; Living Lab підключена до хмарних сервісів. Існують ризики витоку даних та кіберзагроз.</w:t>
      </w:r>
    </w:p>
    <w:p>
      <w:pPr/>
      <w:r>
        <w:rPr>
          <w:rFonts w:ascii="Arial" w:hAnsi="Arial"/>
          <w:color w:val="000000"/>
          <w:sz w:val="22"/>
        </w:rPr>
        <w:t>**Заходи мінімізації:**</w:t>
        <w:br/>
        <w:t>- Зберігання персональних даних — лише на платформах, що відповідають GDPR (Microsoft Azure EU Region).</w:t>
        <w:br/>
        <w:t>- Протокол управління даними (Data Management Plan) розробляється в М1.</w:t>
        <w:br/>
        <w:t>- Аудит кібербезпеки Living Lab проводиться в М18 незалежним фахівцем.</w:t>
      </w:r>
    </w:p>
    <w:p>
      <w:pPr/>
      <w:r>
        <w:rPr>
          <w:rFonts w:ascii="Arial" w:hAnsi="Arial"/>
          <w:color w:val="000000"/>
          <w:sz w:val="22"/>
        </w:rPr>
        <w:t>### Зведена матриця ризиків</w:t>
      </w:r>
    </w:p>
    <w:p>
      <w:pPr/>
      <w:r>
        <w:rPr>
          <w:rFonts w:ascii="Arial" w:hAnsi="Arial"/>
          <w:color w:val="000000"/>
          <w:sz w:val="22"/>
        </w:rPr>
        <w:t>| Ризик | Ймовірність | Вплив | Пріоритет | Статус |</w:t>
        <w:br/>
        <w:t>|---|---|---|---|---|</w:t>
        <w:br/>
        <w:t>| Безпека (фізична) | Висока | Критичний | 1 | Цифрова архітектура |</w:t>
        <w:br/>
        <w:t>| Корупція | Середня | Середній | 2 | Подвійна авторизація, ProZorro |</w:t>
        <w:br/>
        <w:t>| Гендерний дисбаланс | Середня | Середній | 3 | Квоти, активне залучення |</w:t>
        <w:br/>
        <w:t>| Кліматичний вплив | Низька | Низький | 4 | Цифровий за замовчуванням |</w:t>
        <w:br/>
        <w:t>| SEAH | Низька | Критичний | 2 | Кодекс, hotline, інструктаж |</w:t>
      </w:r>
    </w:p>
    <w:p>
      <w:pPr/>
      <w:r>
        <w:rPr>
          <w:rFonts w:ascii="Arial" w:hAnsi="Arial"/>
          <w:color w:val="000000"/>
          <w:sz w:val="22"/>
        </w:rPr>
        <w:t>### Економічна ефективність</w:t>
      </w:r>
    </w:p>
    <w:p>
      <w:pPr/>
      <w:r>
        <w:rPr>
          <w:rFonts w:ascii="Arial" w:hAnsi="Arial"/>
          <w:color w:val="000000"/>
          <w:sz w:val="22"/>
        </w:rPr>
        <w:t>Заявлений бюджет NOK 5 000 000 розподілений відповідно до вимог Nansen EDU: витрати норвезьких партнерів на персонал не перевищують 30% (NOK 1 500 000). Витрати на НПП українських партнерів (~50% бюджету) забезпечують найвищий рівень ефективності: кожна гривня/крона, вкладена у розвиток кадрів, генерує багаторічний навчальний ефект через підготовку 240+ студентів на рік. Вартість підготовки одного студента за програмою (~NOK 20 000 за 3 роки за новими модулями) є суттєво нижчою від вартості аналогічного навчання в комерційних IT-академіях. Обладнання Living Lab (заплановано NOK 400 000) залишатиметься у власності ЗНУ та забезпечуватиме навчання ще щонайменше 10 років після завершення проєкту.</w:t>
      </w:r>
    </w:p>
    <w:p w14:paraId="640C68E4" w14:textId="77777777" w:rsidR="000233C9" w:rsidRPr="003462FB" w:rsidRDefault="000233C9" w:rsidP="000233C9">
      <w:pPr>
        <w:pStyle w:val="Ingenmellomrom"/>
      </w:pPr>
    </w:p>
    <w:p w14:paraId="4B20E0D3" w14:textId="77777777" w:rsidR="000233C9" w:rsidRPr="003462FB" w:rsidRDefault="000233C9" w:rsidP="000233C9">
      <w:pPr>
        <w:pStyle w:val="Ingenmellomrom"/>
      </w:pPr>
    </w:p>
    <w:p w14:paraId="475DCB01" w14:textId="77777777" w:rsidR="000233C9" w:rsidRPr="003462FB" w:rsidRDefault="000233C9" w:rsidP="000233C9">
      <w:pPr>
        <w:pStyle w:val="Ingenmellomrom"/>
      </w:pPr>
    </w:p>
    <w:p w14:paraId="7D136DC1" w14:textId="77777777" w:rsidR="000233C9" w:rsidRPr="003462FB" w:rsidRDefault="000233C9" w:rsidP="000233C9">
      <w:pPr>
        <w:pStyle w:val="Ingenmellomrom"/>
      </w:pPr>
    </w:p>
    <w:p w14:paraId="7D2F47A8" w14:textId="77777777" w:rsidR="004107A8" w:rsidRDefault="004107A8">
      <w:pPr>
        <w:rPr>
          <w:b/>
          <w:bCs/>
          <w:sz w:val="32"/>
          <w:szCs w:val="32"/>
        </w:rPr>
      </w:pPr>
      <w:r>
        <w:rPr>
          <w:b/>
          <w:bCs/>
          <w:sz w:val="32"/>
          <w:szCs w:val="32"/>
        </w:rPr>
        <w:br w:type="page"/>
      </w:r>
    </w:p>
    <w:p w14:paraId="6D6684B7" w14:textId="77777777"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lastRenderedPageBreak/>
        <w:t>3</w:t>
      </w:r>
      <w:r w:rsidRPr="003462FB">
        <w:rPr>
          <w:b/>
          <w:bCs/>
          <w:sz w:val="32"/>
          <w:szCs w:val="32"/>
        </w:rPr>
        <w:tab/>
        <w:t xml:space="preserve">The project group and collaborative structures </w:t>
      </w:r>
    </w:p>
    <w:p w14:paraId="12FEE653" w14:textId="77777777" w:rsidR="000233C9" w:rsidRPr="003462FB" w:rsidRDefault="000233C9" w:rsidP="000233C9">
      <w:pPr>
        <w:pStyle w:val="Ingenmellomrom"/>
      </w:pPr>
    </w:p>
    <w:p w14:paraId="57D6BBF8" w14:textId="77777777" w:rsidR="000233C9" w:rsidRPr="003462FB" w:rsidRDefault="000233C9" w:rsidP="000233C9">
      <w:pPr>
        <w:pStyle w:val="Ingenmellomrom"/>
        <w:rPr>
          <w:b/>
          <w:bCs/>
        </w:rPr>
      </w:pPr>
      <w:r w:rsidRPr="003462FB">
        <w:rPr>
          <w:b/>
          <w:bCs/>
        </w:rPr>
        <w:t>3.1</w:t>
      </w:r>
      <w:r w:rsidRPr="003462FB">
        <w:rPr>
          <w:b/>
          <w:bCs/>
        </w:rPr>
        <w:tab/>
        <w:t>Key personnel for the implementation of the project</w:t>
      </w:r>
    </w:p>
    <w:p w14:paraId="63F5ED50" w14:textId="77777777" w:rsidR="000233C9" w:rsidRPr="003462FB" w:rsidRDefault="000233C9" w:rsidP="000233C9">
      <w:pPr>
        <w:pStyle w:val="Ingenmellomrom"/>
      </w:pPr>
    </w:p>
    <w:p w14:paraId="67673335" w14:textId="77777777" w:rsidR="000233C9" w:rsidRPr="003462FB" w:rsidRDefault="000233C9" w:rsidP="000233C9">
      <w:pPr>
        <w:pStyle w:val="Ingenmellomrom"/>
      </w:pPr>
    </w:p>
    <w:p w14:paraId="7D2473E2" w14:textId="205A702D" w:rsidR="000233C9" w:rsidRPr="003462FB" w:rsidRDefault="000233C9" w:rsidP="000233C9">
      <w:pPr/>
      <w:r>
        <w:rPr>
          <w:rFonts w:ascii="Arial" w:hAnsi="Arial"/>
          <w:color w:val="000000"/>
          <w:sz w:val="22"/>
        </w:rPr>
        <w:t>## 3.1 Ключовий персонал для реалізації проєкту</w:t>
      </w:r>
    </w:p>
    <w:p>
      <w:pPr/>
      <w:r>
        <w:rPr>
          <w:rFonts w:ascii="Arial" w:hAnsi="Arial"/>
          <w:color w:val="000000"/>
          <w:sz w:val="22"/>
        </w:rPr>
        <w:t>### NTNU — Координатор проєкту</w:t>
      </w:r>
    </w:p>
    <w:p>
      <w:pPr/>
      <w:r>
        <w:rPr>
          <w:rFonts w:ascii="Arial" w:hAnsi="Arial"/>
          <w:color w:val="000000"/>
          <w:sz w:val="22"/>
        </w:rPr>
        <w:t>**Prof. [ПІБ], Координатор проєкту** — Департамент інженерної кібернетики NTNU, керівник або старший науковець Gemini Center for Digital Twin Technology. Має понад 15 років досвіду в галузі кіберфізичних систем, model-based engineering та промислового IoT. Керував щонайменше двома великими міжнародними проєктами з capacity building (Horizon Europe або аналогічними). Компетентності: архітектура цифрових двійників, системна інтеграція, управління міжнародними консорціумами. Відповідає за загальну координацію проєкту, звітування перед HK-dir, керівництво WP1 та WP2.</w:t>
      </w:r>
    </w:p>
    <w:p>
      <w:pPr/>
      <w:r>
        <w:rPr>
          <w:rFonts w:ascii="Arial" w:hAnsi="Arial"/>
          <w:color w:val="000000"/>
          <w:sz w:val="22"/>
        </w:rPr>
        <w:t>**Assoc. Prof. [ПІБ], Науковий керівник WP4** — Спеціаліст у галузі physics-informed machine learning та оптимізації енергосистем. Публікації у провідних журналах (IEEE Transactions on Power Systems, Applied Energy). Досвід роботи зі SINTEF Energy Research у спільних промислових проєктах. Відповідає за наукове керівництво WP4 (Living Lab та пілотні проєкти) та методологічну підтримку курсу з PINN.</w:t>
      </w:r>
    </w:p>
    <w:p>
      <w:pPr/>
      <w:r>
        <w:rPr>
          <w:rFonts w:ascii="Arial" w:hAnsi="Arial"/>
          <w:color w:val="000000"/>
          <w:sz w:val="22"/>
        </w:rPr>
        <w:t>**Dr. [ПІБ], Спеціаліст з кібербезпеки для енергетичних систем** — Досвід у дослідженні вразливостей SCADA та захисту критичної інфраструктури. Консультант програми кібербезпеки NTNU для норвезької нафтогазової промисловості. Відповідає за розробку модуля «Кібербезпека цифрової енергетичної інфраструктури» та аудит Living Lab (М18).</w:t>
      </w:r>
    </w:p>
    <w:p>
      <w:pPr/>
      <w:r>
        <w:rPr>
          <w:rFonts w:ascii="Arial" w:hAnsi="Arial"/>
          <w:color w:val="000000"/>
          <w:sz w:val="22"/>
        </w:rPr>
        <w:t>### Запорізький національний університет (ЗНУ)</w:t>
      </w:r>
    </w:p>
    <w:p>
      <w:pPr/>
      <w:r>
        <w:rPr>
          <w:rFonts w:ascii="Arial" w:hAnsi="Arial"/>
          <w:color w:val="000000"/>
          <w:sz w:val="22"/>
        </w:rPr>
        <w:t>**Проф. [ПІБ], Заступник координатора проєкту (ЗНУ)** — Декан або завідувач кафедри Інженерного науково-освітнього інституту або факультету математики ЗНУ. Дослідницький досвід у галузі цифрових двійників для промислових систем та паралельних обчислень (HPC). Бере участь принаймні в 2 активних міжнародних проєктах (Erasmus+ або Horizon). Відповідає за керівництво WP3 і WP5 (ЗНУ-складова), взаємодію з місцевою промисловістю, координацію Living Lab.</w:t>
      </w:r>
    </w:p>
    <w:p>
      <w:pPr/>
      <w:r>
        <w:rPr>
          <w:rFonts w:ascii="Arial" w:hAnsi="Arial"/>
          <w:color w:val="000000"/>
          <w:sz w:val="22"/>
        </w:rPr>
        <w:t>**Доц. [ПІБ], Провідний розробник навчальних програм (ЗНУ)** — Фахівець у галузі IoT та хмарних платформ (Microsoft Azure, Azure IoT Hub). Практичний досвід розгортання Azure-рішень в університетській інфраструктурі ЗНУ. Відповідає за технічну розробку модулів «Промисловий IoT та SCADA-інтеграція», «Симуляційна оптимізація», координацію розгортання Living Lab.</w:t>
      </w:r>
    </w:p>
    <w:p>
      <w:pPr/>
      <w:r>
        <w:rPr>
          <w:rFonts w:ascii="Arial" w:hAnsi="Arial"/>
          <w:color w:val="000000"/>
          <w:sz w:val="22"/>
        </w:rPr>
        <w:t>**Доц. [ПІБ], Спеціаліст зі smart grids та ВДЕ (ЗНУ)** — Дослідницький профіль у галузі smart grids, управлінні розподіленою генерацією та підвищенні енергетичної стійкості. Автор публікацій у Q1–Q2 журналах з відновлюваної енергетики. Відповідає за розробку модуля «Прогностичне обслуговування» та наукову частину пілотного проєкту 2 (WP4).</w:t>
      </w:r>
    </w:p>
    <w:p>
      <w:pPr/>
      <w:r>
        <w:rPr>
          <w:rFonts w:ascii="Arial" w:hAnsi="Arial"/>
          <w:color w:val="000000"/>
          <w:sz w:val="22"/>
        </w:rPr>
        <w:t>### Університет-партнер 2 (буде підтверджено NTNU)</w:t>
      </w:r>
    </w:p>
    <w:p>
      <w:pPr/>
      <w:r>
        <w:rPr>
          <w:rFonts w:ascii="Arial" w:hAnsi="Arial"/>
          <w:color w:val="000000"/>
          <w:sz w:val="22"/>
        </w:rPr>
        <w:t>**[ПІБ], Керівник WP1 (Партнер-2)** — Провідний фахівець з технічної університетської освіти в галузі енергетики/комп'ютерних наук з документованим досвідом реформування навчальних програм (наприклад, у межах Erasmus+ CBHE). Відповідає за координацію розробки та акредитації нових модулів на боці Партнера-2, розбудову педагогічних компетенцій НПП Партнера-2.</w:t>
      </w:r>
    </w:p>
    <w:p w14:paraId="7A7EB110" w14:textId="77777777" w:rsidR="000233C9" w:rsidRPr="003462FB" w:rsidRDefault="000233C9" w:rsidP="000233C9">
      <w:pPr>
        <w:pStyle w:val="Ingenmellomrom"/>
      </w:pPr>
    </w:p>
    <w:p w14:paraId="695BBEB4" w14:textId="77777777" w:rsidR="000233C9" w:rsidRPr="003462FB" w:rsidRDefault="000233C9" w:rsidP="000233C9">
      <w:pPr>
        <w:pStyle w:val="Ingenmellomrom"/>
      </w:pPr>
    </w:p>
    <w:p w14:paraId="7FAFDE06" w14:textId="77777777" w:rsidR="000233C9" w:rsidRPr="003462FB" w:rsidRDefault="000233C9" w:rsidP="000233C9">
      <w:pPr>
        <w:pStyle w:val="Ingenmellomrom"/>
      </w:pPr>
    </w:p>
    <w:p w14:paraId="18E575D5" w14:textId="77777777" w:rsidR="000233C9" w:rsidRPr="003462FB" w:rsidRDefault="000233C9" w:rsidP="000233C9">
      <w:pPr>
        <w:pStyle w:val="Ingenmellomrom"/>
      </w:pPr>
    </w:p>
    <w:p w14:paraId="35E6245A" w14:textId="77777777" w:rsidR="000233C9" w:rsidRPr="003462FB" w:rsidRDefault="000233C9" w:rsidP="000233C9">
      <w:pPr>
        <w:pStyle w:val="Ingenmellomrom"/>
        <w:rPr>
          <w:b/>
          <w:bCs/>
        </w:rPr>
      </w:pPr>
      <w:r w:rsidRPr="003462FB">
        <w:rPr>
          <w:b/>
          <w:bCs/>
        </w:rPr>
        <w:t>3.2</w:t>
      </w:r>
      <w:r w:rsidRPr="003462FB">
        <w:rPr>
          <w:b/>
          <w:bCs/>
        </w:rPr>
        <w:tab/>
        <w:t>Involvement, interaction and division of work between the project partners</w:t>
      </w:r>
    </w:p>
    <w:p w14:paraId="590D5E78" w14:textId="77777777" w:rsidR="000233C9" w:rsidRPr="003462FB" w:rsidRDefault="000233C9" w:rsidP="000233C9">
      <w:pPr>
        <w:pStyle w:val="Ingenmellomrom"/>
      </w:pPr>
    </w:p>
    <w:p w14:paraId="3697E7A2" w14:textId="77777777" w:rsidR="000233C9" w:rsidRPr="003462FB" w:rsidRDefault="000233C9" w:rsidP="000233C9">
      <w:pPr>
        <w:pStyle w:val="Ingenmellomrom"/>
      </w:pPr>
    </w:p>
    <w:p w14:paraId="7C9DF535" w14:textId="14CD729D" w:rsidR="000233C9" w:rsidRPr="003462FB" w:rsidRDefault="000233C9" w:rsidP="000233C9">
      <w:pPr/>
      <w:r>
        <w:rPr>
          <w:rFonts w:ascii="Arial" w:hAnsi="Arial"/>
          <w:color w:val="000000"/>
          <w:sz w:val="22"/>
        </w:rPr>
        <w:t>## 3.2 Залучення, взаємодія та розподіл роботи між партнерами</w:t>
      </w:r>
    </w:p>
    <w:p>
      <w:pPr/>
      <w:r>
        <w:rPr>
          <w:rFonts w:ascii="Arial" w:hAnsi="Arial"/>
          <w:color w:val="000000"/>
          <w:sz w:val="22"/>
        </w:rPr>
        <w:t>### Управлінська структура</w:t>
      </w:r>
    </w:p>
    <w:p>
      <w:pPr/>
      <w:r>
        <w:rPr>
          <w:rFonts w:ascii="Arial" w:hAnsi="Arial"/>
          <w:color w:val="000000"/>
          <w:sz w:val="22"/>
        </w:rPr>
        <w:t>**Наглядова рада (Steering Committee, SC):** Включає по 2 представники від кожного партнера (NTNU, ЗНУ, Партнер-2); щонайменше 40% членів — жінки. SC приймає стратегічні рішення, затверджує щорічні плани та звіти, розглядає питання ризиків. Засідання — щоквартально (онлайн); позачергові — за потребою. Рішення приймаються консенсусом; за неможливості — голосуванням (NTNU має veto у питаннях дотримання норвезького законодавства та вимог HK-dir).</w:t>
      </w:r>
    </w:p>
    <w:p>
      <w:pPr/>
      <w:r>
        <w:rPr>
          <w:rFonts w:ascii="Arial" w:hAnsi="Arial"/>
          <w:color w:val="000000"/>
          <w:sz w:val="22"/>
        </w:rPr>
        <w:t>**Виконавчий комітет (Executive Committee, EC):** Координатор проєкту (NTNU), обидва заступники координаторів (ЗНУ та Партнер-2), фінансовий менеджер (NTNU). Оперативні засідання — щомісяця (45 хв. онлайн). EC відповідає за повсякденне управління, моніторинг показників, вирішення операційних питань.</w:t>
      </w:r>
    </w:p>
    <w:p>
      <w:pPr/>
      <w:r>
        <w:rPr>
          <w:rFonts w:ascii="Arial" w:hAnsi="Arial"/>
          <w:color w:val="000000"/>
          <w:sz w:val="22"/>
        </w:rPr>
        <w:t>**Керівники робочих пакетів (WP Leads):** WP1 — NTNU (провідний) + Партнер-2; WP2 — NTNU (провідний) + ЗНУ; WP3 — ЗНУ (провідний) + Партнер-2; WP4 — ЗНУ (провідний) + NTNU; WP5 — ЗНУ (провідний) + NTNU.</w:t>
      </w:r>
    </w:p>
    <w:p>
      <w:pPr/>
      <w:r>
        <w:rPr>
          <w:rFonts w:ascii="Arial" w:hAnsi="Arial"/>
          <w:color w:val="000000"/>
          <w:sz w:val="22"/>
        </w:rPr>
        <w:t>### Розподіл бюджету та ролей</w:t>
      </w:r>
    </w:p>
    <w:p>
      <w:pPr/>
      <w:r>
        <w:rPr>
          <w:rFonts w:ascii="Arial" w:hAnsi="Arial"/>
          <w:color w:val="000000"/>
          <w:sz w:val="22"/>
        </w:rPr>
        <w:t>| Партнер | Роль | Частка бюджету | Ключові WP |</w:t>
        <w:br/>
        <w:t>|---|---|---|---|</w:t>
        <w:br/>
        <w:t>| NTNU | Координатор, методологічний лідер | ~28% (≤30% за правилами HK-dir) | WP1, WP2 |</w:t>
        <w:br/>
        <w:t>| ЗНУ | Основний навчальний і дослідницький партнер | ~42% | WP3, WP4, WP5 |</w:t>
        <w:br/>
        <w:t>| Партнер-2 | Другий навчальний партнер | ~30% | WP1, WP3 |</w:t>
      </w:r>
    </w:p>
    <w:p>
      <w:pPr/>
      <w:r>
        <w:rPr>
          <w:rFonts w:ascii="Arial" w:hAnsi="Arial"/>
          <w:color w:val="000000"/>
          <w:sz w:val="22"/>
        </w:rPr>
        <w:t>### Механізми взаємодії</w:t>
      </w:r>
    </w:p>
    <w:p>
      <w:pPr/>
      <w:r>
        <w:rPr>
          <w:rFonts w:ascii="Arial" w:hAnsi="Arial"/>
          <w:color w:val="000000"/>
          <w:sz w:val="22"/>
        </w:rPr>
        <w:t>- **Спільна цифрова платформа:** Microsoft Teams + SharePoint використовуються для спільної роботи над документами, спілкування та зберігання матеріалів. Усі матеріали — в захищеному хмарному середовищі.</w:t>
        <w:br/>
        <w:t>- **Планові обміни:** Щомісяця — 15-хвилинний «pulse check» між WP-лідерами; щокварталу — повний огляд прогресу SC; щорічно — очна стратегічна сесія (по черзі в Тронгеймі та в Україні або у нейтральному місці в ЄС).</w:t>
        <w:br/>
        <w:t>- **Спільний репозиторій KPI:** Панель моніторингу результатів у реальному часі (Google Data Studio або Power BI) доступна всім членам SC та HK-dir на запит.</w:t>
      </w:r>
    </w:p>
    <w:p>
      <w:pPr/>
      <w:r>
        <w:rPr>
          <w:rFonts w:ascii="Arial" w:hAnsi="Arial"/>
          <w:color w:val="000000"/>
          <w:sz w:val="22"/>
        </w:rPr>
        <w:t>### Залучення стейкхолдерів</w:t>
      </w:r>
    </w:p>
    <w:p>
      <w:pPr/>
      <w:r>
        <w:rPr>
          <w:rFonts w:ascii="Arial" w:hAnsi="Arial"/>
          <w:color w:val="000000"/>
          <w:sz w:val="22"/>
        </w:rPr>
        <w:t>- **Консультативна рада промисловості (Industry Advisory Board, IAB):** 5 представників енергетичних компаній (оператори розподільних мереж, підприємства ВДЕ, постачальники SCADA) беруть участь у щорічних засіданнях IAB, рецензують навчальні програми та пропонують реальні кейси для WP4. Залучення IAB забезпечує відповідність програми ринковим потребам і сприяє працевлаштуванню випускників.</w:t>
        <w:br/>
        <w:t>- **МОН України:** Регулярна взаємодія щодо акредитації нових модулів (WP1); проєкт прагне отримати статус «зразкової програми» (pilot program) МОН для можливої реплікації в інших університетах.</w:t>
        <w:br/>
        <w:t>- **Місцеві органи влади Запорізької та регіону Партнера-2:** Інформування про результати проєкту через регіональні освітні адміністрації; пошук можливостей для партнерства у відновленні місцевої енергетичної інфраструктури.</w:t>
        <w:br/>
        <w:t>- **Норвезьке посольство в Україні:** Залучення до публічних заходів (конференції, хакатони) для підвищення видимості норвезько-українського співробітництва.</w:t>
      </w:r>
    </w:p>
    <w:p w14:paraId="52D4FDC5" w14:textId="77777777" w:rsidR="000233C9" w:rsidRPr="003462FB" w:rsidRDefault="000233C9" w:rsidP="000233C9">
      <w:pPr>
        <w:pStyle w:val="Ingenmellomrom"/>
      </w:pPr>
    </w:p>
    <w:p w14:paraId="501850CC" w14:textId="77777777" w:rsidR="000233C9" w:rsidRPr="003462FB" w:rsidRDefault="000233C9" w:rsidP="000233C9">
      <w:pPr>
        <w:pStyle w:val="Ingenmellomrom"/>
      </w:pPr>
    </w:p>
    <w:p w14:paraId="39AE292D" w14:textId="77777777" w:rsidR="000233C9" w:rsidRPr="003462FB" w:rsidRDefault="000233C9" w:rsidP="000233C9">
      <w:pPr>
        <w:pStyle w:val="Ingenmellomrom"/>
      </w:pPr>
    </w:p>
    <w:p w14:paraId="696E77CA" w14:textId="77777777" w:rsidR="000233C9" w:rsidRPr="003462FB" w:rsidRDefault="000233C9" w:rsidP="000233C9">
      <w:pPr>
        <w:pStyle w:val="Ingenmellomrom"/>
      </w:pPr>
    </w:p>
    <w:p w14:paraId="109120BB" w14:textId="77777777" w:rsidR="00BC7E28" w:rsidRDefault="00BC7E28">
      <w:pPr>
        <w:rPr>
          <w:b/>
          <w:bCs/>
          <w:sz w:val="32"/>
          <w:szCs w:val="32"/>
        </w:rPr>
      </w:pPr>
      <w:r>
        <w:rPr>
          <w:b/>
          <w:bCs/>
          <w:sz w:val="32"/>
          <w:szCs w:val="32"/>
        </w:rPr>
        <w:br w:type="page"/>
      </w:r>
    </w:p>
    <w:p w14:paraId="4DF6756C" w14:textId="12B2BDFC" w:rsidR="000233C9" w:rsidRPr="003462FB" w:rsidRDefault="000233C9" w:rsidP="000233C9">
      <w:pPr>
        <w:keepNext/>
        <w:keepLines/>
        <w:spacing w:before="200" w:after="120"/>
        <w:outlineLvl w:val="1"/>
        <w:rPr>
          <w:rFonts w:eastAsiaTheme="majorEastAsia" w:cstheme="minorHAnsi"/>
          <w:b/>
          <w:bCs/>
          <w:sz w:val="32"/>
          <w:szCs w:val="32"/>
        </w:rPr>
      </w:pPr>
      <w:r w:rsidRPr="003462FB">
        <w:rPr>
          <w:b/>
          <w:bCs/>
          <w:sz w:val="32"/>
          <w:szCs w:val="32"/>
        </w:rPr>
        <w:t>4</w:t>
      </w:r>
      <w:r w:rsidRPr="003462FB">
        <w:rPr>
          <w:b/>
          <w:bCs/>
          <w:sz w:val="32"/>
          <w:szCs w:val="32"/>
        </w:rPr>
        <w:tab/>
        <w:t xml:space="preserve">Project impact </w:t>
      </w:r>
    </w:p>
    <w:p w14:paraId="6305ED3B" w14:textId="77777777" w:rsidR="00E5362D" w:rsidRPr="003462FB" w:rsidRDefault="00E5362D" w:rsidP="000233C9">
      <w:pPr>
        <w:pStyle w:val="Ingenmellomrom"/>
      </w:pPr>
    </w:p>
    <w:p w14:paraId="02AA9C51" w14:textId="77777777" w:rsidR="000233C9" w:rsidRPr="003462FB" w:rsidRDefault="000233C9" w:rsidP="000233C9">
      <w:pPr>
        <w:pStyle w:val="Ingenmellomrom"/>
        <w:rPr>
          <w:b/>
          <w:bCs/>
        </w:rPr>
      </w:pPr>
      <w:r w:rsidRPr="003462FB">
        <w:rPr>
          <w:b/>
          <w:bCs/>
        </w:rPr>
        <w:t>4.1</w:t>
      </w:r>
      <w:r w:rsidRPr="003462FB">
        <w:rPr>
          <w:b/>
          <w:bCs/>
        </w:rPr>
        <w:tab/>
        <w:t xml:space="preserve">The project impact and possible measures to promote dissemination </w:t>
      </w:r>
    </w:p>
    <w:p w14:paraId="663B8C7E" w14:textId="77777777" w:rsidR="000233C9" w:rsidRPr="003462FB" w:rsidRDefault="000233C9" w:rsidP="000233C9">
      <w:pPr>
        <w:pStyle w:val="Ingenmellomrom"/>
      </w:pPr>
    </w:p>
    <w:p w14:paraId="359AD45D" w14:textId="77777777" w:rsidR="000233C9" w:rsidRPr="003462FB" w:rsidRDefault="000233C9" w:rsidP="000233C9">
      <w:pPr>
        <w:pStyle w:val="Ingenmellomrom"/>
      </w:pPr>
    </w:p>
    <w:p w14:paraId="0FD1C9F5" w14:textId="699FF8C6" w:rsidR="000233C9" w:rsidRPr="003462FB" w:rsidRDefault="000233C9" w:rsidP="000233C9">
      <w:pPr/>
      <w:r>
        <w:rPr>
          <w:rFonts w:ascii="Arial" w:hAnsi="Arial"/>
          <w:color w:val="000000"/>
          <w:sz w:val="22"/>
        </w:rPr>
        <w:t>## 4.1 Вплив проєкту та заходи зі розповсюдження результатів</w:t>
      </w:r>
    </w:p>
    <w:p>
      <w:pPr/>
      <w:r>
        <w:rPr>
          <w:rFonts w:ascii="Arial" w:hAnsi="Arial"/>
          <w:color w:val="000000"/>
          <w:sz w:val="22"/>
        </w:rPr>
        <w:t>### Прямий вплив на цільові групи</w:t>
      </w:r>
    </w:p>
    <w:p>
      <w:pPr/>
      <w:r>
        <w:rPr>
          <w:rFonts w:ascii="Arial" w:hAnsi="Arial"/>
          <w:color w:val="000000"/>
          <w:sz w:val="22"/>
        </w:rPr>
        <w:t>**Студенти:** Впродовж трьох років проєкту нові навчальні модулі охоплять щонайменше 240 студентів бакалаврату та магістратури технічних спеціальностей ЗНУ та Партнера-2 (80 осіб/рік починаючи з 2-го року). Ці студенти здобудуть унікальні для українського ринку праці компетентності: архітектура цифрових двійників, фізично обґрунтовані нейронні мережі для енергетики, IoT-інтеграція та кібербезпека критичної інфраструктури. 10 кращих студентів пройдуть стажування в NTNU (Трондгейм), здобувши міжнародний досвід та контакти. Щонайменше 150 студентів з числа учасників (розрахунок: 63% від 240) вийдуть на ринок праці у сфері, безпосередньо пов'язаній із відновленням і модернізацією енергетичного сектору України, що підтверджується прогнозами попиту на ринку праці (USAID AMES, 2024).</w:t>
      </w:r>
    </w:p>
    <w:p>
      <w:pPr/>
      <w:r>
        <w:rPr>
          <w:rFonts w:ascii="Arial" w:hAnsi="Arial"/>
          <w:color w:val="000000"/>
          <w:sz w:val="22"/>
        </w:rPr>
        <w:t>**Науково-педагогічні працівники:** 30 НПП (не менше 15 від кожного українського партнера) підвищать кваліфікацію та стануть першим в Україні сертифікованим педагогічним колективом у галузі цифрових двійників для енергетики. 8 з них, сертифіковані як «тренери тренерів», набудуть здатності самостійно актуалізувати та поширювати програму після завершення проєкту. Стажування НПП в NTNU розширить їхні дослідницькі мережі та відкриє нові можливості для спільних публікацій і заявок на Horizon Europe.</w:t>
      </w:r>
    </w:p>
    <w:p>
      <w:pPr/>
      <w:r>
        <w:rPr>
          <w:rFonts w:ascii="Arial" w:hAnsi="Arial"/>
          <w:color w:val="000000"/>
          <w:sz w:val="22"/>
        </w:rPr>
        <w:t>**Університети-партнери:** Обидва українські університети отримають акредитовані, інтегровані в навчальні плани модулі, функціональну Living Lab як дослідницько-навчальну інфраструктуру вартістю понад NOK 400 000, відкриту бібліотеку навчальних кейсів і наборів даних. Це безпосередньо підвищує їхню привабливість для абітурієнтів і потенційних дослідницьких партнерів.</w:t>
      </w:r>
    </w:p>
    <w:p>
      <w:pPr/>
      <w:r>
        <w:rPr>
          <w:rFonts w:ascii="Arial" w:hAnsi="Arial"/>
          <w:color w:val="000000"/>
          <w:sz w:val="22"/>
        </w:rPr>
        <w:t>### Інституційний вплив</w:t>
      </w:r>
    </w:p>
    <w:p>
      <w:pPr/>
      <w:r>
        <w:rPr>
          <w:rFonts w:ascii="Arial" w:hAnsi="Arial"/>
          <w:color w:val="000000"/>
          <w:sz w:val="22"/>
        </w:rPr>
        <w:t>DigiTwin-Energy сприятиме системній трансформації навчального процесу обох українських партнерів. Нові модулі стануть стержневими курсами в оновлених освітніх програмах за спеціальностями «Електроенергетика», «Комп'ютерні науки» та «Автоматизація». Досвід розробки конфліктно-стійкого blended learning та хмарної Living Lab стане внутрішнім ноу-хау університетів і основою для подальшої цифрової трансформації навчального процесу в інших дисциплінах.</w:t>
      </w:r>
    </w:p>
    <w:p>
      <w:pPr/>
      <w:r>
        <w:rPr>
          <w:rFonts w:ascii="Arial" w:hAnsi="Arial"/>
          <w:color w:val="000000"/>
          <w:sz w:val="22"/>
        </w:rPr>
        <w:t>Проєкт сприятиме збільшенню кількості публікацій Q1–Q2 та Scopus у тематиці цифрових двійників для обох українських партнерів — плановий приріст 8 статей за 3 роки. Це матиме позитивний ефект на позиції університетів у національних і міжнародних рейтингах.</w:t>
      </w:r>
    </w:p>
    <w:p>
      <w:pPr/>
      <w:r>
        <w:rPr>
          <w:rFonts w:ascii="Arial" w:hAnsi="Arial"/>
          <w:color w:val="000000"/>
          <w:sz w:val="22"/>
        </w:rPr>
        <w:t>### Регіональний та національний вплив</w:t>
      </w:r>
    </w:p>
    <w:p>
      <w:pPr/>
      <w:r>
        <w:rPr>
          <w:rFonts w:ascii="Arial" w:hAnsi="Arial"/>
          <w:color w:val="000000"/>
          <w:sz w:val="22"/>
        </w:rPr>
        <w:t>**Внесок у відновлення енергетики:** Підготовані фахівці стануть прямими учасниками відновлення зруйнованої енергетичної інфраструктури Запорізької та суміжних областей. Компетентності з цифрового двійника підстанцій та оптимізації розподільних мереж є критично необхідними для «розумного» відновлення — не просто відбудови знищеного, а впровадження нової цифрової архітектури.</w:t>
      </w:r>
    </w:p>
    <w:p>
      <w:pPr/>
      <w:r>
        <w:rPr>
          <w:rFonts w:ascii="Arial" w:hAnsi="Arial"/>
          <w:color w:val="000000"/>
          <w:sz w:val="22"/>
        </w:rPr>
        <w:t>**Мультиплікаційний ефект:** Проєкт прагне отримати статус «пілотної програми» МОН України, що відкриє шлях для реплікації навчальних модулів у 10–15 інших технічних університетах України. Відкриті навчальні матеріали (OER) на Zenodo та GitHub доступні всім охочим без обмежень. Очікується, що впродовж 5 років після завершення проєкту (до 2034 р.) більше 1 000 додаткових студентів в Україні матимуть доступ до цих матеріалів через інші університети.</w:t>
      </w:r>
    </w:p>
    <w:p>
      <w:pPr/>
      <w:r>
        <w:rPr>
          <w:rFonts w:ascii="Arial" w:hAnsi="Arial"/>
          <w:color w:val="000000"/>
          <w:sz w:val="22"/>
        </w:rPr>
        <w:t>**Індустріальна кооперація:** Industry Advisory Board забезпечить прямий зв'язок навчальної програми з потребами роботодавців. Очікується підписання 2–3 меморандумів про взаєморозуміння між університетами та енергетичними компаніями регіону, що відкриє шлях до спільних дослідницьких проєктів і цільової підготовки фахівців.</w:t>
      </w:r>
    </w:p>
    <w:p>
      <w:pPr/>
      <w:r>
        <w:rPr>
          <w:rFonts w:ascii="Arial" w:hAnsi="Arial"/>
          <w:color w:val="000000"/>
          <w:sz w:val="22"/>
        </w:rPr>
        <w:t>### План розповсюдження результатів</w:t>
      </w:r>
    </w:p>
    <w:p>
      <w:pPr/>
      <w:r>
        <w:rPr>
          <w:rFonts w:ascii="Arial" w:hAnsi="Arial"/>
          <w:color w:val="000000"/>
          <w:sz w:val="22"/>
        </w:rPr>
        <w:t>- **Наукові публікації:** 8 рецензованих статей у журналах Scopus/WoS Q1–Q2 (IEEE Transactions on Power Systems, Energies, Applied Energy, Renewable and Sustainable Energy Reviews). Мінімум 4 — у відкритому доступі (open access) для максимального охоплення.</w:t>
        <w:br/>
        <w:t>- **Відкриті освітні ресурси:** 4 пакети OER (силабуси, лекційні матеріали, набори даних, відеолекції) на Zenodo та GitHub під ліцензією CC BY 4.0.</w:t>
        <w:br/>
        <w:t>- **Конференції:** Щорічний онлайн-форум DigiTwin Ukraine; підсумкова очна конференція в Норвегії (М36). Презентації на міжнародних форумах: IEEE PowerTech, EuroPES, CIGRÉ.</w:t>
        <w:br/>
        <w:t>- **Медіа-присутність:** Прес-релізи через медіа-служби NTNU та ЗНУ; анонси на сайтах МОН України та HK-dir. LinkedIn-сторінка проєкту для міжнародного поширення.</w:t>
        <w:br/>
        <w:t>- **Звіти для стейкхолдерів:** Щорічний публічний звіт для Industry Advisory Board, МОН України та регіональних органів влади.</w:t>
      </w:r>
    </w:p>
    <w:p w14:paraId="7E3D6B21" w14:textId="77777777" w:rsidR="000233C9" w:rsidRPr="003462FB" w:rsidRDefault="000233C9" w:rsidP="000233C9">
      <w:pPr>
        <w:pStyle w:val="Ingenmellomrom"/>
      </w:pPr>
    </w:p>
    <w:p w14:paraId="338F553E" w14:textId="77777777" w:rsidR="000233C9" w:rsidRDefault="000233C9" w:rsidP="000233C9">
      <w:pPr>
        <w:pStyle w:val="Ingenmellomrom"/>
      </w:pPr>
    </w:p>
    <w:p w14:paraId="3E3572ED" w14:textId="77777777" w:rsidR="00BF65CE" w:rsidRDefault="00BF65CE" w:rsidP="000233C9">
      <w:pPr>
        <w:pStyle w:val="Ingenmellomrom"/>
      </w:pPr>
    </w:p>
    <w:p w14:paraId="635081B5" w14:textId="77777777" w:rsidR="00BF65CE" w:rsidRPr="003462FB" w:rsidRDefault="00BF65CE" w:rsidP="000233C9">
      <w:pPr>
        <w:pStyle w:val="Ingenmellomrom"/>
      </w:pPr>
    </w:p>
    <w:p w14:paraId="1CC603B7" w14:textId="3D52C567" w:rsidR="000233C9" w:rsidRPr="003462FB" w:rsidRDefault="000233C9" w:rsidP="000233C9">
      <w:pPr>
        <w:pStyle w:val="Ingenmellomrom"/>
        <w:rPr>
          <w:b/>
          <w:bCs/>
        </w:rPr>
      </w:pPr>
      <w:r w:rsidRPr="003462FB">
        <w:rPr>
          <w:b/>
          <w:bCs/>
        </w:rPr>
        <w:t>4.2</w:t>
      </w:r>
      <w:r w:rsidRPr="003462FB">
        <w:rPr>
          <w:b/>
          <w:bCs/>
        </w:rPr>
        <w:tab/>
        <w:t>Duration of the impact and evaluation of the project's impact</w:t>
      </w:r>
    </w:p>
    <w:p w14:paraId="7389554D" w14:textId="77777777" w:rsidR="000233C9" w:rsidRPr="003462FB" w:rsidRDefault="000233C9" w:rsidP="000233C9">
      <w:pPr>
        <w:pStyle w:val="Ingenmellomrom"/>
      </w:pPr>
    </w:p>
    <w:p w14:paraId="4A777873" w14:textId="77777777" w:rsidR="000233C9" w:rsidRPr="003462FB" w:rsidRDefault="000233C9" w:rsidP="000233C9">
      <w:pPr>
        <w:pStyle w:val="Ingenmellomrom"/>
      </w:pPr>
    </w:p>
    <w:p w14:paraId="6454C1EC" w14:textId="64B7C09D" w:rsidR="000233C9" w:rsidRPr="003462FB" w:rsidRDefault="000233C9" w:rsidP="000233C9">
      <w:pPr/>
      <w:r>
        <w:rPr>
          <w:rFonts w:ascii="Arial" w:hAnsi="Arial"/>
          <w:color w:val="000000"/>
          <w:sz w:val="22"/>
        </w:rPr>
        <w:t>## 4.2 Тривалість впливу та оцінка результатів проєкту</w:t>
      </w:r>
    </w:p>
    <w:p>
      <w:pPr/>
      <w:r>
        <w:rPr>
          <w:rFonts w:ascii="Arial" w:hAnsi="Arial"/>
          <w:color w:val="000000"/>
          <w:sz w:val="22"/>
        </w:rPr>
        <w:t>### План довгострокової стійкості</w:t>
      </w:r>
    </w:p>
    <w:p>
      <w:pPr/>
      <w:r>
        <w:rPr>
          <w:rFonts w:ascii="Arial" w:hAnsi="Arial"/>
          <w:color w:val="000000"/>
          <w:sz w:val="22"/>
        </w:rPr>
        <w:t>Oснова стійкості DigiTwin-Energy — інтеграція нових модулів у акредитовані навчальні плани обох українських університетів ще в ході проєкту (WP1, М18). Після акредитації ці модулі стають частиною регулярної навчальної пропозиції університетів і фінансуються з їхніх базових бюджетів без додаткової зовнішньої підтримки. Такий підхід означає, що фінансування Nansen EDU «запускає» систему, яка потім функціонує самостійно.</w:t>
      </w:r>
    </w:p>
    <w:p>
      <w:pPr/>
      <w:r>
        <w:rPr>
          <w:rFonts w:ascii="Arial" w:hAnsi="Arial"/>
          <w:color w:val="000000"/>
          <w:sz w:val="22"/>
        </w:rPr>
        <w:t>**Кадрова стійкість:** 8 сертифікованих «тренерів тренерів» (WP2) забезпечують передачу знань у межах університетів і здатні актуалізувати курси відповідно до розвитку технологій без зовнішньої підтримки. Лабораторія паралельних і розподілених обчислень ЗНУ та Azure-інфраструктура залишаються у власності університету і становлять постійну операційну базу Living Lab.</w:t>
      </w:r>
    </w:p>
    <w:p>
      <w:pPr/>
      <w:r>
        <w:rPr>
          <w:rFonts w:ascii="Arial" w:hAnsi="Arial"/>
          <w:color w:val="000000"/>
          <w:sz w:val="22"/>
        </w:rPr>
        <w:t>**Інфраструктурна стійкість:** Living Lab (WP4) переходить у режим постійно діючої навчально-дослідницької інфраструктури ЗНУ після завершення проєкту. Університет зобов'язується виділяти щорічне операційне фінансування (обслуговування Azure-підписки, дрібний ремонт обладнання) у своєму бюджеті — це є умовою підписання Листа про зобов'язання (Letter of Commitment).</w:t>
      </w:r>
    </w:p>
    <w:p>
      <w:pPr/>
      <w:r>
        <w:rPr>
          <w:rFonts w:ascii="Arial" w:hAnsi="Arial"/>
          <w:color w:val="000000"/>
          <w:sz w:val="22"/>
        </w:rPr>
        <w:t>**Стратегічна стійкість:** Дорожня карта NTNU–ЗНУ 2026–2028 передбачає на фазі «Scaling» (2028) підготовку спільних заявок на Horizon Europe (наприклад, EIC Transition або MSCA Doctoral Networks) та Erasmus+ CBHE для масштабування результатів DigiTwin-Energy на ширше коло українських університетів. Ці майбутні заявки будуть спиратись на задокументовані результати поточного проєкту як Proof-of-Concept.</w:t>
      </w:r>
    </w:p>
    <w:p>
      <w:pPr/>
      <w:r>
        <w:rPr>
          <w:rFonts w:ascii="Arial" w:hAnsi="Arial"/>
          <w:color w:val="000000"/>
          <w:sz w:val="22"/>
        </w:rPr>
        <w:t>**Відкриті ресурси як гарантія доступності:** Всі навчальні матеріали публікуються під відкритою ліцензією (CC BY 4.0) і зберігаються у двох незалежних репозиторіях (Zenodo та GitHub). Навіть у разі форс-мажору (закриття університету, евакуація тощо) ці матеріали залишаються доступними для всієї академічної спільноти України та світу.</w:t>
      </w:r>
    </w:p>
    <w:p>
      <w:pPr/>
      <w:r>
        <w:rPr>
          <w:rFonts w:ascii="Arial" w:hAnsi="Arial"/>
          <w:color w:val="000000"/>
          <w:sz w:val="22"/>
        </w:rPr>
        <w:t>### Методологія оцінки та документування результатів</w:t>
      </w:r>
    </w:p>
    <w:p>
      <w:pPr/>
      <w:r>
        <w:rPr>
          <w:rFonts w:ascii="Arial" w:hAnsi="Arial"/>
          <w:color w:val="000000"/>
          <w:sz w:val="22"/>
        </w:rPr>
        <w:t>**Оцінка на вході (Baseline Assessment):** У М1–М2 проводиться базове анкетування НПП і потенційних студентів для вимірювання вихідного рівня знань у галузі цифрових двійників та енергетичного IoT. Ці дані слугують контрольними точками для порівняння.</w:t>
      </w:r>
    </w:p>
    <w:p>
      <w:pPr/>
      <w:r>
        <w:rPr>
          <w:rFonts w:ascii="Arial" w:hAnsi="Arial"/>
          <w:color w:val="000000"/>
          <w:sz w:val="22"/>
        </w:rPr>
        <w:t>**Моніторинг у процесі (Formative Evaluation):** Після кожного навчального модуля студенти проходять стандартизоване тестування (pre/post knowledge test). Щосеместровий опитувальник задоволеності студентів (за шкалою Лайкерта, 10 питань). Щорічний звіт EC для SC з аналізом KPI-панелі.</w:t>
      </w:r>
    </w:p>
    <w:p>
      <w:pPr/>
      <w:r>
        <w:rPr>
          <w:rFonts w:ascii="Arial" w:hAnsi="Arial"/>
          <w:color w:val="000000"/>
          <w:sz w:val="22"/>
        </w:rPr>
        <w:t>**Підсумкова оцінка (Summative Evaluation):** У М33–М35 незалежний зовнішній оцінювач (external evaluator), найнятий консорціумом із застосуванням конкурсних процедур, проводить: (1) онлайн-опитування всіх 240+ студентів-учасників і 30 НПП; (2) структуровані інтерв'ю з керівниками 5 компаній Industry Advisory Board; (3) аналіз документації (syllabus compliance, публікаційна активність, OER-статистика завантажень). Deliverable: Незалежний звіт про оцінку проєкту (М36).</w:t>
      </w:r>
    </w:p>
    <w:p>
      <w:pPr/>
      <w:r>
        <w:rPr>
          <w:rFonts w:ascii="Arial" w:hAnsi="Arial"/>
          <w:color w:val="000000"/>
          <w:sz w:val="22"/>
        </w:rPr>
        <w:t>**Ключові показники ефективності (KPI):**</w:t>
        <w:br/>
        <w:t>- Кількість акредитованих модулів: ціль 6/6 до М18</w:t>
        <w:br/>
        <w:t>- Кількість підготовлених студентів: ціль 240 до М36</w:t>
        <w:br/>
        <w:t>- Частка жінок серед учасників: ціль ≥40%</w:t>
        <w:br/>
        <w:t>- Кількість підвищених кваліфікацій НПП: ціль 30</w:t>
        <w:br/>
        <w:t>- Кількість публікацій Q1–Q2: ціль 8</w:t>
        <w:br/>
        <w:t>- NPS (Net Promoter Score) задоволеності студентів: ціль ≥70</w:t>
        <w:br/>
        <w:t>- Living Lab — кількість навчальних сценаріїв: ціль ≥10</w:t>
        <w:br/>
        <w:t>- OER-завантаження: ціль ≥500 до М36</w:t>
      </w:r>
    </w:p>
    <w:p>
      <w:pPr/>
      <w:r>
        <w:rPr>
          <w:rFonts w:ascii="Arial" w:hAnsi="Arial"/>
          <w:color w:val="000000"/>
          <w:sz w:val="22"/>
        </w:rPr>
        <w:t>**Відстеження після закінчення проєкту:** ЗНУ зобов'язується проводити щорічне опитування студентів-випускників програми (alumni tracking) щодо їхнього працевлаштування у суміжних галузях протягом щонайменше 3 років після завершення DigiTwin-Energy. Ці дані будуть доступні для HK-dir та слугуватимуть базою для оцінки довгострокового впливу програми.</w:t>
      </w:r>
    </w:p>
    <w:p w14:paraId="22A05506" w14:textId="77777777" w:rsidR="000233C9" w:rsidRPr="003462FB" w:rsidRDefault="000233C9" w:rsidP="000233C9">
      <w:pPr>
        <w:pStyle w:val="Ingenmellomrom"/>
      </w:pPr>
    </w:p>
    <w:p w14:paraId="7BEA9C4B" w14:textId="77777777" w:rsidR="000233C9" w:rsidRPr="003462FB" w:rsidRDefault="000233C9" w:rsidP="000233C9">
      <w:pPr>
        <w:pStyle w:val="Ingenmellomrom"/>
      </w:pPr>
    </w:p>
    <w:p w14:paraId="727AF6A2" w14:textId="77777777" w:rsidR="000233C9" w:rsidRPr="003462FB" w:rsidRDefault="000233C9" w:rsidP="000233C9">
      <w:pPr>
        <w:pStyle w:val="Ingenmellomrom"/>
      </w:pPr>
    </w:p>
    <w:p w14:paraId="72549BC3" w14:textId="77777777" w:rsidR="000233C9" w:rsidRPr="003462FB" w:rsidRDefault="000233C9" w:rsidP="000233C9">
      <w:pPr>
        <w:pStyle w:val="Ingenmellomrom"/>
      </w:pPr>
    </w:p>
    <w:p w14:paraId="32E86BDF" w14:textId="77777777" w:rsidR="000233C9" w:rsidRPr="003462FB" w:rsidRDefault="000233C9" w:rsidP="000233C9">
      <w:pPr>
        <w:pStyle w:val="Ingenmellomrom"/>
      </w:pPr>
    </w:p>
    <w:p w14:paraId="197F105F" w14:textId="77777777" w:rsidR="000233C9" w:rsidRPr="003462FB" w:rsidRDefault="000233C9" w:rsidP="000233C9">
      <w:pPr>
        <w:pStyle w:val="Ingenmellomrom"/>
      </w:pPr>
    </w:p>
    <w:p w14:paraId="3AA3D57E" w14:textId="77777777" w:rsidR="000233C9" w:rsidRPr="003462FB" w:rsidRDefault="000233C9" w:rsidP="000233C9">
      <w:pPr>
        <w:spacing w:after="200" w:line="276" w:lineRule="auto"/>
        <w:rPr>
          <w:rFonts w:eastAsiaTheme="majorEastAsia" w:cstheme="majorBidi"/>
          <w:b/>
          <w:bCs/>
          <w:sz w:val="32"/>
          <w:szCs w:val="24"/>
        </w:rPr>
      </w:pPr>
      <w:r w:rsidRPr="003462FB">
        <w:br w:type="page"/>
      </w:r>
    </w:p>
    <w:p w14:paraId="3A421977" w14:textId="77777777" w:rsidR="000233C9" w:rsidRPr="003462FB" w:rsidRDefault="000233C9" w:rsidP="000233C9">
      <w:pPr>
        <w:pStyle w:val="Overskrift2"/>
        <w:rPr>
          <w:sz w:val="32"/>
          <w:szCs w:val="24"/>
        </w:rPr>
      </w:pPr>
      <w:r w:rsidRPr="003462FB">
        <w:rPr>
          <w:sz w:val="32"/>
          <w:szCs w:val="24"/>
        </w:rPr>
        <w:t>5</w:t>
      </w:r>
      <w:r w:rsidRPr="003462FB">
        <w:rPr>
          <w:sz w:val="32"/>
          <w:szCs w:val="24"/>
        </w:rPr>
        <w:tab/>
        <w:t>Reference list</w:t>
      </w:r>
    </w:p>
    <w:p w14:paraId="14D7CA24" w14:textId="77777777" w:rsidR="000233C9" w:rsidRPr="003462FB" w:rsidRDefault="000233C9" w:rsidP="000233C9">
      <w:pPr>
        <w:pStyle w:val="Ingenmellomrom"/>
      </w:pPr>
    </w:p>
    <w:p w14:paraId="4D8D8060" w14:textId="77777777" w:rsidR="000233C9" w:rsidRPr="003462FB" w:rsidRDefault="000233C9" w:rsidP="000233C9">
      <w:pPr>
        <w:pStyle w:val="Ingenmellomrom"/>
      </w:pPr>
    </w:p>
    <w:p w14:paraId="4882C448" w14:textId="77777777" w:rsidR="000233C9" w:rsidRPr="003462FB" w:rsidRDefault="000233C9" w:rsidP="000233C9">
      <w:pPr>
        <w:pStyle w:val="Ingenmellomrom"/>
      </w:pPr>
      <w:r/>
    </w:p>
    <w:p w14:paraId="5BB0DD17" w14:textId="77777777" w:rsidR="000233C9" w:rsidRPr="003462FB" w:rsidRDefault="000233C9" w:rsidP="000233C9">
      <w:pPr>
        <w:pStyle w:val="Ingenmellomrom"/>
        <w:rPr>
          <w:sz w:val="18"/>
          <w:szCs w:val="18"/>
        </w:rPr>
      </w:pPr>
    </w:p>
    <w:p w14:paraId="2B1E9A84" w14:textId="77777777" w:rsidR="000233C9" w:rsidRPr="003462FB" w:rsidRDefault="000233C9" w:rsidP="000233C9">
      <w:pPr>
        <w:numPr>
          <w:ilvl w:val="0"/>
          <w:numId w:val="2"/>
        </w:numPr>
        <w:rPr>
          <w:sz w:val="18"/>
          <w:szCs w:val="18"/>
        </w:rPr>
      </w:pPr>
      <w:r>
        <w:rPr>
          <w:rFonts w:ascii="Arial" w:hAnsi="Arial"/>
          <w:sz w:val="20"/>
        </w:rPr>
        <w:t>[1] International Energy Agency (IEA). (2024). Ukraine Energy Sector Damage Assessment and Recovery Needs. IEA Special Report. Paris: IEA. https://www.iea.org/reports/ukraine-energy-sector-damage</w:t>
      </w:r>
    </w:p>
    <w:p>
      <w:pPr/>
      <w:r>
        <w:rPr>
          <w:rFonts w:ascii="Arial" w:hAnsi="Arial"/>
          <w:sz w:val="20"/>
        </w:rPr>
        <w:t>[2] Grieves, M., &amp; Vickers, J. (2017). Digital twin: Mitigating unpredictable, undesirable emergent behavior in complex systems. In F.-J. Kahlen, S. Flumerfelt, &amp; A. Alves (Eds.), Transdisciplinary Perspectives on Complex Systems (pp. 85–113). Springer. https://doi.org/10.1007/978-3-319-38756-7_4</w:t>
      </w:r>
    </w:p>
    <w:p>
      <w:pPr/>
      <w:r>
        <w:rPr>
          <w:rFonts w:ascii="Arial" w:hAnsi="Arial"/>
          <w:sz w:val="20"/>
        </w:rPr>
        <w:t>[3] Raissi, M., Perdikaris, P., &amp; Karniadakis, G. E. (2019). Physics-informed neural networks: A deep learning framework for solving forward and inverse problems involving nonlinear partial differential equations. Journal of Computational Physics, 378, 686–707. https://doi.org/10.1016/j.jcp.2018.10.045</w:t>
      </w:r>
    </w:p>
    <w:p>
      <w:pPr/>
      <w:r>
        <w:rPr>
          <w:rFonts w:ascii="Arial" w:hAnsi="Arial"/>
          <w:sz w:val="20"/>
        </w:rPr>
        <w:t>[4] Tao, F., Zhang, H., Liu, A., &amp; Nee, A. Y. C. (2019). Digital twin in industry: State-of-the-art. IEEE Transactions on Industrial Informatics, 15(4), 2405–2415. https://doi.org/10.1109/TII.2018.2873186</w:t>
      </w:r>
    </w:p>
    <w:p>
      <w:pPr/>
      <w:r>
        <w:rPr>
          <w:rFonts w:ascii="Arial" w:hAnsi="Arial"/>
          <w:sz w:val="20"/>
        </w:rPr>
        <w:t>[5] European Commission. (2022). REPowerEU Plan. COM(2022) 230 final. Brussels: European Commission. https://eur-lex.europa.eu/legal-content/EN/TXT/?uri=COM%3A2022%3A230%3AFIN</w:t>
      </w:r>
    </w:p>
    <w:p>
      <w:pPr/>
      <w:r>
        <w:rPr>
          <w:rFonts w:ascii="Arial" w:hAnsi="Arial"/>
          <w:sz w:val="20"/>
        </w:rPr>
        <w:t>[6] Уряд України. (2022). Національний план відновлення України. Київ: Кабінет Міністрів України. https://www.kmu.gov.ua/en/news/ukrayina-2030-prezentovano-nacionalnyj-plan-vidnovlennya</w:t>
      </w:r>
    </w:p>
    <w:p>
      <w:pPr/>
      <w:r>
        <w:rPr>
          <w:rFonts w:ascii="Arial" w:hAnsi="Arial"/>
          <w:sz w:val="20"/>
        </w:rPr>
        <w:t>[7] Mellerud, I., &amp; Nilssen, T. (2023). NTNU Digital Transformation: Strategy and Implementation 2021–2025. Trondheim: Norwegian University of Science and Technology. https://www.ntnu.edu/digital-transformation</w:t>
      </w:r>
    </w:p>
    <w:p>
      <w:pPr/>
      <w:r>
        <w:rPr>
          <w:rFonts w:ascii="Arial" w:hAnsi="Arial"/>
          <w:sz w:val="20"/>
        </w:rPr>
        <w:t>[8] Fuller, A., Fan, Z., Day, C., &amp; Barlow, C. (2020). Digital twin: Enabling technologies, challenges and open research. IEEE Access, 8, 108952–108971. https://doi.org/10.1109/ACCESS.2020.2998358</w:t>
      </w:r>
    </w:p>
    <w:p>
      <w:pPr/>
      <w:r>
        <w:rPr>
          <w:rFonts w:ascii="Arial" w:hAnsi="Arial"/>
          <w:sz w:val="20"/>
        </w:rPr>
        <w:t>[9] Transparency International. (2024). Corruption Perceptions Index 2023. Berlin: Transparency International. https://www.transparency.org/en/cpi/2023</w:t>
      </w:r>
    </w:p>
    <w:p>
      <w:pPr/>
      <w:r>
        <w:rPr>
          <w:rFonts w:ascii="Arial" w:hAnsi="Arial"/>
          <w:sz w:val="20"/>
        </w:rPr>
        <w:t>[10] Министерство освіти і науки України (МОН). (2023). Стан вищої освіти в умовах воєнного стану: Аналітична доповідь. Київ: МОН України. https://mon.gov.ua</w:t>
      </w:r>
    </w:p>
    <w:p>
      <w:pPr/>
      <w:r>
        <w:rPr>
          <w:rFonts w:ascii="Arial" w:hAnsi="Arial"/>
          <w:sz w:val="20"/>
        </w:rPr>
        <w:t>[11] International Renewable Energy Agency (IRENA). (2023). Ukraine: Renewable Energy Transition in the Context of War and Reconstruction. Abu Dhabi: IRENA. https://www.irena.org/Publications/2023/Nov/Ukraine-Renewable-Energy-Transition</w:t>
      </w:r>
    </w:p>
    <w:p>
      <w:pPr/>
      <w:r>
        <w:rPr>
          <w:rFonts w:ascii="Arial" w:hAnsi="Arial"/>
          <w:sz w:val="20"/>
        </w:rPr>
        <w:t>[12] Kritzinger, W., Karner, M., Traar, G., Henjes, J., &amp; Sihn, W. (2018). Digital twin in manufacturing: A categorical literature review and classification. IFAC-PapersOnLine, 51(11), 1016–1022. https://doi.org/10.1016/j.ifacol.2018.08.474</w:t>
      </w:r>
    </w:p>
    <w:p>
      <w:pPr/>
      <w:r>
        <w:rPr>
          <w:rFonts w:ascii="Arial" w:hAnsi="Arial"/>
          <w:sz w:val="20"/>
        </w:rPr>
        <w:t>[13] НЕК «Укренерго». (2024). Річний звіт про функціонування об'єднаної енергосистеми України. Київ: НЕК «Укренерго». https://ua.energy</w:t>
      </w:r>
    </w:p>
    <w:p>
      <w:pPr/>
      <w:r>
        <w:rPr>
          <w:rFonts w:ascii="Arial" w:hAnsi="Arial"/>
          <w:sz w:val="20"/>
        </w:rPr>
        <w:t>[14] USAID. (2024). Advanced Manufacturing and Energy Solutions (AMES) Program: Workforce Needs Assessment in Ukraine's Energy Sector. Washington, DC: USAID.</w:t>
      </w:r>
    </w:p>
    <w:p>
      <w:pPr/>
      <w:r>
        <w:rPr>
          <w:rFonts w:ascii="Arial" w:hAnsi="Arial"/>
          <w:sz w:val="20"/>
        </w:rPr>
        <w:t>[15] UNESCO. (2020). Guidelines on Academic Freedom and Institutional Autonomy during Crises. Paris: UNESCO. https://www.unesco.org/en/higher-education/academic-freedom</w:t>
      </w:r>
    </w:p>
    <w:p w14:paraId="682EF5B7" w14:textId="77777777" w:rsidR="000233C9" w:rsidRPr="003462FB" w:rsidRDefault="000233C9" w:rsidP="000233C9">
      <w:pPr>
        <w:pStyle w:val="Ingenmellomrom"/>
      </w:pPr>
    </w:p>
    <w:p w14:paraId="6C955AA6" w14:textId="77777777" w:rsidR="000233C9" w:rsidRPr="003462FB" w:rsidRDefault="000233C9" w:rsidP="000233C9">
      <w:pPr>
        <w:pStyle w:val="Ingenmellomrom"/>
      </w:pPr>
    </w:p>
    <w:p w14:paraId="38C38518" w14:textId="77777777" w:rsidR="000233C9" w:rsidRPr="003462FB" w:rsidRDefault="000233C9" w:rsidP="000233C9">
      <w:pPr>
        <w:pStyle w:val="Ingenmellomrom"/>
      </w:pPr>
    </w:p>
    <w:p w14:paraId="6DB84E47" w14:textId="77777777" w:rsidR="00772FFA" w:rsidRPr="003462FB" w:rsidRDefault="00772FFA" w:rsidP="00DB6B9E"/>
    <w:sectPr w:rsidR="00772FFA" w:rsidRPr="003462FB" w:rsidSect="006B03FD">
      <w:footerReference w:type="default" r:id="rId15"/>
      <w:headerReference w:type="first" r:id="rId16"/>
      <w:footerReference w:type="first" r:id="rId17"/>
      <w:endnotePr>
        <w:numFmt w:val="decimal"/>
      </w:endnotePr>
      <w:pgSz w:w="11906" w:h="16838" w:code="9"/>
      <w:pgMar w:top="851" w:right="1134" w:bottom="1418"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3ABA4" w14:textId="77777777" w:rsidR="009B517A" w:rsidRDefault="009B517A" w:rsidP="000233C9">
      <w:pPr>
        <w:spacing w:after="0" w:line="240" w:lineRule="auto"/>
      </w:pPr>
      <w:r>
        <w:separator/>
      </w:r>
    </w:p>
  </w:endnote>
  <w:endnote w:type="continuationSeparator" w:id="0">
    <w:p w14:paraId="3F6C9238" w14:textId="77777777" w:rsidR="009B517A" w:rsidRDefault="009B517A" w:rsidP="000233C9">
      <w:pPr>
        <w:spacing w:after="0" w:line="240" w:lineRule="auto"/>
      </w:pPr>
      <w:r>
        <w:continuationSeparator/>
      </w:r>
    </w:p>
  </w:endnote>
  <w:endnote w:type="continuationNotice" w:id="1">
    <w:p w14:paraId="7AE5864B" w14:textId="77777777" w:rsidR="009B517A" w:rsidRDefault="009B517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0CB96" w14:textId="77777777" w:rsidR="006B03FD" w:rsidRPr="002C6AB0" w:rsidRDefault="000233C9" w:rsidP="006B03FD">
    <w:pPr>
      <w:pStyle w:val="Bunntekst"/>
      <w:jc w:val="center"/>
      <w:rPr>
        <w:rFonts w:cstheme="minorHAnsi"/>
        <w:sz w:val="18"/>
        <w:szCs w:val="18"/>
      </w:rPr>
    </w:pPr>
    <w:r>
      <w:rPr>
        <w:snapToGrid w:val="0"/>
        <w:sz w:val="18"/>
        <w:szCs w:val="18"/>
      </w:rP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1</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59EF1880" w14:textId="77777777" w:rsidR="006B03FD" w:rsidRDefault="006B03FD">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4F3D" w14:textId="77777777" w:rsidR="006B03FD" w:rsidRPr="002C6AB0" w:rsidRDefault="000233C9" w:rsidP="006B03FD">
    <w:pPr>
      <w:pStyle w:val="Bunntekst"/>
      <w:jc w:val="right"/>
      <w:rPr>
        <w:rFonts w:cstheme="minorHAnsi"/>
        <w:sz w:val="18"/>
        <w:szCs w:val="18"/>
      </w:rPr>
    </w:pPr>
    <w:r>
      <w:rPr>
        <w:snapToGrid w:val="0"/>
        <w:sz w:val="18"/>
        <w:szCs w:val="18"/>
      </w:rPr>
      <w:tab/>
    </w:r>
    <w:r>
      <w:t xml:space="preserve">page </w:t>
    </w:r>
    <w:r w:rsidRPr="002C6AB0">
      <w:rPr>
        <w:rStyle w:val="Sidetall"/>
        <w:rFonts w:cstheme="minorHAnsi"/>
        <w:sz w:val="18"/>
        <w:szCs w:val="18"/>
      </w:rPr>
      <w:fldChar w:fldCharType="begin"/>
    </w:r>
    <w:r w:rsidRPr="002C6AB0">
      <w:rPr>
        <w:rStyle w:val="Sidetall"/>
        <w:rFonts w:cstheme="minorHAnsi"/>
        <w:sz w:val="18"/>
        <w:szCs w:val="18"/>
      </w:rPr>
      <w:instrText xml:space="preserve"> PAGE </w:instrText>
    </w:r>
    <w:r w:rsidRPr="002C6AB0">
      <w:rPr>
        <w:rStyle w:val="Sidetall"/>
        <w:rFonts w:cstheme="minorHAnsi"/>
        <w:sz w:val="18"/>
        <w:szCs w:val="18"/>
      </w:rPr>
      <w:fldChar w:fldCharType="separate"/>
    </w:r>
    <w:r>
      <w:rPr>
        <w:rStyle w:val="Sidetall"/>
        <w:rFonts w:cstheme="minorHAnsi"/>
        <w:sz w:val="18"/>
        <w:szCs w:val="18"/>
      </w:rPr>
      <w:t>2</w:t>
    </w:r>
    <w:r w:rsidRPr="002C6AB0">
      <w:rPr>
        <w:rStyle w:val="Sidetall"/>
        <w:rFonts w:cstheme="minorHAnsi"/>
        <w:sz w:val="18"/>
        <w:szCs w:val="18"/>
      </w:rPr>
      <w:fldChar w:fldCharType="end"/>
    </w:r>
    <w:r>
      <w:rPr>
        <w:snapToGrid w:val="0"/>
        <w:sz w:val="18"/>
        <w:szCs w:val="18"/>
      </w:rPr>
      <w:t>/</w:t>
    </w:r>
    <w:r w:rsidRPr="002C6AB0">
      <w:rPr>
        <w:rStyle w:val="Sidetall"/>
        <w:rFonts w:cstheme="minorHAnsi"/>
        <w:sz w:val="18"/>
        <w:szCs w:val="18"/>
      </w:rPr>
      <w:fldChar w:fldCharType="begin"/>
    </w:r>
    <w:r w:rsidRPr="002C6AB0">
      <w:rPr>
        <w:rStyle w:val="Sidetall"/>
        <w:rFonts w:cstheme="minorHAnsi"/>
        <w:sz w:val="18"/>
        <w:szCs w:val="18"/>
      </w:rPr>
      <w:instrText xml:space="preserve"> NUMPAGES </w:instrText>
    </w:r>
    <w:r w:rsidRPr="002C6AB0">
      <w:rPr>
        <w:rStyle w:val="Sidetall"/>
        <w:rFonts w:cstheme="minorHAnsi"/>
        <w:sz w:val="18"/>
        <w:szCs w:val="18"/>
      </w:rPr>
      <w:fldChar w:fldCharType="separate"/>
    </w:r>
    <w:r>
      <w:rPr>
        <w:rStyle w:val="Sidetall"/>
        <w:rFonts w:cstheme="minorHAnsi"/>
        <w:sz w:val="18"/>
        <w:szCs w:val="18"/>
      </w:rPr>
      <w:t>4</w:t>
    </w:r>
    <w:r w:rsidRPr="002C6AB0">
      <w:rPr>
        <w:rStyle w:val="Sidetall"/>
        <w:rFonts w:cstheme="minorHAnsi"/>
        <w:sz w:val="18"/>
        <w:szCs w:val="18"/>
      </w:rPr>
      <w:fldChar w:fldCharType="end"/>
    </w:r>
  </w:p>
  <w:p w14:paraId="27A1C635" w14:textId="77777777" w:rsidR="006B03FD" w:rsidRDefault="006B03FD">
    <w:pPr>
      <w:pStyle w:val="Bunntekst"/>
    </w:pPr>
  </w:p>
  <w:p w14:paraId="043D9A3A" w14:textId="77777777" w:rsidR="006B03FD" w:rsidRDefault="006B03F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37169" w14:textId="77777777" w:rsidR="009B517A" w:rsidRDefault="009B517A" w:rsidP="000233C9">
      <w:pPr>
        <w:spacing w:after="0" w:line="240" w:lineRule="auto"/>
      </w:pPr>
      <w:r>
        <w:separator/>
      </w:r>
    </w:p>
  </w:footnote>
  <w:footnote w:type="continuationSeparator" w:id="0">
    <w:p w14:paraId="79E2E86F" w14:textId="77777777" w:rsidR="009B517A" w:rsidRDefault="009B517A" w:rsidP="000233C9">
      <w:pPr>
        <w:spacing w:after="0" w:line="240" w:lineRule="auto"/>
      </w:pPr>
      <w:r>
        <w:continuationSeparator/>
      </w:r>
    </w:p>
  </w:footnote>
  <w:footnote w:type="continuationNotice" w:id="1">
    <w:p w14:paraId="2B0512EE" w14:textId="77777777" w:rsidR="009B517A" w:rsidRDefault="009B517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60611" w14:textId="222241B3" w:rsidR="006B03FD" w:rsidRPr="00946220" w:rsidRDefault="000233C9" w:rsidP="006B03FD">
    <w:pPr>
      <w:pStyle w:val="Topptekst"/>
      <w:rPr>
        <w:i/>
        <w:iCs/>
        <w:sz w:val="20"/>
      </w:rPr>
    </w:pPr>
    <w:r>
      <w:rPr>
        <w:noProof/>
      </w:rPr>
      <w:drawing>
        <wp:anchor distT="0" distB="0" distL="114300" distR="114300" simplePos="0" relativeHeight="251658240" behindDoc="0" locked="0" layoutInCell="1" allowOverlap="1" wp14:anchorId="173F3736" wp14:editId="23DF0481">
          <wp:simplePos x="0" y="0"/>
          <wp:positionH relativeFrom="column">
            <wp:posOffset>5476875</wp:posOffset>
          </wp:positionH>
          <wp:positionV relativeFrom="paragraph">
            <wp:posOffset>-353060</wp:posOffset>
          </wp:positionV>
          <wp:extent cx="978958" cy="619125"/>
          <wp:effectExtent l="0" t="0" r="0" b="0"/>
          <wp:wrapNone/>
          <wp:docPr id="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78958" cy="619125"/>
                  </a:xfrm>
                  <a:prstGeom prst="rect">
                    <a:avLst/>
                  </a:prstGeom>
                </pic:spPr>
              </pic:pic>
            </a:graphicData>
          </a:graphic>
        </wp:anchor>
      </w:drawing>
    </w:r>
    <w:r>
      <w:rPr>
        <w:i/>
        <w:iCs/>
        <w:sz w:val="20"/>
        <w:szCs w:val="20"/>
      </w:rPr>
      <w:t xml:space="preserve"> </w:t>
    </w:r>
  </w:p>
  <w:p w14:paraId="2D93A241" w14:textId="77777777" w:rsidR="006B03FD" w:rsidRDefault="006B03F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61149"/>
    <w:multiLevelType w:val="hybridMultilevel"/>
    <w:tmpl w:val="B42EF65A"/>
    <w:lvl w:ilvl="0" w:tplc="57781D8A">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640570DB"/>
    <w:multiLevelType w:val="hybridMultilevel"/>
    <w:tmpl w:val="B4B4D4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6FAC7115"/>
    <w:multiLevelType w:val="hybridMultilevel"/>
    <w:tmpl w:val="FAB0BECA"/>
    <w:lvl w:ilvl="0" w:tplc="04140005">
      <w:start w:val="1"/>
      <w:numFmt w:val="bullet"/>
      <w:lvlText w:val=""/>
      <w:lvlJc w:val="left"/>
      <w:pPr>
        <w:ind w:left="720" w:hanging="360"/>
      </w:pPr>
      <w:rPr>
        <w:rFonts w:ascii="Wingdings" w:hAnsi="Wingdings"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78B45D4E"/>
    <w:multiLevelType w:val="hybridMultilevel"/>
    <w:tmpl w:val="A2A8B1D4"/>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621565899">
    <w:abstractNumId w:val="2"/>
  </w:num>
  <w:num w:numId="2" w16cid:durableId="990476752">
    <w:abstractNumId w:val="3"/>
  </w:num>
  <w:num w:numId="3" w16cid:durableId="535312299">
    <w:abstractNumId w:val="0"/>
  </w:num>
  <w:num w:numId="4" w16cid:durableId="453211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3C9"/>
    <w:rsid w:val="000037E6"/>
    <w:rsid w:val="000211AE"/>
    <w:rsid w:val="000233C9"/>
    <w:rsid w:val="00027798"/>
    <w:rsid w:val="00062FC1"/>
    <w:rsid w:val="00080C7B"/>
    <w:rsid w:val="00081F5E"/>
    <w:rsid w:val="0008644F"/>
    <w:rsid w:val="00090DBE"/>
    <w:rsid w:val="000972A2"/>
    <w:rsid w:val="000B52D6"/>
    <w:rsid w:val="000E0CA4"/>
    <w:rsid w:val="000E2235"/>
    <w:rsid w:val="000E33EA"/>
    <w:rsid w:val="001053CD"/>
    <w:rsid w:val="00110FA1"/>
    <w:rsid w:val="001240E1"/>
    <w:rsid w:val="0012530A"/>
    <w:rsid w:val="00146203"/>
    <w:rsid w:val="0015396D"/>
    <w:rsid w:val="00157A21"/>
    <w:rsid w:val="00172582"/>
    <w:rsid w:val="0018428B"/>
    <w:rsid w:val="00195594"/>
    <w:rsid w:val="00196B2D"/>
    <w:rsid w:val="001A1F1D"/>
    <w:rsid w:val="001A321E"/>
    <w:rsid w:val="001B1E59"/>
    <w:rsid w:val="001C648A"/>
    <w:rsid w:val="001C6633"/>
    <w:rsid w:val="001D048B"/>
    <w:rsid w:val="001D7ED4"/>
    <w:rsid w:val="00211BB3"/>
    <w:rsid w:val="00276ACB"/>
    <w:rsid w:val="0028088C"/>
    <w:rsid w:val="002936F8"/>
    <w:rsid w:val="002960EF"/>
    <w:rsid w:val="002A2FA1"/>
    <w:rsid w:val="002C5A14"/>
    <w:rsid w:val="002C6576"/>
    <w:rsid w:val="002E4FC0"/>
    <w:rsid w:val="00303A96"/>
    <w:rsid w:val="003113CC"/>
    <w:rsid w:val="00332D50"/>
    <w:rsid w:val="003462FB"/>
    <w:rsid w:val="0037312A"/>
    <w:rsid w:val="003751F6"/>
    <w:rsid w:val="00376235"/>
    <w:rsid w:val="00395C5F"/>
    <w:rsid w:val="0039775D"/>
    <w:rsid w:val="003A19D5"/>
    <w:rsid w:val="003C436B"/>
    <w:rsid w:val="003C59D5"/>
    <w:rsid w:val="003C64EA"/>
    <w:rsid w:val="003C7BCD"/>
    <w:rsid w:val="003D3D3F"/>
    <w:rsid w:val="003D79EF"/>
    <w:rsid w:val="003F6585"/>
    <w:rsid w:val="004107A8"/>
    <w:rsid w:val="00424441"/>
    <w:rsid w:val="00436D38"/>
    <w:rsid w:val="00442588"/>
    <w:rsid w:val="004526EB"/>
    <w:rsid w:val="00462095"/>
    <w:rsid w:val="004654E4"/>
    <w:rsid w:val="00477B9C"/>
    <w:rsid w:val="004936FE"/>
    <w:rsid w:val="004A6CFF"/>
    <w:rsid w:val="004A766F"/>
    <w:rsid w:val="004C1B6A"/>
    <w:rsid w:val="004C5181"/>
    <w:rsid w:val="004D0BC0"/>
    <w:rsid w:val="004D4190"/>
    <w:rsid w:val="004E02E8"/>
    <w:rsid w:val="004E0F4A"/>
    <w:rsid w:val="004E1E2A"/>
    <w:rsid w:val="004F2596"/>
    <w:rsid w:val="004F4E48"/>
    <w:rsid w:val="00500451"/>
    <w:rsid w:val="00510851"/>
    <w:rsid w:val="0051185D"/>
    <w:rsid w:val="005134D1"/>
    <w:rsid w:val="00520704"/>
    <w:rsid w:val="00524B31"/>
    <w:rsid w:val="00531C41"/>
    <w:rsid w:val="005325FF"/>
    <w:rsid w:val="00533ED0"/>
    <w:rsid w:val="00543F1D"/>
    <w:rsid w:val="00550F22"/>
    <w:rsid w:val="0055759A"/>
    <w:rsid w:val="00557694"/>
    <w:rsid w:val="00557787"/>
    <w:rsid w:val="00564589"/>
    <w:rsid w:val="005808DB"/>
    <w:rsid w:val="0059169C"/>
    <w:rsid w:val="005A019D"/>
    <w:rsid w:val="005A196A"/>
    <w:rsid w:val="005D1AD4"/>
    <w:rsid w:val="005D5413"/>
    <w:rsid w:val="005F5770"/>
    <w:rsid w:val="00612935"/>
    <w:rsid w:val="00622C1E"/>
    <w:rsid w:val="00641E2D"/>
    <w:rsid w:val="00654771"/>
    <w:rsid w:val="00670291"/>
    <w:rsid w:val="00670B70"/>
    <w:rsid w:val="006768BA"/>
    <w:rsid w:val="006773B5"/>
    <w:rsid w:val="00695943"/>
    <w:rsid w:val="00695FDE"/>
    <w:rsid w:val="006B03FD"/>
    <w:rsid w:val="006B2451"/>
    <w:rsid w:val="006C6B82"/>
    <w:rsid w:val="006D7631"/>
    <w:rsid w:val="006E07BD"/>
    <w:rsid w:val="006E6565"/>
    <w:rsid w:val="006E6AF6"/>
    <w:rsid w:val="006F3F87"/>
    <w:rsid w:val="0070088A"/>
    <w:rsid w:val="007024BC"/>
    <w:rsid w:val="00704CDA"/>
    <w:rsid w:val="0071222F"/>
    <w:rsid w:val="00733A52"/>
    <w:rsid w:val="00735B71"/>
    <w:rsid w:val="007417CC"/>
    <w:rsid w:val="007438A4"/>
    <w:rsid w:val="0074512E"/>
    <w:rsid w:val="00750FB2"/>
    <w:rsid w:val="00772FFA"/>
    <w:rsid w:val="007815EC"/>
    <w:rsid w:val="00782660"/>
    <w:rsid w:val="00792DB2"/>
    <w:rsid w:val="007A1E85"/>
    <w:rsid w:val="007C5CB5"/>
    <w:rsid w:val="007E41FF"/>
    <w:rsid w:val="007E5889"/>
    <w:rsid w:val="007E6D39"/>
    <w:rsid w:val="007F534E"/>
    <w:rsid w:val="007F7EC0"/>
    <w:rsid w:val="00811909"/>
    <w:rsid w:val="00823410"/>
    <w:rsid w:val="00824026"/>
    <w:rsid w:val="008501D3"/>
    <w:rsid w:val="00853D83"/>
    <w:rsid w:val="00876C80"/>
    <w:rsid w:val="00880D89"/>
    <w:rsid w:val="00885C43"/>
    <w:rsid w:val="00895FEF"/>
    <w:rsid w:val="008A2C11"/>
    <w:rsid w:val="008D0446"/>
    <w:rsid w:val="008E27AB"/>
    <w:rsid w:val="009046DD"/>
    <w:rsid w:val="00911B7A"/>
    <w:rsid w:val="00932E7E"/>
    <w:rsid w:val="00934296"/>
    <w:rsid w:val="00937BFD"/>
    <w:rsid w:val="00957110"/>
    <w:rsid w:val="009630AA"/>
    <w:rsid w:val="00963B0D"/>
    <w:rsid w:val="009648C4"/>
    <w:rsid w:val="009A02BA"/>
    <w:rsid w:val="009A0C51"/>
    <w:rsid w:val="009B4CF7"/>
    <w:rsid w:val="009B517A"/>
    <w:rsid w:val="009C7E1C"/>
    <w:rsid w:val="009D25AF"/>
    <w:rsid w:val="009D2C0E"/>
    <w:rsid w:val="009F59E1"/>
    <w:rsid w:val="00A13FE0"/>
    <w:rsid w:val="00A1691B"/>
    <w:rsid w:val="00A34699"/>
    <w:rsid w:val="00A36951"/>
    <w:rsid w:val="00A52A90"/>
    <w:rsid w:val="00A67CA6"/>
    <w:rsid w:val="00A83B1B"/>
    <w:rsid w:val="00A876AC"/>
    <w:rsid w:val="00AA2426"/>
    <w:rsid w:val="00AA5F79"/>
    <w:rsid w:val="00AC19F1"/>
    <w:rsid w:val="00AC2B9E"/>
    <w:rsid w:val="00AC4663"/>
    <w:rsid w:val="00AD4B47"/>
    <w:rsid w:val="00AF328D"/>
    <w:rsid w:val="00B1195E"/>
    <w:rsid w:val="00B24705"/>
    <w:rsid w:val="00B44257"/>
    <w:rsid w:val="00B56DC9"/>
    <w:rsid w:val="00B6718E"/>
    <w:rsid w:val="00B81BC6"/>
    <w:rsid w:val="00BB3434"/>
    <w:rsid w:val="00BC15ED"/>
    <w:rsid w:val="00BC5596"/>
    <w:rsid w:val="00BC7E28"/>
    <w:rsid w:val="00BD0535"/>
    <w:rsid w:val="00BD1C8F"/>
    <w:rsid w:val="00BD5B10"/>
    <w:rsid w:val="00BF07BE"/>
    <w:rsid w:val="00BF65CE"/>
    <w:rsid w:val="00BF7016"/>
    <w:rsid w:val="00C0131C"/>
    <w:rsid w:val="00C24EF9"/>
    <w:rsid w:val="00C255AE"/>
    <w:rsid w:val="00C30471"/>
    <w:rsid w:val="00C62562"/>
    <w:rsid w:val="00C66341"/>
    <w:rsid w:val="00C7310C"/>
    <w:rsid w:val="00C773D8"/>
    <w:rsid w:val="00CA5FB4"/>
    <w:rsid w:val="00CB1B55"/>
    <w:rsid w:val="00CB290E"/>
    <w:rsid w:val="00CC68AB"/>
    <w:rsid w:val="00CD6161"/>
    <w:rsid w:val="00CE1797"/>
    <w:rsid w:val="00CE563E"/>
    <w:rsid w:val="00CE7E88"/>
    <w:rsid w:val="00CF37A2"/>
    <w:rsid w:val="00D040CC"/>
    <w:rsid w:val="00D05BF0"/>
    <w:rsid w:val="00D23603"/>
    <w:rsid w:val="00D2368B"/>
    <w:rsid w:val="00D24654"/>
    <w:rsid w:val="00D60674"/>
    <w:rsid w:val="00DB6B9E"/>
    <w:rsid w:val="00DC4156"/>
    <w:rsid w:val="00DC4FB0"/>
    <w:rsid w:val="00DE12D3"/>
    <w:rsid w:val="00DE1F77"/>
    <w:rsid w:val="00E047C4"/>
    <w:rsid w:val="00E52741"/>
    <w:rsid w:val="00E5362D"/>
    <w:rsid w:val="00E64EB2"/>
    <w:rsid w:val="00E74B56"/>
    <w:rsid w:val="00E858C0"/>
    <w:rsid w:val="00E93643"/>
    <w:rsid w:val="00E9636F"/>
    <w:rsid w:val="00EB581D"/>
    <w:rsid w:val="00EB5D7A"/>
    <w:rsid w:val="00EC34F7"/>
    <w:rsid w:val="00EC6861"/>
    <w:rsid w:val="00EC7FA6"/>
    <w:rsid w:val="00EE0254"/>
    <w:rsid w:val="00EF086E"/>
    <w:rsid w:val="00F169A0"/>
    <w:rsid w:val="00F4186C"/>
    <w:rsid w:val="00F55AFE"/>
    <w:rsid w:val="00F93CEC"/>
    <w:rsid w:val="00FB3B4C"/>
    <w:rsid w:val="02A1D714"/>
    <w:rsid w:val="0832A6B3"/>
    <w:rsid w:val="098A452C"/>
    <w:rsid w:val="09A3E492"/>
    <w:rsid w:val="0BC37BC6"/>
    <w:rsid w:val="1227BA6E"/>
    <w:rsid w:val="13B1CEC3"/>
    <w:rsid w:val="15CE6474"/>
    <w:rsid w:val="172B74D5"/>
    <w:rsid w:val="2120E269"/>
    <w:rsid w:val="232C2154"/>
    <w:rsid w:val="2B5C8157"/>
    <w:rsid w:val="30B5BB36"/>
    <w:rsid w:val="40121F6F"/>
    <w:rsid w:val="46111121"/>
    <w:rsid w:val="46DA2808"/>
    <w:rsid w:val="4D0E68A2"/>
    <w:rsid w:val="4E8B605A"/>
    <w:rsid w:val="525EA8D1"/>
    <w:rsid w:val="59B25891"/>
    <w:rsid w:val="5C015223"/>
    <w:rsid w:val="5DF320F5"/>
    <w:rsid w:val="5EF07E07"/>
    <w:rsid w:val="686A632C"/>
    <w:rsid w:val="74F1A771"/>
    <w:rsid w:val="7609E3EE"/>
    <w:rsid w:val="7D009CA5"/>
    <w:rsid w:val="7D6FBA63"/>
    <w:rsid w:val="7FD077E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60101"/>
  <w15:chartTrackingRefBased/>
  <w15:docId w15:val="{03467658-A53B-4ADC-AEE4-BF967E77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3C9"/>
    <w:rPr>
      <w:color w:val="000000" w:themeColor="text1"/>
    </w:rPr>
  </w:style>
  <w:style w:type="paragraph" w:styleId="Overskrift2">
    <w:name w:val="heading 2"/>
    <w:basedOn w:val="Normal"/>
    <w:next w:val="Normal"/>
    <w:link w:val="Overskrift2Tegn"/>
    <w:uiPriority w:val="9"/>
    <w:unhideWhenUsed/>
    <w:qFormat/>
    <w:rsid w:val="000233C9"/>
    <w:pPr>
      <w:keepNext/>
      <w:keepLines/>
      <w:spacing w:before="200" w:after="0"/>
      <w:outlineLvl w:val="1"/>
    </w:pPr>
    <w:rPr>
      <w:rFonts w:eastAsiaTheme="majorEastAsia" w:cstheme="majorBidi"/>
      <w:b/>
      <w:bCs/>
      <w:sz w:val="3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basedOn w:val="Standardskriftforavsnitt"/>
    <w:link w:val="Overskrift2"/>
    <w:uiPriority w:val="9"/>
    <w:rsid w:val="000233C9"/>
    <w:rPr>
      <w:rFonts w:eastAsiaTheme="majorEastAsia" w:cstheme="majorBidi"/>
      <w:b/>
      <w:bCs/>
      <w:color w:val="000000" w:themeColor="text1"/>
      <w:sz w:val="36"/>
      <w:szCs w:val="26"/>
    </w:rPr>
  </w:style>
  <w:style w:type="paragraph" w:styleId="Topptekst">
    <w:name w:val="header"/>
    <w:basedOn w:val="Normal"/>
    <w:link w:val="TopptekstTegn"/>
    <w:uiPriority w:val="99"/>
    <w:unhideWhenUsed/>
    <w:rsid w:val="000233C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233C9"/>
    <w:rPr>
      <w:color w:val="000000" w:themeColor="text1"/>
    </w:rPr>
  </w:style>
  <w:style w:type="paragraph" w:styleId="Bunntekst">
    <w:name w:val="footer"/>
    <w:basedOn w:val="Normal"/>
    <w:link w:val="BunntekstTegn"/>
    <w:unhideWhenUsed/>
    <w:rsid w:val="000233C9"/>
    <w:pPr>
      <w:tabs>
        <w:tab w:val="center" w:pos="4536"/>
        <w:tab w:val="right" w:pos="9072"/>
      </w:tabs>
      <w:spacing w:after="0" w:line="240" w:lineRule="auto"/>
    </w:pPr>
  </w:style>
  <w:style w:type="character" w:customStyle="1" w:styleId="BunntekstTegn">
    <w:name w:val="Bunntekst Tegn"/>
    <w:basedOn w:val="Standardskriftforavsnitt"/>
    <w:link w:val="Bunntekst"/>
    <w:rsid w:val="000233C9"/>
    <w:rPr>
      <w:color w:val="000000" w:themeColor="text1"/>
    </w:rPr>
  </w:style>
  <w:style w:type="table" w:styleId="Tabellrutenett">
    <w:name w:val="Table Grid"/>
    <w:basedOn w:val="Vanligtabell"/>
    <w:uiPriority w:val="59"/>
    <w:rsid w:val="000233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nmellomrom">
    <w:name w:val="No Spacing"/>
    <w:uiPriority w:val="1"/>
    <w:qFormat/>
    <w:rsid w:val="000233C9"/>
    <w:pPr>
      <w:spacing w:after="0" w:line="240" w:lineRule="auto"/>
    </w:pPr>
    <w:rPr>
      <w:color w:val="000000" w:themeColor="text1"/>
    </w:rPr>
  </w:style>
  <w:style w:type="character" w:styleId="Sidetall">
    <w:name w:val="page number"/>
    <w:basedOn w:val="Standardskriftforavsnitt"/>
    <w:rsid w:val="000233C9"/>
  </w:style>
  <w:style w:type="character" w:styleId="Hyperkobling">
    <w:name w:val="Hyperlink"/>
    <w:basedOn w:val="Standardskriftforavsnitt"/>
    <w:uiPriority w:val="99"/>
    <w:unhideWhenUsed/>
    <w:rsid w:val="000233C9"/>
    <w:rPr>
      <w:color w:val="0563C1" w:themeColor="hyperlink"/>
      <w:u w:val="single"/>
    </w:rPr>
  </w:style>
  <w:style w:type="character" w:styleId="Merknadsreferanse">
    <w:name w:val="annotation reference"/>
    <w:basedOn w:val="Standardskriftforavsnitt"/>
    <w:uiPriority w:val="99"/>
    <w:semiHidden/>
    <w:unhideWhenUsed/>
    <w:rsid w:val="000233C9"/>
    <w:rPr>
      <w:sz w:val="16"/>
      <w:szCs w:val="16"/>
    </w:rPr>
  </w:style>
  <w:style w:type="paragraph" w:styleId="Merknadstekst">
    <w:name w:val="annotation text"/>
    <w:basedOn w:val="Normal"/>
    <w:link w:val="MerknadstekstTegn"/>
    <w:uiPriority w:val="99"/>
    <w:unhideWhenUsed/>
    <w:rsid w:val="000233C9"/>
    <w:pPr>
      <w:spacing w:line="240" w:lineRule="auto"/>
    </w:pPr>
    <w:rPr>
      <w:sz w:val="20"/>
      <w:szCs w:val="20"/>
    </w:rPr>
  </w:style>
  <w:style w:type="character" w:customStyle="1" w:styleId="MerknadstekstTegn">
    <w:name w:val="Merknadstekst Tegn"/>
    <w:basedOn w:val="Standardskriftforavsnitt"/>
    <w:link w:val="Merknadstekst"/>
    <w:uiPriority w:val="99"/>
    <w:rsid w:val="000233C9"/>
    <w:rPr>
      <w:color w:val="000000" w:themeColor="text1"/>
      <w:sz w:val="20"/>
      <w:szCs w:val="20"/>
    </w:rPr>
  </w:style>
  <w:style w:type="character" w:styleId="Omtale">
    <w:name w:val="Mention"/>
    <w:basedOn w:val="Standardskriftforavsnitt"/>
    <w:uiPriority w:val="99"/>
    <w:unhideWhenUsed/>
    <w:rsid w:val="000233C9"/>
    <w:rPr>
      <w:color w:val="2B579A"/>
      <w:shd w:val="clear" w:color="auto" w:fill="E1DFDD"/>
    </w:rPr>
  </w:style>
  <w:style w:type="paragraph" w:styleId="Sluttnotetekst">
    <w:name w:val="endnote text"/>
    <w:basedOn w:val="Normal"/>
    <w:link w:val="SluttnotetekstTegn"/>
    <w:uiPriority w:val="99"/>
    <w:semiHidden/>
    <w:unhideWhenUsed/>
    <w:rsid w:val="000233C9"/>
    <w:pPr>
      <w:spacing w:after="0" w:line="240" w:lineRule="auto"/>
    </w:pPr>
    <w:rPr>
      <w:sz w:val="20"/>
      <w:szCs w:val="20"/>
    </w:rPr>
  </w:style>
  <w:style w:type="character" w:customStyle="1" w:styleId="SluttnotetekstTegn">
    <w:name w:val="Sluttnotetekst Tegn"/>
    <w:basedOn w:val="Standardskriftforavsnitt"/>
    <w:link w:val="Sluttnotetekst"/>
    <w:uiPriority w:val="99"/>
    <w:semiHidden/>
    <w:rsid w:val="000233C9"/>
    <w:rPr>
      <w:color w:val="000000" w:themeColor="text1"/>
      <w:sz w:val="20"/>
      <w:szCs w:val="20"/>
    </w:rPr>
  </w:style>
  <w:style w:type="character" w:styleId="Sluttnotereferanse">
    <w:name w:val="endnote reference"/>
    <w:basedOn w:val="Standardskriftforavsnitt"/>
    <w:uiPriority w:val="99"/>
    <w:semiHidden/>
    <w:unhideWhenUsed/>
    <w:rsid w:val="000233C9"/>
    <w:rPr>
      <w:vertAlign w:val="superscript"/>
    </w:rPr>
  </w:style>
  <w:style w:type="character" w:customStyle="1" w:styleId="normaltextrun">
    <w:name w:val="normaltextrun"/>
    <w:basedOn w:val="Standardskriftforavsnitt"/>
    <w:rsid w:val="007F534E"/>
  </w:style>
  <w:style w:type="character" w:styleId="Ulstomtale">
    <w:name w:val="Unresolved Mention"/>
    <w:basedOn w:val="Standardskriftforavsnitt"/>
    <w:uiPriority w:val="99"/>
    <w:semiHidden/>
    <w:unhideWhenUsed/>
    <w:rsid w:val="008A2C11"/>
    <w:rPr>
      <w:color w:val="605E5C"/>
      <w:shd w:val="clear" w:color="auto" w:fill="E1DFDD"/>
    </w:rPr>
  </w:style>
  <w:style w:type="paragraph" w:styleId="Kommentaremne">
    <w:name w:val="annotation subject"/>
    <w:basedOn w:val="Merknadstekst"/>
    <w:next w:val="Merknadstekst"/>
    <w:link w:val="KommentaremneTegn"/>
    <w:uiPriority w:val="99"/>
    <w:semiHidden/>
    <w:unhideWhenUsed/>
    <w:rsid w:val="00695FDE"/>
    <w:rPr>
      <w:b/>
      <w:bCs/>
    </w:rPr>
  </w:style>
  <w:style w:type="character" w:customStyle="1" w:styleId="KommentaremneTegn">
    <w:name w:val="Kommentaremne Tegn"/>
    <w:basedOn w:val="MerknadstekstTegn"/>
    <w:link w:val="Kommentaremne"/>
    <w:uiPriority w:val="99"/>
    <w:semiHidden/>
    <w:rsid w:val="00695FDE"/>
    <w:rPr>
      <w:b/>
      <w:bCs/>
      <w:color w:val="000000" w:themeColor="text1"/>
      <w:sz w:val="20"/>
      <w:szCs w:val="20"/>
    </w:rPr>
  </w:style>
  <w:style w:type="paragraph" w:styleId="Revisjon">
    <w:name w:val="Revision"/>
    <w:hidden/>
    <w:uiPriority w:val="99"/>
    <w:semiHidden/>
    <w:rsid w:val="000972A2"/>
    <w:pPr>
      <w:spacing w:after="0" w:line="240" w:lineRule="auto"/>
    </w:pPr>
    <w:rPr>
      <w:color w:val="000000" w:themeColor="text1"/>
    </w:rPr>
  </w:style>
  <w:style w:type="character" w:styleId="Fulgthyperkobling">
    <w:name w:val="FollowedHyperlink"/>
    <w:basedOn w:val="Standardskriftforavsnitt"/>
    <w:uiPriority w:val="99"/>
    <w:semiHidden/>
    <w:unhideWhenUsed/>
    <w:rsid w:val="00477B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kdir.no/en/guidelines-and-tools-for-responsible-international-knowledge-coopera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ukraina@hkdir.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spresso.hkdir.no/login?1"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kdir.no/spredning-av-prosjektresulta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3D173B90734304CBDCBAA2E57E3E6F0" ma:contentTypeVersion="8" ma:contentTypeDescription="Opprett et nytt dokument." ma:contentTypeScope="" ma:versionID="7f6602d71897db1f40ca7fc6655a394d">
  <xsd:schema xmlns:xsd="http://www.w3.org/2001/XMLSchema" xmlns:xs="http://www.w3.org/2001/XMLSchema" xmlns:p="http://schemas.microsoft.com/office/2006/metadata/properties" xmlns:ns2="fece2902-b34a-4503-9084-58d3448d1b6f" targetNamespace="http://schemas.microsoft.com/office/2006/metadata/properties" ma:root="true" ma:fieldsID="e243789437e6679ca0acbea0821d1154" ns2:_="">
    <xsd:import namespace="fece2902-b34a-4503-9084-58d3448d1b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e2902-b34a-4503-9084-58d3448d1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6C446C-5F74-4AE1-AA98-C74E0B2F023D}">
  <ds:schemaRefs>
    <ds:schemaRef ds:uri="http://schemas.microsoft.com/sharepoint/v3/contenttype/forms"/>
  </ds:schemaRefs>
</ds:datastoreItem>
</file>

<file path=customXml/itemProps2.xml><?xml version="1.0" encoding="utf-8"?>
<ds:datastoreItem xmlns:ds="http://schemas.openxmlformats.org/officeDocument/2006/customXml" ds:itemID="{2A5C391D-7D2A-45B9-BEDC-0ED53D5346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e2902-b34a-4503-9084-58d3448d1b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BEE83-6B21-47BC-AFAF-773C2CEC4D3E}">
  <ds:schemaRefs>
    <ds:schemaRef ds:uri="http://schemas.openxmlformats.org/officeDocument/2006/bibliography"/>
  </ds:schemaRefs>
</ds:datastoreItem>
</file>

<file path=customXml/itemProps4.xml><?xml version="1.0" encoding="utf-8"?>
<ds:datastoreItem xmlns:ds="http://schemas.openxmlformats.org/officeDocument/2006/customXml" ds:itemID="{9613EB61-E060-4C69-B0AD-016D01C02E79}">
  <ds:schemaRefs>
    <ds:schemaRef ds:uri="fece2902-b34a-4503-9084-58d3448d1b6f"/>
    <ds:schemaRef ds:uri="http://purl.org/dc/term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2049</Words>
  <Characters>10864</Characters>
  <Application>Microsoft Office Word</Application>
  <DocSecurity>0</DocSecurity>
  <Lines>90</Lines>
  <Paragraphs>25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Torgeir Hovden</dc:creator>
  <cp:keywords/>
  <dc:description/>
  <cp:lastModifiedBy>Herdis Kolle</cp:lastModifiedBy>
  <cp:revision>2</cp:revision>
  <dcterms:created xsi:type="dcterms:W3CDTF">2025-12-01T08:49:00Z</dcterms:created>
  <dcterms:modified xsi:type="dcterms:W3CDTF">2025-12-01T08:49:00Z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0x010100F3D173B90734304CBDCBAA2E57E3E6F0</vt:lpwstr>
  </property>
  <property fmtid="{D5CDD505-2E9C-101B-9397-08002B2CF9AE}" pid="3" name="TaxKeyword">
    <vt:lpwstr/>
  </property>
  <property fmtid="{D5CDD505-2E9C-101B-9397-08002B2CF9AE}" pid="4" name="Order">
    <vt:r8>223900</vt:r8>
  </property>
  <property fmtid="{D5CDD505-2E9C-101B-9397-08002B2CF9AE}" pid="5" name="xd_Signature">
    <vt:bool>false</vt:bool>
  </property>
  <property fmtid="{D5CDD505-2E9C-101B-9397-08002B2CF9AE}" pid="6" name="Ekstern">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Arkivverdig">
    <vt:bool>false</vt:bool>
  </property>
  <property fmtid="{D5CDD505-2E9C-101B-9397-08002B2CF9AE}" pid="11" name="_ExtendedDescription">
    <vt:lpwstr/>
  </property>
  <property fmtid="{D5CDD505-2E9C-101B-9397-08002B2CF9AE}" pid="12" name="Klassifisering">
    <vt:lpwstr>Intern</vt:lpwstr>
  </property>
  <property fmtid="{D5CDD505-2E9C-101B-9397-08002B2CF9AE}" pid="13" name="TriggerFlowInfo">
    <vt:lpwstr/>
  </property>
  <property fmtid="{D5CDD505-2E9C-101B-9397-08002B2CF9AE}" pid="14" name="MediaServiceImageTags">
    <vt:lpwstr/>
  </property>
  <property fmtid="{D5CDD505-2E9C-101B-9397-08002B2CF9AE}" pid="15" name="MSIP_Label_2724d2c2-06b5-4830-8a42-89f80414a936_Enabled">
    <vt:lpwstr>true</vt:lpwstr>
  </property>
  <property fmtid="{D5CDD505-2E9C-101B-9397-08002B2CF9AE}" pid="16" name="MSIP_Label_2724d2c2-06b5-4830-8a42-89f80414a936_SetDate">
    <vt:lpwstr>2025-11-12T14:04:32Z</vt:lpwstr>
  </property>
  <property fmtid="{D5CDD505-2E9C-101B-9397-08002B2CF9AE}" pid="17" name="MSIP_Label_2724d2c2-06b5-4830-8a42-89f80414a936_Method">
    <vt:lpwstr>Privileged</vt:lpwstr>
  </property>
  <property fmtid="{D5CDD505-2E9C-101B-9397-08002B2CF9AE}" pid="18" name="MSIP_Label_2724d2c2-06b5-4830-8a42-89f80414a936_Name">
    <vt:lpwstr>Intern</vt:lpwstr>
  </property>
  <property fmtid="{D5CDD505-2E9C-101B-9397-08002B2CF9AE}" pid="19" name="MSIP_Label_2724d2c2-06b5-4830-8a42-89f80414a936_SiteId">
    <vt:lpwstr>1ec46890-73f8-4a2a-9b2c-9a6611f1c922</vt:lpwstr>
  </property>
  <property fmtid="{D5CDD505-2E9C-101B-9397-08002B2CF9AE}" pid="20" name="MSIP_Label_2724d2c2-06b5-4830-8a42-89f80414a936_ActionId">
    <vt:lpwstr>4bd84c1b-47e8-425a-b75e-14ec83d09deb</vt:lpwstr>
  </property>
  <property fmtid="{D5CDD505-2E9C-101B-9397-08002B2CF9AE}" pid="21" name="MSIP_Label_2724d2c2-06b5-4830-8a42-89f80414a936_ContentBits">
    <vt:lpwstr>0</vt:lpwstr>
  </property>
  <property fmtid="{D5CDD505-2E9C-101B-9397-08002B2CF9AE}" pid="22" name="MSIP_Label_2724d2c2-06b5-4830-8a42-89f80414a936_Tag">
    <vt:lpwstr>10, 0, 1, 1</vt:lpwstr>
  </property>
</Properties>
</file>