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11B6C" w14:textId="14FC6BE6" w:rsidR="000233C9" w:rsidRPr="003462FB" w:rsidRDefault="000233C9" w:rsidP="000233C9">
      <w:pPr>
        <w:pStyle w:val="Ingenmellomrom"/>
        <w:jc w:val="center"/>
        <w:rPr>
          <w:b/>
          <w:bCs/>
          <w:sz w:val="44"/>
          <w:szCs w:val="44"/>
        </w:rPr>
      </w:pPr>
      <w:r w:rsidRPr="003462FB">
        <w:rPr>
          <w:b/>
          <w:bCs/>
          <w:sz w:val="44"/>
          <w:szCs w:val="44"/>
        </w:rPr>
        <w:t>PROJECT DESCRIPTION</w:t>
      </w:r>
      <w:r w:rsidR="00B44257">
        <w:rPr>
          <w:b/>
          <w:bCs/>
          <w:sz w:val="44"/>
          <w:szCs w:val="44"/>
        </w:rPr>
        <w:t xml:space="preserve"> NANSEN EDU 2025</w:t>
      </w:r>
    </w:p>
    <w:p w14:paraId="11A5E9E9" w14:textId="77777777" w:rsidR="000233C9" w:rsidRPr="003462FB" w:rsidRDefault="000233C9" w:rsidP="000233C9">
      <w:pPr>
        <w:pStyle w:val="Ingenmellomrom"/>
      </w:pPr>
    </w:p>
    <w:tbl>
      <w:tblPr>
        <w:tblStyle w:val="Tabellrutenett"/>
        <w:tblW w:w="0" w:type="auto"/>
        <w:tblLook w:val="04A0" w:firstRow="1" w:lastRow="0" w:firstColumn="1" w:lastColumn="0" w:noHBand="0" w:noVBand="1"/>
      </w:tblPr>
      <w:tblGrid>
        <w:gridCol w:w="2122"/>
        <w:gridCol w:w="7506"/>
      </w:tblGrid>
      <w:tr w:rsidR="000233C9" w:rsidRPr="003462FB" w14:paraId="3A1B461F" w14:textId="77777777" w:rsidTr="006B03FD">
        <w:tc>
          <w:tcPr>
            <w:tcW w:w="2122" w:type="dxa"/>
            <w:shd w:val="clear" w:color="auto" w:fill="F7CAAC" w:themeFill="accent2" w:themeFillTint="66"/>
          </w:tcPr>
          <w:p w14:paraId="250B43DF" w14:textId="77777777" w:rsidR="000233C9" w:rsidRPr="003462FB" w:rsidRDefault="000233C9" w:rsidP="006B03FD">
            <w:pPr>
              <w:pStyle w:val="Ingenmellomrom"/>
              <w:rPr>
                <w:b/>
                <w:bCs/>
              </w:rPr>
            </w:pPr>
            <w:r w:rsidRPr="003462FB">
              <w:rPr>
                <w:b/>
                <w:bCs/>
              </w:rPr>
              <w:t>Project number:</w:t>
            </w:r>
          </w:p>
        </w:tc>
        <w:tc>
          <w:tcPr>
            <w:tcW w:w="7506" w:type="dxa"/>
          </w:tcPr>
          <w:p w14:paraId="3C378CA4" w14:textId="77777777" w:rsidR="000233C9" w:rsidRPr="003462FB" w:rsidRDefault="000233C9" w:rsidP="006B03FD">
            <w:pPr>
              <w:pStyle w:val="Ingenmellomrom"/>
            </w:pPr>
            <w:r w:rsidRPr="003462FB">
              <w:t>Enter the project number from the online application form in Espresso.</w:t>
            </w:r>
          </w:p>
        </w:tc>
      </w:tr>
      <w:tr w:rsidR="000233C9" w:rsidRPr="003462FB" w14:paraId="402479C5" w14:textId="77777777" w:rsidTr="006B03FD">
        <w:tc>
          <w:tcPr>
            <w:tcW w:w="2122" w:type="dxa"/>
            <w:shd w:val="clear" w:color="auto" w:fill="F7CAAC" w:themeFill="accent2" w:themeFillTint="66"/>
          </w:tcPr>
          <w:p w14:paraId="435DE53C" w14:textId="77777777" w:rsidR="000233C9" w:rsidRPr="003462FB" w:rsidRDefault="000233C9" w:rsidP="006B03FD">
            <w:pPr>
              <w:pStyle w:val="Ingenmellomrom"/>
              <w:rPr>
                <w:b/>
                <w:bCs/>
              </w:rPr>
            </w:pPr>
            <w:r w:rsidRPr="003462FB">
              <w:rPr>
                <w:b/>
                <w:bCs/>
              </w:rPr>
              <w:t>Project title:</w:t>
            </w:r>
          </w:p>
        </w:tc>
        <w:tc>
          <w:tcPr>
            <w:tcW w:w="7506" w:type="dxa"/>
          </w:tcPr>
          <w:p>
            <w:r>
              <w:t>Smart Grid and Green Energy Transition Education for Ukraine (SmartGreen-UA)</w:t>
            </w:r>
          </w:p>
        </w:tc>
      </w:tr>
      <w:tr w:rsidR="000233C9" w:rsidRPr="003462FB" w14:paraId="452A1CE6" w14:textId="77777777" w:rsidTr="006B03FD">
        <w:tc>
          <w:tcPr>
            <w:tcW w:w="2122" w:type="dxa"/>
            <w:shd w:val="clear" w:color="auto" w:fill="F7CAAC" w:themeFill="accent2" w:themeFillTint="66"/>
          </w:tcPr>
          <w:p w14:paraId="526047D1" w14:textId="77777777" w:rsidR="000233C9" w:rsidRPr="003462FB" w:rsidRDefault="000233C9" w:rsidP="006B03FD">
            <w:pPr>
              <w:pStyle w:val="Ingenmellomrom"/>
              <w:rPr>
                <w:b/>
                <w:bCs/>
              </w:rPr>
            </w:pPr>
            <w:r w:rsidRPr="003462FB">
              <w:rPr>
                <w:b/>
                <w:bCs/>
              </w:rPr>
              <w:t>Applicant institution:</w:t>
            </w:r>
          </w:p>
        </w:tc>
        <w:tc>
          <w:tcPr>
            <w:tcW w:w="7506" w:type="dxa"/>
          </w:tcPr>
          <w:p>
            <w:r>
              <w:t>NTNU — Norwegian University of Science and Technology</w:t>
            </w:r>
          </w:p>
        </w:tc>
      </w:tr>
    </w:tbl>
    <w:p w14:paraId="7BA37F90" w14:textId="77777777" w:rsidR="000233C9" w:rsidRPr="003462FB" w:rsidRDefault="000233C9" w:rsidP="000233C9">
      <w:pPr>
        <w:pStyle w:val="Ingenmellomrom"/>
      </w:pPr>
    </w:p>
    <w:p w14:paraId="4E93097A" w14:textId="77777777" w:rsidR="000233C9" w:rsidRPr="003462FB" w:rsidRDefault="000233C9" w:rsidP="000233C9">
      <w:pPr>
        <w:pStyle w:val="Ingenmellomrom"/>
      </w:pPr>
    </w:p>
    <w:p w14:paraId="0BCFF2B3" w14:textId="77777777" w:rsidR="000233C9" w:rsidRPr="003462FB" w:rsidRDefault="000233C9" w:rsidP="000233C9">
      <w:pPr>
        <w:spacing w:after="200" w:line="276" w:lineRule="auto"/>
        <w:rPr>
          <w:rFonts w:eastAsiaTheme="majorEastAsia" w:cstheme="minorHAnsi"/>
          <w:b/>
          <w:bCs/>
          <w:sz w:val="32"/>
          <w:szCs w:val="32"/>
        </w:rPr>
      </w:pPr>
      <w:r w:rsidRPr="003462FB">
        <w:br w:type="page"/>
      </w:r>
    </w:p>
    <w:p w14:paraId="439E6291"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1</w:t>
      </w:r>
      <w:r w:rsidRPr="003462FB">
        <w:rPr>
          <w:b/>
          <w:bCs/>
          <w:sz w:val="32"/>
          <w:szCs w:val="32"/>
        </w:rPr>
        <w:tab/>
        <w:t>Relevance of the project</w:t>
      </w:r>
    </w:p>
    <w:p w14:paraId="510AF068" w14:textId="77777777" w:rsidR="000233C9" w:rsidRPr="003462FB" w:rsidRDefault="000233C9" w:rsidP="000233C9">
      <w:pPr>
        <w:pStyle w:val="Ingenmellomrom"/>
        <w:rPr>
          <w:b/>
          <w:bCs/>
        </w:rPr>
      </w:pPr>
    </w:p>
    <w:p w14:paraId="2BB59462" w14:textId="720A48CC" w:rsidR="000233C9" w:rsidRPr="003462FB" w:rsidRDefault="000233C9" w:rsidP="000233C9">
      <w:pPr>
        <w:pStyle w:val="Ingenmellomrom"/>
        <w:rPr>
          <w:b/>
          <w:bCs/>
        </w:rPr>
      </w:pPr>
      <w:r w:rsidRPr="003462FB">
        <w:rPr>
          <w:b/>
          <w:bCs/>
        </w:rPr>
        <w:t>1.1</w:t>
      </w:r>
      <w:r w:rsidRPr="003462FB">
        <w:rPr>
          <w:b/>
          <w:bCs/>
        </w:rPr>
        <w:tab/>
        <w:t xml:space="preserve"> Background and needs of the project </w:t>
      </w:r>
    </w:p>
    <w:p w14:paraId="700A3BD4" w14:textId="77777777" w:rsidR="000233C9" w:rsidRPr="003462FB" w:rsidRDefault="000233C9" w:rsidP="000233C9">
      <w:pPr>
        <w:pStyle w:val="Ingenmellomrom"/>
      </w:pPr>
    </w:p>
    <w:p w14:paraId="2BF94707" w14:textId="77777777" w:rsidR="000233C9" w:rsidRPr="003462FB" w:rsidRDefault="000233C9" w:rsidP="000233C9">
      <w:pPr>
        <w:pStyle w:val="Ingenmellomrom"/>
      </w:pPr>
    </w:p>
    <w:p w14:paraId="1526B522" w14:textId="758671D8" w:rsidR="000233C9" w:rsidRPr="003462FB" w:rsidRDefault="000233C9" w:rsidP="000233C9">
      <w:pPr/>
      <w:r>
        <w:rPr>
          <w:rFonts w:ascii="Arial" w:hAnsi="Arial"/>
          <w:color w:val="000000"/>
          <w:sz w:val="22"/>
        </w:rPr>
        <w:t>## 1.1 Background and Needs of the Project</w:t>
      </w:r>
    </w:p>
    <w:p>
      <w:pPr/>
      <w:r>
        <w:rPr>
          <w:rFonts w:ascii="Arial" w:hAnsi="Arial"/>
          <w:color w:val="000000"/>
          <w:sz w:val="22"/>
        </w:rPr>
        <w:t>### The Energy Crisis Confronting Ukraine's Reconstruction</w:t>
      </w:r>
    </w:p>
    <w:p>
      <w:pPr/>
      <w:r>
        <w:rPr>
          <w:rFonts w:ascii="Arial" w:hAnsi="Arial"/>
          <w:color w:val="000000"/>
          <w:sz w:val="22"/>
        </w:rPr>
        <w:t>Ukraine faces an energy catastrophe unprecedented in modern European history. Since February 2022, systematic Russian strikes have destroyed or severely damaged an estimated 70–80% of Ukraine's thermal and hydroelectric generation capacity [1]. The Zaporizhzhia Nuclear Power Plant (ZNPP) — Europe's largest, with 6,000 MW of installed capacity — has been under Russian occupation since March 2022, removing its electricity from Ukraine's grid entirely. The November 2024 Russian missile campaign destroyed a further 4 GW of generation capacity in a single week, leaving millions of Ukrainians without heat and electricity during winter. Ukraine's transmission system operator Ukrenergo reports that the integrated power system has lost over 9 GW of net dispatchable capacity, while demand management, distributed renewable generation, and grid resilience have become existential national priorities rather than technical aspirations [2].</w:t>
      </w:r>
    </w:p>
    <w:p>
      <w:pPr/>
      <w:r>
        <w:rPr>
          <w:rFonts w:ascii="Arial" w:hAnsi="Arial"/>
          <w:color w:val="000000"/>
          <w:sz w:val="22"/>
        </w:rPr>
        <w:t>Reconstruction of Ukraine's energy sector is explicitly identified in the Ukraine Recovery and Development Plan (Ukraine Recovery Conference, Berlin 2024) as a first-tier priority, with investments exceeding EUR 17 billion required in the energy sector alone. Crucially, the plan calls not merely for restoring pre-war infrastructure but for a 'build back better' approach that embeds smart grid technologies, renewables integration, advanced metering infrastructure (AMI), demand response systems, and digital energy management as foundational elements of a modernised grid [3]. This transition requires a generation of engineers, operators, and energy planners who did not exist in Ukrainian higher education before the war — and who cannot be produced under existing curricula.</w:t>
      </w:r>
    </w:p>
    <w:p>
      <w:pPr/>
      <w:r>
        <w:rPr>
          <w:rFonts w:ascii="Arial" w:hAnsi="Arial"/>
          <w:color w:val="000000"/>
          <w:sz w:val="22"/>
        </w:rPr>
        <w:t>### The Zaporizhzhia Context: Ground Zero for Energy Reconstruction</w:t>
      </w:r>
    </w:p>
    <w:p>
      <w:pPr/>
      <w:r>
        <w:rPr>
          <w:rFonts w:ascii="Arial" w:hAnsi="Arial"/>
          <w:color w:val="000000"/>
          <w:sz w:val="22"/>
        </w:rPr>
        <w:t>Zaporizhzhia region sits at the epicentre of both the energy catastrophe and the reconstruction imperative. Before the war, Zaporizhzhia oblast hosted the ZNPP, the Dnipro Hydroelectric Station (Ukraine's largest, 1,538 MW, severely damaged by Russian strikes in 2022), five major thermal power units, and a concentration of energy-intensive heavy industry unmatched elsewhere in Ukraine. The region produced over 25% of Ukraine's pre-war electricity. Today, it is a frontline zone: the city of Zaporizhzhia is subject to regular missile and drone attacks, with documented strikes on energy infrastructure including the Dnipro HPP transformer yard and the regional electricity distribution network. Entire sub-districts have experienced grid islanding and prolonged blackouts lasting 12–20 hours per day during winter 2023–24 [4].</w:t>
      </w:r>
    </w:p>
    <w:p>
      <w:pPr/>
      <w:r>
        <w:rPr>
          <w:rFonts w:ascii="Arial" w:hAnsi="Arial"/>
          <w:color w:val="000000"/>
          <w:sz w:val="22"/>
        </w:rPr>
        <w:t>Zaporizhzhia National University (ZNU) operates continuously in this environment, having adopted wartime-resilient educational modes including blended and fully online delivery, Azure cloud-based data infrastructure, and campus solar and cogeneration systems that provide energy independence during grid outages. ZNU's decision to remain operational in Zaporizhzhia — rather than relocating — reflects its commitment to the community it serves and positions it uniquely as an institution embedded in the very reconstruction challenges the SmartGreen-UA project addresses.</w:t>
      </w:r>
    </w:p>
    <w:p>
      <w:pPr/>
      <w:r>
        <w:rPr>
          <w:rFonts w:ascii="Arial" w:hAnsi="Arial"/>
          <w:color w:val="000000"/>
          <w:sz w:val="22"/>
        </w:rPr>
        <w:t>### The Skills Gap: Why Ukrainian HEIs Cannot Meet This Need Alone</w:t>
      </w:r>
    </w:p>
    <w:p>
      <w:pPr/>
      <w:r>
        <w:rPr>
          <w:rFonts w:ascii="Arial" w:hAnsi="Arial"/>
          <w:color w:val="000000"/>
          <w:sz w:val="22"/>
        </w:rPr>
        <w:t>Pre-war Ukrainian engineering curricula were designed for a centralised, fossil-fuel-dominated, Soviet-legacy grid. Smart grid technologies, distributed energy resources (DER) management, power electronics for grid conversion, advanced AMI analytics, vehicle-to-grid (V2G) integration, and digital twin modelling of energy systems were marginal or absent from undergraduate and postgraduate programs at most Ukrainian technical universities. A 2023 Ukrainian Ministry of Education and Science survey of technical faculties found that fewer than 12% of energy-related degree programs incorporated smart grid modules, and fewer than 8% addressed renewable energy grid integration at the level required by European standards [5]. The national academic workforce compounds the problem: fewer than 15% of Ukrainian academic staff in energy fields have received training in smart grid technologies within the past decade, and access to modern laboratory infrastructure has been further curtailed by war damage and energy insecurity on campuses.</w:t>
      </w:r>
    </w:p>
    <w:p>
      <w:pPr/>
      <w:r>
        <w:rPr>
          <w:rFonts w:ascii="Arial" w:hAnsi="Arial"/>
          <w:color w:val="000000"/>
          <w:sz w:val="22"/>
        </w:rPr>
        <w:t>ZNU's Engineering Educational and Scientific Institute and Hydropower Professional College already possess research expertise in smart grids, renewable energy systems, and digital twins. However, this expertise has not yet been systematically translated into accredited curricula at bachelor and master level. The gap between ZNU's research competence and its curricular offer is precisely the space SmartGreen-UA will fill — with NTNU providing world-class pedagogical and technical expertise to accelerate the process.</w:t>
      </w:r>
    </w:p>
    <w:p>
      <w:pPr/>
      <w:r>
        <w:rPr>
          <w:rFonts w:ascii="Arial" w:hAnsi="Arial"/>
          <w:color w:val="000000"/>
          <w:sz w:val="22"/>
        </w:rPr>
        <w:t>### Target Groups and Their Needs</w:t>
      </w:r>
    </w:p>
    <w:p>
      <w:pPr/>
      <w:r>
        <w:rPr>
          <w:rFonts w:ascii="Arial" w:hAnsi="Arial"/>
          <w:color w:val="000000"/>
          <w:sz w:val="22"/>
        </w:rPr>
        <w:t>SmartGreen-UA serves four interconnected target groups:</w:t>
      </w:r>
    </w:p>
    <w:p>
      <w:pPr/>
      <w:r>
        <w:rPr>
          <w:rFonts w:ascii="Arial" w:hAnsi="Arial"/>
          <w:color w:val="000000"/>
          <w:sz w:val="22"/>
        </w:rPr>
        <w:t>**Undergraduate students (primary beneficiaries):** ZNU currently enrols approximately 850 students across electrical engineering, energy systems, and related programs. An estimated 320 students per year will have access to new or revised smart-grid and green energy modules developed by the project. Over three years, the project will directly train a minimum of 600 undergraduate students through new and revised courses, with at least 30 completing extended mobility at NTNU.</w:t>
      </w:r>
    </w:p>
    <w:p>
      <w:pPr/>
      <w:r>
        <w:rPr>
          <w:rFonts w:ascii="Arial" w:hAnsi="Arial"/>
          <w:color w:val="000000"/>
          <w:sz w:val="22"/>
        </w:rPr>
        <w:t>**Postgraduate students and junior researchers (primary beneficiaries):** ZNU's master's programs in energy systems and computer science enrol approximately 120 students annually. SmartGreen-UA will develop two new joint master's-level specialisation tracks and provide scholarships for 15 students to undertake study periods at NTNU (up to 10 months each). A further 10 PhD candidates across both institutions will benefit from joint supervision arrangements and access to NTNU's Kjølle Energy Systems laboratory infrastructure.</w:t>
      </w:r>
    </w:p>
    <w:p>
      <w:pPr/>
      <w:r>
        <w:rPr>
          <w:rFonts w:ascii="Arial" w:hAnsi="Arial"/>
          <w:color w:val="000000"/>
          <w:sz w:val="22"/>
        </w:rPr>
        <w:t>**Academic staff (primary beneficiaries):** 25 academic staff from ZNU (and, upon confirmation, the second Ukrainian partner) will participate in structured training, staff exchanges to NTNU, and joint curriculum co-development. This cohort will become the permanent carrier of the new competences within Ukrainian HEIs beyond the project's lifetime.</w:t>
      </w:r>
    </w:p>
    <w:p>
      <w:pPr/>
      <w:r>
        <w:rPr>
          <w:rFonts w:ascii="Arial" w:hAnsi="Arial"/>
          <w:color w:val="000000"/>
          <w:sz w:val="22"/>
        </w:rPr>
        <w:t>**Industry and public sector stakeholders (secondary beneficiaries):** Ukrenergo (Ukraine's TSO), regional distribution network operators (DSOs), Zaporizhzhiaoblenergo, and municipal energy efficiency units will engage as advisory board members, guest lecturers, and pilot project partners. At least 80 industry professionals will participate in continuing professional development (CPD) workshops co-organised by ZNU and NTNU during the project period.</w:t>
      </w:r>
    </w:p>
    <w:p>
      <w:pPr/>
      <w:r>
        <w:rPr>
          <w:rFonts w:ascii="Arial" w:hAnsi="Arial"/>
          <w:color w:val="000000"/>
          <w:sz w:val="22"/>
        </w:rPr>
        <w:t>### Planned Results: SMART Objectives</w:t>
      </w:r>
    </w:p>
    <w:p>
      <w:pPr/>
      <w:r>
        <w:rPr>
          <w:rFonts w:ascii="Arial" w:hAnsi="Arial"/>
          <w:color w:val="000000"/>
          <w:sz w:val="22"/>
        </w:rPr>
        <w:t>The project will deliver the following concrete, measurable results by June 2029:</w:t>
      </w:r>
    </w:p>
    <w:p>
      <w:pPr/>
      <w:r>
        <w:rPr>
          <w:rFonts w:ascii="Arial" w:hAnsi="Arial"/>
          <w:color w:val="000000"/>
          <w:sz w:val="22"/>
        </w:rPr>
        <w:t>1. **Curricula:** Eight new or substantially revised courses covering smart grid fundamentals, AMI, renewable energy grid integration, energy efficiency in buildings and industry, power electronics, EV charging infrastructure, energy market design, and digital tools for energy management — all developed to align with EU competence frameworks and accredited by the Ukrainian Ministry of Education and Science.</w:t>
      </w:r>
    </w:p>
    <w:p>
      <w:pPr/>
      <w:r>
        <w:rPr>
          <w:rFonts w:ascii="Arial" w:hAnsi="Arial"/>
          <w:color w:val="000000"/>
          <w:sz w:val="22"/>
        </w:rPr>
        <w:t>2. **Degree integration:** Two new joint specialisation tracks at master's level integrated into ZNU's accredited degree programs, with a minimum intake of 40 students by the final year of the project.</w:t>
      </w:r>
    </w:p>
    <w:p>
      <w:pPr/>
      <w:r>
        <w:rPr>
          <w:rFonts w:ascii="Arial" w:hAnsi="Arial"/>
          <w:color w:val="000000"/>
          <w:sz w:val="22"/>
        </w:rPr>
        <w:t>3. **Capacity building:** 25 academic staff trained and certified in smart grid pedagogies; all trained staff equipped to deliver courses independently after project end.</w:t>
      </w:r>
    </w:p>
    <w:p>
      <w:pPr/>
      <w:r>
        <w:rPr>
          <w:rFonts w:ascii="Arial" w:hAnsi="Arial"/>
          <w:color w:val="000000"/>
          <w:sz w:val="22"/>
        </w:rPr>
        <w:t>4. **Mobility:** 30 undergraduate and 15 master's/PhD students completing mobility periods at NTNU; 15 NTNU staff completing teaching missions to ZNU.</w:t>
      </w:r>
    </w:p>
    <w:p>
      <w:pPr/>
      <w:r>
        <w:rPr>
          <w:rFonts w:ascii="Arial" w:hAnsi="Arial"/>
          <w:color w:val="000000"/>
          <w:sz w:val="22"/>
        </w:rPr>
        <w:t>5. **Living Lab:** A Smart Energy Living Lab established on ZNU's campus, utilising existing rooftop solar, cogeneration, and battery storage assets, instrumented with AMI sensors and integrated into educational exercises.</w:t>
      </w:r>
    </w:p>
    <w:p>
      <w:pPr/>
      <w:r>
        <w:rPr>
          <w:rFonts w:ascii="Arial" w:hAnsi="Arial"/>
          <w:color w:val="000000"/>
          <w:sz w:val="22"/>
        </w:rPr>
        <w:t>6. **Open Educational Resources (OER):** All course materials, laboratory manuals, and case studies published as open-access OER in Ukrainian and English, licensed under Creative Commons CC-BY 4.0.</w:t>
      </w:r>
    </w:p>
    <w:p>
      <w:pPr/>
      <w:r>
        <w:rPr>
          <w:rFonts w:ascii="Arial" w:hAnsi="Arial"/>
          <w:color w:val="000000"/>
          <w:sz w:val="22"/>
        </w:rPr>
        <w:t>7. **CPD:** Minimum four industry-facing CPD workshops conducted, training ≥80 professionals.</w:t>
      </w:r>
    </w:p>
    <w:p>
      <w:pPr/>
      <w:r>
        <w:rPr>
          <w:rFonts w:ascii="Arial" w:hAnsi="Arial"/>
          <w:color w:val="000000"/>
          <w:sz w:val="22"/>
        </w:rPr>
        <w:t>The baseline against which progress is measured is the current state of ZNU's energy curricula as of January 2026 (zero smart-grid-specific courses at undergraduate level; no master's specialisation track in smart grids or green energy transition), to be formally documented in the WP1 needs assessment conducted in project Month 1.</w:t>
      </w:r>
    </w:p>
    <w:p w14:paraId="08FF87D0" w14:textId="77777777" w:rsidR="000233C9" w:rsidRPr="003462FB" w:rsidRDefault="000233C9" w:rsidP="000233C9">
      <w:pPr>
        <w:pStyle w:val="Ingenmellomrom"/>
      </w:pPr>
    </w:p>
    <w:p w14:paraId="4E09DB5A" w14:textId="77777777" w:rsidR="000233C9" w:rsidRPr="003462FB" w:rsidRDefault="000233C9" w:rsidP="000233C9">
      <w:pPr>
        <w:pStyle w:val="Ingenmellomrom"/>
        <w:rPr>
          <w:b/>
          <w:bCs/>
        </w:rPr>
      </w:pPr>
    </w:p>
    <w:p w14:paraId="6B30ECA6" w14:textId="77777777" w:rsidR="000233C9" w:rsidRPr="003462FB" w:rsidRDefault="000233C9" w:rsidP="000233C9">
      <w:pPr>
        <w:pStyle w:val="Ingenmellomrom"/>
      </w:pPr>
    </w:p>
    <w:p w14:paraId="4EF39E28" w14:textId="77777777" w:rsidR="000233C9" w:rsidRPr="003462FB" w:rsidRDefault="000233C9" w:rsidP="000233C9">
      <w:pPr>
        <w:pStyle w:val="Ingenmellomrom"/>
      </w:pPr>
    </w:p>
    <w:p w14:paraId="73073620" w14:textId="77777777" w:rsidR="000233C9" w:rsidRPr="003462FB" w:rsidRDefault="000233C9" w:rsidP="000233C9">
      <w:pPr>
        <w:pStyle w:val="Ingenmellomrom"/>
        <w:rPr>
          <w:b/>
          <w:bCs/>
        </w:rPr>
      </w:pPr>
      <w:r w:rsidRPr="003462FB">
        <w:rPr>
          <w:b/>
          <w:bCs/>
        </w:rPr>
        <w:t xml:space="preserve">1.2 </w:t>
      </w:r>
      <w:r w:rsidRPr="003462FB">
        <w:rPr>
          <w:b/>
          <w:bCs/>
        </w:rPr>
        <w:tab/>
        <w:t xml:space="preserve">The project's alignment with other activities/measures and any innovative elements </w:t>
      </w:r>
    </w:p>
    <w:p w14:paraId="76B46268" w14:textId="77777777" w:rsidR="000233C9" w:rsidRPr="003462FB" w:rsidRDefault="000233C9" w:rsidP="000233C9">
      <w:pPr>
        <w:pStyle w:val="Ingenmellomrom"/>
      </w:pPr>
    </w:p>
    <w:p w14:paraId="7D9CC889" w14:textId="77777777" w:rsidR="000233C9" w:rsidRPr="003462FB" w:rsidRDefault="000233C9" w:rsidP="000233C9">
      <w:pPr>
        <w:pStyle w:val="Ingenmellomrom"/>
      </w:pPr>
    </w:p>
    <w:p w14:paraId="02C62CA4" w14:textId="2B9AF084" w:rsidR="000233C9" w:rsidRPr="003462FB" w:rsidRDefault="000233C9" w:rsidP="000233C9">
      <w:pPr/>
      <w:r>
        <w:rPr>
          <w:rFonts w:ascii="Arial" w:hAnsi="Arial"/>
          <w:color w:val="000000"/>
          <w:sz w:val="22"/>
        </w:rPr>
        <w:t>## 1.2 Alignment with Other Activities and Innovative Elements</w:t>
      </w:r>
    </w:p>
    <w:p>
      <w:pPr/>
      <w:r>
        <w:rPr>
          <w:rFonts w:ascii="Arial" w:hAnsi="Arial"/>
          <w:color w:val="000000"/>
          <w:sz w:val="22"/>
        </w:rPr>
        <w:t>### Building on Partners' Existing Foundations</w:t>
      </w:r>
    </w:p>
    <w:p>
      <w:pPr/>
      <w:r>
        <w:rPr>
          <w:rFonts w:ascii="Arial" w:hAnsi="Arial"/>
          <w:color w:val="000000"/>
          <w:sz w:val="22"/>
        </w:rPr>
        <w:t>SmartGreen-UA is explicitly positioned as an accelerator of existing cooperation rather than a new relationship built from scratch. NTNU and ZNU have developed a formal strategic roadmap for 2026–2028 structured around four thematic clusters: Smart, Flexible and Secure Energy Systems; Green Metal Industry; Digital Twins for Industrial and Energy Systems; and Hydropower Rehabilitation. This roadmap — agreed at institutional leadership level — identifies SmartGreen-UA as the 'Foundation' phase of a multi-year trajectory culminating in joint Horizon Europe proposals by 2028. The SmartGreen-UA project thus represents the educational crystallisation of a research partnership already in formation, ensuring that curriculum content is grounded in genuinely active research collaboration rather than imported wholesale from non-contextualised sources.</w:t>
      </w:r>
    </w:p>
    <w:p>
      <w:pPr/>
      <w:r>
        <w:rPr>
          <w:rFonts w:ascii="Arial" w:hAnsi="Arial"/>
          <w:color w:val="000000"/>
          <w:sz w:val="22"/>
        </w:rPr>
        <w:t>At ZNU, the Engineering Educational and Scientific Institute's Smart Grids Research Group has already produced peer-reviewed outputs on energy resilience and distributed renewable management under wartime grid conditions [6]. The Faculty of Mathematics operates a Laboratory of Parallel and Distributed Computing that has been applied to energy system optimisation problems. The Hydropower Professional College has direct operational knowledge of small-scale hydropower rehabilitation relevant to the post-Kakhovka-dam reconstruction context. ZNU's campus solar and cogeneration infrastructure provides a unique, real-world testbed for smart energy management exercises — a living laboratory asset that most Ukrainian universities cannot match.</w:t>
      </w:r>
    </w:p>
    <w:p>
      <w:pPr/>
      <w:r>
        <w:rPr>
          <w:rFonts w:ascii="Arial" w:hAnsi="Arial"/>
          <w:color w:val="000000"/>
          <w:sz w:val="22"/>
        </w:rPr>
        <w:t>At NTNU, the Department of Electric Energy leads European research on power system flexibility, smart grid security, and renewable energy integration. The Department of Energy and Process Engineering contributes expertise in energy efficiency, thermal storage, and industrial decarbonisation. NTNU's Energy Transition (NTE) initiative provides a cross-disciplinary platform connecting engineering, economics, and policy — precisely the multi-domain framing that SmartGreen-UA needs. NTNU's industry partnerships with Equinor, Statkraft, and Eidsiva Energi will be mobilised to bring Norwegian real-world grid modernisation experience into the curricula.</w:t>
      </w:r>
    </w:p>
    <w:p>
      <w:pPr/>
      <w:r>
        <w:rPr>
          <w:rFonts w:ascii="Arial" w:hAnsi="Arial"/>
          <w:color w:val="000000"/>
          <w:sz w:val="22"/>
        </w:rPr>
        <w:t>### Complementarity with Existing International Programmes</w:t>
      </w:r>
    </w:p>
    <w:p>
      <w:pPr/>
      <w:r>
        <w:rPr>
          <w:rFonts w:ascii="Arial" w:hAnsi="Arial"/>
          <w:color w:val="000000"/>
          <w:sz w:val="22"/>
        </w:rPr>
        <w:t>SmartGreen-UA is carefully designed not to duplicate but to complement the portfolio of international initiatives already active in Ukrainian energy education:</w:t>
      </w:r>
    </w:p>
    <w:p>
      <w:pPr/>
      <w:r>
        <w:rPr>
          <w:rFonts w:ascii="Arial" w:hAnsi="Arial"/>
          <w:color w:val="000000"/>
          <w:sz w:val="22"/>
        </w:rPr>
        <w:t>**Erasmus+ projects at ZNU:** ZNU currently participates in 14 active Erasmus+ projects, including capacity-building projects in digitalisation and STEM education. However, none of these projects focuses specifically on smart grid engineering or green energy transition curricula. SmartGreen-UA fills this gap while sharing administrative learning and stakeholder networks with the Erasmus+ portfolio.</w:t>
      </w:r>
    </w:p>
    <w:p>
      <w:pPr/>
      <w:r>
        <w:rPr>
          <w:rFonts w:ascii="Arial" w:hAnsi="Arial"/>
          <w:color w:val="000000"/>
          <w:sz w:val="22"/>
        </w:rPr>
        <w:t>**Horizon Europe / MSCA:** ZNU's three active Horizon MSCA projects involve researcher mobility in materials science and AI. SmartGreen-UA creates the educational ecosystem into which MSCA-trained researchers can feed their knowledge back to Ukrainian students — a direct upstream–downstream synergy.</w:t>
      </w:r>
    </w:p>
    <w:p>
      <w:pPr/>
      <w:r>
        <w:rPr>
          <w:rFonts w:ascii="Arial" w:hAnsi="Arial"/>
          <w:color w:val="000000"/>
          <w:sz w:val="22"/>
        </w:rPr>
        <w:t>**DAAD Ukraine Digital Programme:** ZNU participates in the DAAD Ukraine Digital initiative, which focuses on digital transformation broadly. SmartGreen-UA is domain-specific — applied digital tools (digital twins, SCADA simulation, AI-driven energy analytics) for the energy sector — and thus complements rather than overlaps with DAAD's broader digitalisation scope.</w:t>
      </w:r>
    </w:p>
    <w:p>
      <w:pPr/>
      <w:r>
        <w:rPr>
          <w:rFonts w:ascii="Arial" w:hAnsi="Arial"/>
          <w:color w:val="000000"/>
          <w:sz w:val="22"/>
        </w:rPr>
        <w:t>**UA-UK Twinning (UKRI):** ZNU's active twinning project with a UK partner university creates a network of English-language international cooperation. SmartGreen-UA adds the Norwegian dimension and specifically targets energy engineering — a domain not covered by the UK twinning.</w:t>
      </w:r>
    </w:p>
    <w:p>
      <w:pPr/>
      <w:r>
        <w:rPr>
          <w:rFonts w:ascii="Arial" w:hAnsi="Arial"/>
          <w:color w:val="000000"/>
          <w:sz w:val="22"/>
        </w:rPr>
        <w:t>**Nansen Programme portfolio:** SmartGreen-UA is aware of other Nansen-funded projects in Ukraine's energy sector. The project leadership will engage with the HK-dir Nansen portfolio community of practice to identify synergies and avoid duplication, including cross-referencing syllabi and sharing OER where appropriate.</w:t>
      </w:r>
    </w:p>
    <w:p>
      <w:pPr/>
      <w:r>
        <w:rPr>
          <w:rFonts w:ascii="Arial" w:hAnsi="Arial"/>
          <w:color w:val="000000"/>
          <w:sz w:val="22"/>
        </w:rPr>
        <w:t>### Innovative Elements Specific to SmartGreen-UA</w:t>
      </w:r>
    </w:p>
    <w:p>
      <w:pPr/>
      <w:r>
        <w:rPr>
          <w:rFonts w:ascii="Arial" w:hAnsi="Arial"/>
          <w:color w:val="000000"/>
          <w:sz w:val="22"/>
        </w:rPr>
        <w:t>SmartGreen-UA introduces several innovative elements that distinguish it from conventional curriculum development projects:</w:t>
      </w:r>
    </w:p>
    <w:p>
      <w:pPr/>
      <w:r>
        <w:rPr>
          <w:rFonts w:ascii="Arial" w:hAnsi="Arial"/>
          <w:color w:val="000000"/>
          <w:sz w:val="22"/>
        </w:rPr>
        <w:t>**1. The 'Conflict Zone Living Lab' model:** Rather than treating ZNU's wartime infrastructure constraints as a problem to overcome, SmartGreen-UA transforms them into a pedagogical asset. ZNU's campus — operating with intermittent grid power, running on rooftop solar and cogeneration, managing energy via cloud-based monitoring — is itself a functioning demonstration of the resilience principles taught in the curricula. Students will analyse their own campus energy system as a real-world case study, collecting and interpreting live AMI data, modelling demand response scenarios, and proposing optimisation interventions. This 'learning from crisis' pedagogical model is internationally novel and directly relevant to Ukraine's reconstruction context.</w:t>
      </w:r>
    </w:p>
    <w:p>
      <w:pPr/>
      <w:r>
        <w:rPr>
          <w:rFonts w:ascii="Arial" w:hAnsi="Arial"/>
          <w:color w:val="000000"/>
          <w:sz w:val="22"/>
        </w:rPr>
        <w:t>**2. Dual-track competence framework:** SmartGreen-UA develops competences simultaneously at two levels — engineering depth (power electronics, grid modelling, digital twin construction) and policy/planning breadth (energy market regulation, climate policy, sector coupling). Most comparable programmes address one track or the other. The dual-track approach prepares graduates who can serve both as grid engineers and as energy transition advisors — exactly the multi-competence profile that Ukrainian reconstruction agencies require.</w:t>
      </w:r>
    </w:p>
    <w:p>
      <w:pPr/>
      <w:r>
        <w:rPr>
          <w:rFonts w:ascii="Arial" w:hAnsi="Arial"/>
          <w:color w:val="000000"/>
          <w:sz w:val="22"/>
        </w:rPr>
        <w:t>**3. Reconstruction-embedded case studies:** All eight new courses will incorporate Ukraine-specific case studies drawn from actual reconstruction challenges: Kakhovka dam replacement scenarios, distributed solar deployment in de-occupied territories, ZNPP alternative power scenarios, and regional energy independence planning for Zaporizhzhia oblast. This contextualisation makes the curricula immediately applicable to national needs rather than requiring students to transpose lessons from Northern European grid contexts.</w:t>
      </w:r>
    </w:p>
    <w:p>
      <w:pPr/>
      <w:r>
        <w:rPr>
          <w:rFonts w:ascii="Arial" w:hAnsi="Arial"/>
          <w:color w:val="000000"/>
          <w:sz w:val="22"/>
        </w:rPr>
        <w:t>**4. Industry co-teaching model:** Rather than delivering industry engagement through one-off guest lectures, SmartGreen-UA embeds industry co-teachers as co-designers and regular contributors to courses. Ukrainian DSOs and TSO staff, alongside NTNU's Norwegian industry partners, will co-author course modules and deliver recurring seminars, ensuring curricula remain updated with real-world grid conditions throughout the project and beyond.</w:t>
      </w:r>
    </w:p>
    <w:p w14:paraId="07AB4B00" w14:textId="77777777" w:rsidR="000233C9" w:rsidRPr="003462FB" w:rsidRDefault="000233C9" w:rsidP="000233C9">
      <w:pPr>
        <w:pStyle w:val="Ingenmellomrom"/>
      </w:pPr>
    </w:p>
    <w:p w14:paraId="5168F40D" w14:textId="77777777" w:rsidR="000233C9" w:rsidRPr="003462FB" w:rsidRDefault="000233C9" w:rsidP="000233C9">
      <w:pPr>
        <w:pStyle w:val="Ingenmellomrom"/>
      </w:pPr>
    </w:p>
    <w:p w14:paraId="42677845" w14:textId="77777777" w:rsidR="000233C9" w:rsidRPr="003462FB" w:rsidRDefault="000233C9" w:rsidP="000233C9">
      <w:pPr>
        <w:pStyle w:val="Ingenmellomrom"/>
      </w:pPr>
    </w:p>
    <w:p w14:paraId="167DCCA8" w14:textId="77777777" w:rsidR="000233C9" w:rsidRPr="003462FB" w:rsidRDefault="000233C9" w:rsidP="000233C9">
      <w:pPr>
        <w:pStyle w:val="Ingenmellomrom"/>
      </w:pPr>
    </w:p>
    <w:p w14:paraId="7320F77C" w14:textId="77777777" w:rsidR="000233C9" w:rsidRPr="003462FB" w:rsidRDefault="000233C9" w:rsidP="000233C9">
      <w:pPr>
        <w:pStyle w:val="Ingenmellomrom"/>
      </w:pPr>
    </w:p>
    <w:p w14:paraId="52C34190" w14:textId="77777777" w:rsidR="000233C9" w:rsidRPr="003462FB" w:rsidRDefault="000233C9" w:rsidP="000233C9">
      <w:pPr>
        <w:pStyle w:val="Ingenmellomrom"/>
      </w:pPr>
    </w:p>
    <w:p w14:paraId="27B71259" w14:textId="77777777" w:rsidR="000233C9" w:rsidRPr="003462FB" w:rsidRDefault="000233C9" w:rsidP="000233C9">
      <w:pPr>
        <w:pStyle w:val="Ingenmellomrom"/>
      </w:pPr>
    </w:p>
    <w:p w14:paraId="35479C6D" w14:textId="77777777" w:rsidR="000233C9" w:rsidRPr="003462FB" w:rsidRDefault="000233C9" w:rsidP="000233C9">
      <w:pPr>
        <w:pStyle w:val="Ingenmellomrom"/>
      </w:pPr>
    </w:p>
    <w:p w14:paraId="1748CF00" w14:textId="77777777" w:rsidR="000233C9" w:rsidRPr="003462FB" w:rsidRDefault="000233C9" w:rsidP="000233C9">
      <w:pPr>
        <w:pStyle w:val="Ingenmellomrom"/>
      </w:pPr>
    </w:p>
    <w:p w14:paraId="5F39FED3" w14:textId="77777777" w:rsidR="000233C9" w:rsidRPr="003462FB" w:rsidRDefault="000233C9" w:rsidP="000233C9">
      <w:pPr>
        <w:pStyle w:val="Ingenmellomrom"/>
      </w:pPr>
    </w:p>
    <w:p w14:paraId="4EF1DDF6" w14:textId="77777777" w:rsidR="000233C9" w:rsidRPr="003462FB" w:rsidRDefault="000233C9" w:rsidP="000233C9">
      <w:pPr>
        <w:pStyle w:val="Ingenmellomrom"/>
      </w:pPr>
    </w:p>
    <w:p w14:paraId="2FDD0321" w14:textId="77777777" w:rsidR="000233C9" w:rsidRPr="003462FB" w:rsidRDefault="000233C9" w:rsidP="000233C9">
      <w:pPr>
        <w:pStyle w:val="Ingenmellomrom"/>
      </w:pPr>
    </w:p>
    <w:p w14:paraId="4CCDDDE2" w14:textId="77777777" w:rsidR="000233C9" w:rsidRPr="003462FB" w:rsidRDefault="000233C9" w:rsidP="000233C9">
      <w:pPr>
        <w:pStyle w:val="Ingenmellomrom"/>
      </w:pPr>
    </w:p>
    <w:p w14:paraId="10C5F93A" w14:textId="77777777" w:rsidR="000233C9" w:rsidRPr="003462FB" w:rsidRDefault="000233C9" w:rsidP="000233C9">
      <w:pPr>
        <w:pStyle w:val="Ingenmellomrom"/>
      </w:pPr>
    </w:p>
    <w:p w14:paraId="15F6DC8C" w14:textId="77777777" w:rsidR="000233C9" w:rsidRPr="003462FB" w:rsidRDefault="000233C9" w:rsidP="000233C9">
      <w:pPr>
        <w:pStyle w:val="Ingenmellomrom"/>
      </w:pPr>
    </w:p>
    <w:p w14:paraId="3A779C5C" w14:textId="77777777" w:rsidR="000233C9" w:rsidRPr="003462FB" w:rsidRDefault="000233C9" w:rsidP="000233C9">
      <w:pPr>
        <w:spacing w:after="200" w:line="276" w:lineRule="auto"/>
        <w:rPr>
          <w:rFonts w:eastAsiaTheme="majorEastAsia" w:cstheme="minorHAnsi"/>
          <w:b/>
          <w:bCs/>
          <w:sz w:val="32"/>
          <w:szCs w:val="32"/>
        </w:rPr>
      </w:pPr>
      <w:r w:rsidRPr="003462FB">
        <w:br w:type="page"/>
      </w:r>
    </w:p>
    <w:p w14:paraId="19B6436D"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2</w:t>
      </w:r>
      <w:r w:rsidRPr="003462FB">
        <w:rPr>
          <w:b/>
          <w:bCs/>
          <w:sz w:val="32"/>
          <w:szCs w:val="32"/>
        </w:rPr>
        <w:tab/>
        <w:t>Design and implementation</w:t>
      </w:r>
    </w:p>
    <w:p w14:paraId="42ECA781" w14:textId="77777777" w:rsidR="000233C9" w:rsidRPr="003462FB" w:rsidRDefault="000233C9" w:rsidP="000233C9">
      <w:pPr>
        <w:pStyle w:val="Ingenmellomrom"/>
      </w:pPr>
    </w:p>
    <w:p w14:paraId="0BE2E2B2" w14:textId="77777777" w:rsidR="000233C9" w:rsidRPr="003462FB" w:rsidRDefault="000233C9" w:rsidP="000233C9">
      <w:pPr>
        <w:pStyle w:val="Ingenmellomrom"/>
        <w:rPr>
          <w:b/>
          <w:bCs/>
        </w:rPr>
      </w:pPr>
      <w:r w:rsidRPr="003462FB">
        <w:rPr>
          <w:b/>
          <w:bCs/>
        </w:rPr>
        <w:t>2.1</w:t>
      </w:r>
      <w:r w:rsidRPr="003462FB">
        <w:rPr>
          <w:b/>
          <w:bCs/>
        </w:rPr>
        <w:tab/>
        <w:t>Activities, measures and approaches to achieve the project results</w:t>
      </w:r>
    </w:p>
    <w:p w14:paraId="1A1F908C" w14:textId="77777777" w:rsidR="000233C9" w:rsidRPr="003462FB" w:rsidRDefault="000233C9" w:rsidP="000233C9">
      <w:pPr>
        <w:pStyle w:val="Ingenmellomrom"/>
      </w:pPr>
    </w:p>
    <w:p w14:paraId="26046AEF" w14:textId="77777777" w:rsidR="000233C9" w:rsidRPr="003462FB" w:rsidRDefault="000233C9" w:rsidP="000233C9">
      <w:pPr>
        <w:pStyle w:val="Ingenmellomrom"/>
      </w:pPr>
    </w:p>
    <w:p w14:paraId="12870D6C" w14:textId="7A1074F7" w:rsidR="000233C9" w:rsidRPr="003462FB" w:rsidRDefault="000233C9" w:rsidP="000233C9">
      <w:pPr/>
      <w:r>
        <w:rPr>
          <w:rFonts w:ascii="Arial" w:hAnsi="Arial"/>
          <w:color w:val="000000"/>
          <w:sz w:val="22"/>
        </w:rPr>
        <w:t>## 2.1 Activities, Measures and Approaches</w:t>
      </w:r>
    </w:p>
    <w:p>
      <w:pPr/>
      <w:r>
        <w:rPr>
          <w:rFonts w:ascii="Arial" w:hAnsi="Arial"/>
          <w:color w:val="000000"/>
          <w:sz w:val="22"/>
        </w:rPr>
        <w:t>SmartGreen-UA is structured into five Work Packages (WPs) spanning three years (July 2026 – June 2029). The timeline follows the NTNU-ZNU strategic roadmap logic: Year 1 (Foundation), Year 2 (Pilots), Year 3 (Scaling and Sustainability).</w:t>
      </w:r>
    </w:p>
    <w:p>
      <w:pPr/>
      <w:r>
        <w:rPr>
          <w:rFonts w:ascii="Arial" w:hAnsi="Arial"/>
          <w:color w:val="000000"/>
          <w:sz w:val="22"/>
        </w:rPr>
        <w:t>---</w:t>
      </w:r>
    </w:p>
    <w:p>
      <w:pPr/>
      <w:r>
        <w:rPr>
          <w:rFonts w:ascii="Arial" w:hAnsi="Arial"/>
          <w:color w:val="000000"/>
          <w:sz w:val="22"/>
        </w:rPr>
        <w:t>### WP1: Joint Curriculum Development (Months 1–24, Lead: NTNU, Co-lead: ZNU)</w:t>
      </w:r>
    </w:p>
    <w:p>
      <w:pPr/>
      <w:r>
        <w:rPr>
          <w:rFonts w:ascii="Arial" w:hAnsi="Arial"/>
          <w:color w:val="000000"/>
          <w:sz w:val="22"/>
        </w:rPr>
        <w:t>**Objective:** Design, develop, and accredit eight new or substantially revised courses aligned with EU smart grid competence standards, Ukrainian education law, and industry needs.</w:t>
      </w:r>
    </w:p>
    <w:p>
      <w:pPr/>
      <w:r>
        <w:rPr>
          <w:rFonts w:ascii="Arial" w:hAnsi="Arial"/>
          <w:color w:val="000000"/>
          <w:sz w:val="22"/>
        </w:rPr>
        <w:t>**Activities:**</w:t>
        <w:br/>
        <w:t>- M1–3: Needs assessment and gap analysis. ZNU conducts structured survey of current energy curricula, interviews with Ukrainian DSOs, Ukrenergo, and municipal energy managers. NTNU benchmarks against European smart grid education standards (IEEE Power &amp; Energy Society curriculum guidelines; IEA Smart Grids Technology Roadmap). Baseline report published by M3.</w:t>
        <w:br/>
        <w:t>- M3–12: Course design sprints. Six intensive co-design workshops (three hosted online via Teams/Zoom, one at NTNU Trondheim, one at ZNU, one at Ukrainian Partner 2 institution). Each workshop produces: learning outcomes mapped to EQF levels 6 and 7; syllabus structure; assessment strategy; laboratory exercise specifications. Disciplines covered: (1) Smart Grid Fundamentals and AMI; (2) Renewable Energy Technologies and Grid Integration; (3) Energy Efficiency in Buildings and Industry; (4) Power Electronics for Modern Grids; (5) EV Charging Infrastructure and V2G Systems; (6) Energy Market Design and Regulation; (7) Climate Policy and Energy Planning; (8) Digital Tools for Energy Management (SCADA, digital twins, AI analytics).</w:t>
        <w:br/>
        <w:t>- M12–18: Development of course materials. Full lecture slide decks, laboratory manuals, case studies, and assessment rubrics produced in Ukrainian and English. All materials peer-reviewed by NTNU faculty and by industry advisory board members before finalisation.</w:t>
        <w:br/>
        <w:t>- M15–24: Accreditation pathway. ZNU and Ukrainian Partner 2 submit new courses for integration into existing accredited degree programs. NTNU provides accreditation support documentation confirming equivalence to European standards.</w:t>
      </w:r>
    </w:p>
    <w:p>
      <w:pPr/>
      <w:r>
        <w:rPr>
          <w:rFonts w:ascii="Arial" w:hAnsi="Arial"/>
          <w:color w:val="000000"/>
          <w:sz w:val="22"/>
        </w:rPr>
        <w:t>**Key deliverables:** D1.1 Needs Assessment Report (M3); D1.2 Course Syllabi Package × 8 (M12); D1.3 Full Course Materials Package × 8 (M18); D1.4 Accreditation Submissions (M24).</w:t>
      </w:r>
    </w:p>
    <w:p>
      <w:pPr/>
      <w:r>
        <w:rPr>
          <w:rFonts w:ascii="Arial" w:hAnsi="Arial"/>
          <w:color w:val="000000"/>
          <w:sz w:val="22"/>
        </w:rPr>
        <w:t>**Methodology:** Problem-Based Learning (PBL) is the core pedagogical framework. Each course unit is anchored in a reconstruction scenario — e.g., 'Design a demand response system for a 10,000-household district in de-occupied Kherson region' — requiring students to apply technical knowledge to authentic Ukrainian contexts. Blended learning design allows asynchronous content delivery via ZNU's LMS (compatible with Moodle), accommodating students and staff who may need to relocate temporarily due to security conditions.</w:t>
      </w:r>
    </w:p>
    <w:p>
      <w:pPr/>
      <w:r>
        <w:rPr>
          <w:rFonts w:ascii="Arial" w:hAnsi="Arial"/>
          <w:color w:val="000000"/>
          <w:sz w:val="22"/>
        </w:rPr>
        <w:t>---</w:t>
      </w:r>
    </w:p>
    <w:p>
      <w:pPr/>
      <w:r>
        <w:rPr>
          <w:rFonts w:ascii="Arial" w:hAnsi="Arial"/>
          <w:color w:val="000000"/>
          <w:sz w:val="22"/>
        </w:rPr>
        <w:t>### WP2: Staff Training and Exchanges (Months 1–30, Lead: ZNU, Co-lead: NTNU)</w:t>
      </w:r>
    </w:p>
    <w:p>
      <w:pPr/>
      <w:r>
        <w:rPr>
          <w:rFonts w:ascii="Arial" w:hAnsi="Arial"/>
          <w:color w:val="000000"/>
          <w:sz w:val="22"/>
        </w:rPr>
        <w:t>**Objective:** Build a cohort of 25 ZNU academic staff (and staff from Ukrainian Partner 2) fully competent to deliver SmartGreen-UA curricula independently after project end.</w:t>
      </w:r>
    </w:p>
    <w:p>
      <w:pPr/>
      <w:r>
        <w:rPr>
          <w:rFonts w:ascii="Arial" w:hAnsi="Arial"/>
          <w:color w:val="000000"/>
          <w:sz w:val="22"/>
        </w:rPr>
        <w:t>**Activities:**</w:t>
        <w:br/>
        <w:t>- M1–6: Training needs survey and individual development plans (IDPs) prepared for all 25 staff.</w:t>
        <w:br/>
        <w:t>- M4–30: Staff exchanges to NTNU. Twenty-five ZNU/Partner 2 staff complete exchanges to NTNU averaging 10–15 working days each, distributed across Years 1–3. Exchanges are structured around laboratory immersion (NTNU's Kjølle Energy Systems Lab, CINELDI Centre for Intelligent Electricity Distribution), curriculum co-design workshops, and teaching observations. Minimum eight staff complete exchanges in Year 1 to enable early course delivery.</w:t>
        <w:br/>
        <w:t>- M4–30: NTNU teaching missions to Ukraine. Fifteen NTNU academic and industry-linked staff complete teaching missions to ZNU and Ukrainian Partner 2 campuses, each of 5–10 working days, delivering intensive modules and supporting laboratory exercises.</w:t>
        <w:br/>
        <w:t>- M12–30: Train-the-Trainer programme. ZNU staff who have completed NTNU exchanges deliver internal training workshops to broader ZNU faculty, extending the competence base beyond the 25 directly involved staff. Target: 40 additional staff reached through internal cascading by M30.</w:t>
        <w:br/>
        <w:t>- M6–36: Online professional development series. Monthly 90-minute online seminars co-hosted by NTNU and ZNU speakers, open to all consortium staff and affiliated institutions. Recordings archived as OER.</w:t>
      </w:r>
    </w:p>
    <w:p>
      <w:pPr/>
      <w:r>
        <w:rPr>
          <w:rFonts w:ascii="Arial" w:hAnsi="Arial"/>
          <w:color w:val="000000"/>
          <w:sz w:val="22"/>
        </w:rPr>
        <w:t>**Key deliverables:** D2.1 Staff IDP Package (M6); D2.2 Exchange Activity Reports × 25 (continuous); D2.3 NTNU Teaching Mission Reports × 15 (continuous); D2.4 Train-the-Trainer Workshop Series Reports (M24, M36).</w:t>
      </w:r>
    </w:p>
    <w:p>
      <w:pPr/>
      <w:r>
        <w:rPr>
          <w:rFonts w:ascii="Arial" w:hAnsi="Arial"/>
          <w:color w:val="000000"/>
          <w:sz w:val="22"/>
        </w:rPr>
        <w:t>**Numbers:** 25 staff exchanges (ZNU/Partner 2 → NTNU); 15 NTNU teaching missions; 40 staff reached via cascade training; 36 online seminars.</w:t>
      </w:r>
    </w:p>
    <w:p>
      <w:pPr/>
      <w:r>
        <w:rPr>
          <w:rFonts w:ascii="Arial" w:hAnsi="Arial"/>
          <w:color w:val="000000"/>
          <w:sz w:val="22"/>
        </w:rPr>
        <w:t>---</w:t>
      </w:r>
    </w:p>
    <w:p>
      <w:pPr/>
      <w:r>
        <w:rPr>
          <w:rFonts w:ascii="Arial" w:hAnsi="Arial"/>
          <w:color w:val="000000"/>
          <w:sz w:val="22"/>
        </w:rPr>
        <w:t>### WP3: Student Training Programme (Months 6–36, Lead: ZNU, Co-lead: NTNU)</w:t>
      </w:r>
    </w:p>
    <w:p>
      <w:pPr/>
      <w:r>
        <w:rPr>
          <w:rFonts w:ascii="Arial" w:hAnsi="Arial"/>
          <w:color w:val="000000"/>
          <w:sz w:val="22"/>
        </w:rPr>
        <w:t>**Objective:** Deliver new curricula to minimum 600 undergraduate and 80 master's/PhD students across three years; provide 45 students with mobility experiences at NTNU.</w:t>
      </w:r>
    </w:p>
    <w:p>
      <w:pPr/>
      <w:r>
        <w:rPr>
          <w:rFonts w:ascii="Arial" w:hAnsi="Arial"/>
          <w:color w:val="000000"/>
          <w:sz w:val="22"/>
        </w:rPr>
        <w:t>**Activities:**</w:t>
        <w:br/>
        <w:t>- M6–12: Pilot delivery of two courses (Smart Grid Fundamentals; Renewable Energy Grid Integration) in ZNU's Spring 2027 semester, with NTNU remote support. Student cohort: approximately 80 per course.</w:t>
        <w:br/>
        <w:t>- M12–36: Full curriculum rollout. All eight courses integrated into regular semester delivery at ZNU and Ukrainian Partner 2 by M24. Annual student reach: ≥200 students per year across both Ukrainian institutions.</w:t>
        <w:br/>
        <w:t>- M6–36: Mobility programme. Thirty undergraduate students (15 per Ukrainian institution) complete semester exchanges at NTNU (5 months each, supported by Nansen scholarships at EUR 250/month). Fifteen master's/PhD students complete extended exchanges (10 months each, EUR 400/month for PhD). Mobility is distributed across Years 1–3 to distribute administrative load and to align with available scholarship funds.</w:t>
        <w:br/>
        <w:t>- M12–36: Industry project modules. Each course includes a mandatory industry project component in which student teams work with a Ukrainian DSO, Ukrenergo, or municipal energy unit on a real reconstruction or grid optimisation challenge. Industry partners provide real datasets; students deliver technical reports and presentations. Minimum 20 industry project partnerships established.</w:t>
        <w:br/>
        <w:t>- M18–36: Joint student supervision. Ten student theses (master's level) co-supervised by NTNU and ZNU/Partner 2 supervisors, using shared online supervision platforms.</w:t>
      </w:r>
    </w:p>
    <w:p>
      <w:pPr/>
      <w:r>
        <w:rPr>
          <w:rFonts w:ascii="Arial" w:hAnsi="Arial"/>
          <w:color w:val="000000"/>
          <w:sz w:val="22"/>
        </w:rPr>
        <w:t>**Key deliverables:** D3.1 Pilot Course Evaluation Reports (M12); D3.2 Annual Student Outcome Reports (M24, M36); D3.3 Mobility Completion Reports × 45 (continuous); D3.4 Industry Project Compendium (M36).</w:t>
      </w:r>
    </w:p>
    <w:p>
      <w:pPr/>
      <w:r>
        <w:rPr>
          <w:rFonts w:ascii="Arial" w:hAnsi="Arial"/>
          <w:color w:val="000000"/>
          <w:sz w:val="22"/>
        </w:rPr>
        <w:t>**Methodology:** Blended learning with asynchronous lecture content (pre-recorded, captioned in Ukrainian) complemented by synchronous problem-solving sessions. Physical laboratory exercises conducted during scheduled campus days, with remote equivalents available for students displaced by security conditions. Assessment includes individual written exams, group project reports, and oral presentations to industry advisory board members.</w:t>
      </w:r>
    </w:p>
    <w:p>
      <w:pPr/>
      <w:r>
        <w:rPr>
          <w:rFonts w:ascii="Arial" w:hAnsi="Arial"/>
          <w:color w:val="000000"/>
          <w:sz w:val="22"/>
        </w:rPr>
        <w:t>---</w:t>
      </w:r>
    </w:p>
    <w:p>
      <w:pPr/>
      <w:r>
        <w:rPr>
          <w:rFonts w:ascii="Arial" w:hAnsi="Arial"/>
          <w:color w:val="000000"/>
          <w:sz w:val="22"/>
        </w:rPr>
        <w:t>### WP4: Smart Energy Living Lab and Pilot Projects (Months 6–36, Lead: ZNU, Co-lead: NTNU)</w:t>
      </w:r>
    </w:p>
    <w:p>
      <w:pPr/>
      <w:r>
        <w:rPr>
          <w:rFonts w:ascii="Arial" w:hAnsi="Arial"/>
          <w:color w:val="000000"/>
          <w:sz w:val="22"/>
        </w:rPr>
        <w:t>**Objective:** Establish a functional Smart Energy Living Lab on ZNU's campus and conduct three pilot energy management demonstrations directly supporting curriculum delivery.</w:t>
      </w:r>
    </w:p>
    <w:p>
      <w:pPr/>
      <w:r>
        <w:rPr>
          <w:rFonts w:ascii="Arial" w:hAnsi="Arial"/>
          <w:color w:val="000000"/>
          <w:sz w:val="22"/>
        </w:rPr>
        <w:t>**Activities:**</w:t>
        <w:br/>
        <w:t>- M6–12: Living Lab scoping and instrumentation plan. ZNU's existing solar PV array (rooftop, ~50 kW), cogeneration unit, and campus electricity distribution network are assessed and instrumented with smart meters and IoT sensors. NTNU provides technical specifications and remote commissioning support. Equipment procurement completed by M12 (i.e., 18 months before project end, well within the 12-month procurement deadline rule).</w:t>
        <w:br/>
        <w:t>- M12–18: Living Lab commissioning. Data collection infrastructure operational; real-time energy dashboard accessible to students and staff via ZNU's intranet portal.</w:t>
        <w:br/>
        <w:t>- M12–24: Pilot 1 — Campus demand response simulation. Students use Living Lab data to design and simulate demand response algorithms, comparing results against actual campus consumption patterns. Validated using NTNU's PowerFactory and DIgSILENT simulation environments.</w:t>
        <w:br/>
        <w:t>- M18–30: Pilot 2 — Digital twin of campus energy system. A digital twin of ZNU's campus microgrid is constructed using open-source tools (OpenModelica, OpenDSS), calibrated against Living Lab sensor data, and used as a teaching environment for advanced grid modelling courses.</w:t>
        <w:br/>
        <w:t>- M24–36: Pilot 3 — AI-driven energy analytics. ZNU's Faculty of Mathematics AI/ML team co-develops with NTNU a machine learning pipeline for building energy consumption forecasting applied to ZNU campus buildings. Pipeline published as open-source tool for use by other Ukrainian universities.</w:t>
      </w:r>
    </w:p>
    <w:p>
      <w:pPr/>
      <w:r>
        <w:rPr>
          <w:rFonts w:ascii="Arial" w:hAnsi="Arial"/>
          <w:color w:val="000000"/>
          <w:sz w:val="22"/>
        </w:rPr>
        <w:t>**Key deliverables:** D4.1 Living Lab Technical Specification (M12); D4.2 Living Lab Commissioning Report (M18); D4.3 Pilot 1 Technical Report (M24); D4.4 Digital Twin Model — Campus Microgrid (M30); D4.5 AI Energy Analytics Toolkit — Open Source Release (M36).</w:t>
      </w:r>
    </w:p>
    <w:p>
      <w:pPr/>
      <w:r>
        <w:rPr>
          <w:rFonts w:ascii="Arial" w:hAnsi="Arial"/>
          <w:color w:val="000000"/>
          <w:sz w:val="22"/>
        </w:rPr>
        <w:t>---</w:t>
      </w:r>
    </w:p>
    <w:p>
      <w:pPr/>
      <w:r>
        <w:rPr>
          <w:rFonts w:ascii="Arial" w:hAnsi="Arial"/>
          <w:color w:val="000000"/>
          <w:sz w:val="22"/>
        </w:rPr>
        <w:t>### WP5: Dissemination, Quality Assurance and Sustainability (Months 1–36, Lead: NTNU, Co-lead: ZNU)</w:t>
      </w:r>
    </w:p>
    <w:p>
      <w:pPr/>
      <w:r>
        <w:rPr>
          <w:rFonts w:ascii="Arial" w:hAnsi="Arial"/>
          <w:color w:val="000000"/>
          <w:sz w:val="22"/>
        </w:rPr>
        <w:t>**Objective:** Ensure quality, visibility, and post-project sustainability of all SmartGreen-UA outputs.</w:t>
      </w:r>
    </w:p>
    <w:p>
      <w:pPr/>
      <w:r>
        <w:rPr>
          <w:rFonts w:ascii="Arial" w:hAnsi="Arial"/>
          <w:color w:val="000000"/>
          <w:sz w:val="22"/>
        </w:rPr>
        <w:t>**Activities:**</w:t>
        <w:br/>
        <w:t>- M1–36: Project website and OER repository. Dedicated project website launched M3; all course materials progressively published as CC-BY 4.0 OER in Ukrainian and English.</w:t>
        <w:br/>
        <w:t>- M6–36: Industry advisory board. Quarterly meetings (online) with Ukrenergo, Zaporizhzhiaoblenergo, Norwegian energy industry representatives (Statkraft, Eidsiva), and NTNU alumni in Ukrainian energy sector. Board reviews curriculum relevance and Living Lab pilot outcomes.</w:t>
        <w:br/>
        <w:t>- M12, M24, M36: CPD workshops. Four half-day workshops per year (two online, two hybrid on ZNU campus) for Ukrainian energy industry professionals. Target: ≥80 professionals trained across project lifetime.</w:t>
        <w:br/>
        <w:t>- M18: Mid-term evaluation. External evaluator reviews progress against all SMART objectives; recommendations integrated into Year 3 plan.</w:t>
        <w:br/>
        <w:t>- M30–36: Replication package. Consolidated 'SmartGreen-UA Implementation Guide' produced in Ukrainian and English, enabling any Ukrainian technical university to adopt the curricula with minimal adaptation. Guide distributed to 20 Ukrainian HEIs via Ministry of Education and Science channels.</w:t>
        <w:br/>
        <w:t>- M36: Final conference. International conference hosted jointly by NTNU and ZNU (hybrid format), presenting project results, OER portfolio, and the Horizon Europe follow-on proposal.</w:t>
      </w:r>
    </w:p>
    <w:p>
      <w:pPr/>
      <w:r>
        <w:rPr>
          <w:rFonts w:ascii="Arial" w:hAnsi="Arial"/>
          <w:color w:val="000000"/>
          <w:sz w:val="22"/>
        </w:rPr>
        <w:t>**Key deliverables:** D5.1 Project Website (M3); D5.2 OER Repository — Final (M36); D5.3 CPD Workshop Reports × 12 (continuous); D5.4 Mid-Term Evaluation Report (M18); D5.5 SmartGreen-UA Replication Guide (M33); D5.6 Final Conference Proceedings (M36).</w:t>
      </w:r>
    </w:p>
    <w:p>
      <w:pPr/>
      <w:r>
        <w:rPr>
          <w:rFonts w:ascii="Arial" w:hAnsi="Arial"/>
          <w:color w:val="000000"/>
          <w:sz w:val="22"/>
        </w:rPr>
        <w:t>---</w:t>
      </w:r>
    </w:p>
    <w:p>
      <w:pPr/>
      <w:r>
        <w:rPr>
          <w:rFonts w:ascii="Arial" w:hAnsi="Arial"/>
          <w:color w:val="000000"/>
          <w:sz w:val="22"/>
        </w:rPr>
        <w:t>### Year-by-Year Timeline Summary</w:t>
      </w:r>
    </w:p>
    <w:p>
      <w:pPr/>
      <w:r>
        <w:rPr>
          <w:rFonts w:ascii="Arial" w:hAnsi="Arial"/>
          <w:color w:val="000000"/>
          <w:sz w:val="22"/>
        </w:rPr>
        <w:t>| Year | Period | Focus | Key Milestones |</w:t>
        <w:br/>
        <w:t>|------|--------|-------|----------------|</w:t>
        <w:br/>
        <w:t>| Year 1 | Jul 2026 – Jun 2027 | Foundation | Needs assessment; 8 syllabi; pilot 2 courses; first 8 staff exchanges; Living Lab instrumentation; 80 students reach |</w:t>
        <w:br/>
        <w:t>| Year 2 | Jul 2027 – Jun 2028 | Pilots | Full 8-course delivery; Digital twin pilot; 120 students reach; 12 staff exchanges; 25 student mobilities; mid-term evaluation |</w:t>
        <w:br/>
        <w:t>| Year 3 | Jul 2028 – Jun 2029 | Scaling | Accreditation completion; AI analytics toolkit; 400+ students reach; 20 student mobilities; replication guide; final conference; Horizon proposal |</w:t>
      </w:r>
    </w:p>
    <w:p>
      <w:pPr/>
      <w:r>
        <w:rPr>
          <w:rFonts w:ascii="Arial" w:hAnsi="Arial"/>
          <w:color w:val="000000"/>
          <w:sz w:val="22"/>
        </w:rPr>
        <w:t>**Budget allocation by WP (indicative, total NOK 5,000,000):**</w:t>
        <w:br/>
        <w:t>- WP1 Curriculum Development: NOK 900,000 (18%)</w:t>
        <w:br/>
        <w:t>- WP2 Staff Training/Exchanges: NOK 1,100,000 (22%)</w:t>
        <w:br/>
        <w:t>- WP3 Student Programme: NOK 1,500,000 (30%) — includes scholarships NOK 800,000</w:t>
        <w:br/>
        <w:t>- WP4 Living Lab: NOK 800,000 (16%) — includes equipment NOK 350,000</w:t>
        <w:br/>
        <w:t>- WP5 Dissemination/QA: NOK 700,000 (14%)</w:t>
      </w:r>
    </w:p>
    <w:p>
      <w:pPr/>
      <w:r>
        <w:rPr>
          <w:rFonts w:ascii="Arial" w:hAnsi="Arial"/>
          <w:color w:val="000000"/>
          <w:sz w:val="22"/>
        </w:rPr>
        <w:t>NTNU personnel costs are budgeted at NOK 1,450,000, representing 29% of total budget — within the mandatory 30% ceiling.</w:t>
      </w:r>
    </w:p>
    <w:p w14:paraId="621A9D5B" w14:textId="77777777" w:rsidR="000233C9" w:rsidRPr="003462FB" w:rsidRDefault="000233C9" w:rsidP="000233C9">
      <w:pPr>
        <w:pStyle w:val="Ingenmellomrom"/>
      </w:pPr>
    </w:p>
    <w:p w14:paraId="3213A3F2" w14:textId="77777777" w:rsidR="000233C9" w:rsidRPr="003462FB" w:rsidRDefault="000233C9" w:rsidP="000233C9">
      <w:pPr>
        <w:pStyle w:val="Ingenmellomrom"/>
      </w:pPr>
    </w:p>
    <w:p w14:paraId="3685465E" w14:textId="77777777" w:rsidR="000233C9" w:rsidRPr="003462FB" w:rsidRDefault="000233C9" w:rsidP="000233C9">
      <w:pPr>
        <w:pStyle w:val="Ingenmellomrom"/>
      </w:pPr>
    </w:p>
    <w:p w14:paraId="31E95A9E" w14:textId="77777777" w:rsidR="000233C9" w:rsidRPr="003462FB" w:rsidRDefault="000233C9" w:rsidP="000233C9">
      <w:pPr>
        <w:pStyle w:val="Ingenmellomrom"/>
        <w:rPr>
          <w:b/>
          <w:bCs/>
        </w:rPr>
      </w:pPr>
      <w:r w:rsidRPr="003462FB">
        <w:rPr>
          <w:b/>
          <w:bCs/>
        </w:rPr>
        <w:t>2.2</w:t>
      </w:r>
      <w:r w:rsidRPr="003462FB">
        <w:rPr>
          <w:b/>
          <w:bCs/>
        </w:rPr>
        <w:tab/>
        <w:t>Risk factors in the project and measures to reduce them</w:t>
      </w:r>
    </w:p>
    <w:p w14:paraId="60462A66" w14:textId="77777777" w:rsidR="000233C9" w:rsidRPr="003462FB" w:rsidRDefault="000233C9" w:rsidP="000233C9">
      <w:pPr>
        <w:pStyle w:val="Ingenmellomrom"/>
      </w:pPr>
    </w:p>
    <w:p w14:paraId="1084F9B9" w14:textId="77777777" w:rsidR="000233C9" w:rsidRPr="003462FB" w:rsidRDefault="000233C9" w:rsidP="000233C9">
      <w:pPr>
        <w:pStyle w:val="Ingenmellomrom"/>
      </w:pPr>
    </w:p>
    <w:p w14:paraId="586CE14F" w14:textId="7CDDE6A1" w:rsidR="000233C9" w:rsidRPr="003462FB" w:rsidRDefault="000233C9" w:rsidP="000233C9">
      <w:pPr/>
      <w:r>
        <w:rPr>
          <w:rFonts w:ascii="Arial" w:hAnsi="Arial"/>
          <w:color w:val="000000"/>
          <w:sz w:val="22"/>
        </w:rPr>
        <w:t>## 2.2 Risk Factors and Mitigation Measures</w:t>
      </w:r>
    </w:p>
    <w:p>
      <w:pPr/>
      <w:r>
        <w:rPr>
          <w:rFonts w:ascii="Arial" w:hAnsi="Arial"/>
          <w:color w:val="000000"/>
          <w:sz w:val="22"/>
        </w:rPr>
        <w:t>### Security Risks (HIGH probability, HIGH impact)</w:t>
      </w:r>
    </w:p>
    <w:p>
      <w:pPr/>
      <w:r>
        <w:rPr>
          <w:rFonts w:ascii="Arial" w:hAnsi="Arial"/>
          <w:color w:val="000000"/>
          <w:sz w:val="22"/>
        </w:rPr>
        <w:t>Zaporizhzhia is a frontline city subject to regular missile, drone, and artillery attacks. ZNU's campus has experienced direct strike consequences, including infrastructure damage and forced temporary closure during intense bombardment periods. This represents the single most significant risk to project implementation.</w:t>
      </w:r>
    </w:p>
    <w:p>
      <w:pPr/>
      <w:r>
        <w:rPr>
          <w:rFonts w:ascii="Arial" w:hAnsi="Arial"/>
          <w:color w:val="000000"/>
          <w:sz w:val="22"/>
        </w:rPr>
        <w:t>**Mitigation measures:**</w:t>
        <w:br/>
        <w:t>- **Blended-first architecture:** All eight courses are designed from the outset for asynchronous delivery via ZNU's Moodle-based LMS and Microsoft Azure cloud infrastructure, so that course continuity is not dependent on physical campus access. Students can complete coursework remotely; teaching staff can deliver content from any location with internet access.</w:t>
        <w:br/>
        <w:t>- **Geographic distribution:** Ukrainian Partner 2 institution (to be confirmed, located outside the frontline zone) provides an alternative delivery hub for all courses, ensuring that if ZNU's physical operations are interrupted, curriculum delivery continues at Partner 2 without loss of enrolled students.</w:t>
        <w:br/>
        <w:t>- **Data backup and redundancy:** All course materials, student records, and Living Lab data are stored on ZNU's Azure cloud environment with daily automated backups to NTNU's servers in Trondheim, ensuring zero data loss even in the event of total campus inaccessibility.</w:t>
        <w:br/>
        <w:t>- **Contingency budget:** 5% of total budget is ring-fenced as a contingency reserve, accessible upon written agreement between NTNU (as grant holder) and HK-dir, to cover extraordinary costs arising from security-related disruptions (e.g., emergency rescheduling of staff exchanges, alternative venue rental, additional IT infrastructure).</w:t>
        <w:br/>
        <w:t>- **Security monitoring protocol:** The project steering committee reviews the Zaporizhzhia security situation at each quarterly meeting using OCHA and Ukrainian government advisories. Planned in-person activities at ZNU are subject to a 72-hour security assessment before confirmation; all in-person visits follow NTNU's institutional travel risk management policy and require mandatory travel insurance with war-zone coverage.</w:t>
        <w:br/>
        <w:t>- **Staff and student welfare:** ZNU's existing psychological support services and NTNU's occupational health protocols are activated for project participants showing signs of war-related distress. The project provides access to counselling referral for all Ukrainian participants.</w:t>
      </w:r>
    </w:p>
    <w:p>
      <w:pPr/>
      <w:r>
        <w:rPr>
          <w:rFonts w:ascii="Arial" w:hAnsi="Arial"/>
          <w:color w:val="000000"/>
          <w:sz w:val="22"/>
        </w:rPr>
        <w:t>### Corruption Risk (MEDIUM-HIGH probability, MEDIUM impact)</w:t>
      </w:r>
    </w:p>
    <w:p>
      <w:pPr/>
      <w:r>
        <w:rPr>
          <w:rFonts w:ascii="Arial" w:hAnsi="Arial"/>
          <w:color w:val="000000"/>
          <w:sz w:val="22"/>
        </w:rPr>
        <w:t>Ukraine's Transparency International Corruption Perception Index score stands at 35/100 (2023), well below the 69/100 threshold requiring mandatory anti-corruption measures under Nansen EDU programme rules [7].</w:t>
      </w:r>
    </w:p>
    <w:p>
      <w:pPr/>
      <w:r>
        <w:rPr>
          <w:rFonts w:ascii="Arial" w:hAnsi="Arial"/>
          <w:color w:val="000000"/>
          <w:sz w:val="22"/>
        </w:rPr>
        <w:t>**Mitigation measures:**</w:t>
        <w:br/>
        <w:t>- **Financial management by NTNU:** As the Norwegian grant holder, NTNU maintains primary financial control. All grant funds are received and disbursed by NTNU in accordance with Norwegian state financial regulations (Reglement for økonomistyring i staten). Sub-grants to ZNU and Ukrainian Partner 2 are governed by formal sub-grant agreements specifying eligible expenditures, reporting requirements, and audit rights.</w:t>
        <w:br/>
        <w:t>- **Dual authorisation:** All ZNU expenditures above EUR 1,000 require co-authorisation by the ZNU project coordinator and ZNU's internal financial controller. ZNU's existing financial control processes — strengthened through its ESG institutional strategy — include quarterly internal audits.</w:t>
        <w:br/>
        <w:t>- **Competitive procurement:** All equipment purchases and service contracts above EUR 500 are subject to minimum three-quote competitive procurement. Procurement documentation is maintained by ZNU and available to NTNU and HK-dir upon request.</w:t>
        <w:br/>
        <w:t>- **Scholarship transparency:** Student scholarship recipients are selected by a joint NTNU-ZNU selection committee using published, objective criteria (academic merit, language proficiency, alignment with project learning outcomes). Selection decisions are documented and available for external review.</w:t>
        <w:br/>
        <w:t>- **Whistleblower mechanism:** A confidential reporting channel (email to NTNU's project office, accessible to all project participants) is established at project launch. NTNU's institutional integrity officer is designated as the external reviewer of any reported concerns.</w:t>
        <w:br/>
        <w:t>- **Training:** All project staff complete a one-hour online anti-corruption module (based on Transparency International's academic integrity training materials) at project onboarding.</w:t>
      </w:r>
    </w:p>
    <w:p>
      <w:pPr/>
      <w:r>
        <w:rPr>
          <w:rFonts w:ascii="Arial" w:hAnsi="Arial"/>
          <w:color w:val="000000"/>
          <w:sz w:val="22"/>
        </w:rPr>
        <w:t>### Environmental and Climate Risks (LOW probability, MEDIUM impact)</w:t>
      </w:r>
    </w:p>
    <w:p>
      <w:pPr/>
      <w:r>
        <w:rPr>
          <w:rFonts w:ascii="Arial" w:hAnsi="Arial"/>
          <w:color w:val="000000"/>
          <w:sz w:val="22"/>
        </w:rPr>
        <w:t>**Mitigation measures:**</w:t>
        <w:br/>
        <w:t>- **Travel minimisation:** Project activities are designed to minimise intercontinental and long-haul travel. Staff exchanges use direct Oslo–Kyiv or Oslo–Lviv flights where available; ground transport (rail) is preferred for European legs. Online co-design workshops replace three of the six planned curriculum workshops, reducing travel-related CO₂ by an estimated 35%.</w:t>
        <w:br/>
        <w:t>- **Carbon calculation:** The project uses NTNU's institutional carbon accounting tool to estimate and document travel emissions. Annual carbon footprint is reported in the project's progress report to HK-dir.</w:t>
        <w:br/>
        <w:t>- **Living Lab as climate tool:** WP4's Smart Energy Living Lab is itself a climate mitigation instrument, demonstrating and teaching demand reduction, solar integration, and energy efficiency — directly advancing the educational programme's contribution to Ukraine's green transition.</w:t>
        <w:br/>
        <w:t>- **Digital-first materials:** All course materials are digital; no printed textbooks are procured. The OER repository reduces the need for repeated travel to transfer knowledge between institutions.</w:t>
      </w:r>
    </w:p>
    <w:p>
      <w:pPr/>
      <w:r>
        <w:rPr>
          <w:rFonts w:ascii="Arial" w:hAnsi="Arial"/>
          <w:color w:val="000000"/>
          <w:sz w:val="22"/>
        </w:rPr>
        <w:t>### Gender Equality (MEDIUM risk of structural underrepresentation)</w:t>
      </w:r>
    </w:p>
    <w:p>
      <w:pPr/>
      <w:r>
        <w:rPr>
          <w:rFonts w:ascii="Arial" w:hAnsi="Arial"/>
          <w:color w:val="000000"/>
          <w:sz w:val="22"/>
        </w:rPr>
        <w:t>Engineering education in both Norway and Ukraine exhibits persistent gender imbalances. In Ukrainian technical universities, women represent approximately 28% of energy engineering students and fewer than 20% of academic staff in power systems departments [5].</w:t>
      </w:r>
    </w:p>
    <w:p>
      <w:pPr/>
      <w:r>
        <w:rPr>
          <w:rFonts w:ascii="Arial" w:hAnsi="Arial"/>
          <w:color w:val="000000"/>
          <w:sz w:val="22"/>
        </w:rPr>
        <w:t>**Mitigation measures:**</w:t>
        <w:br/>
        <w:t>- **Targeted recruitment:** Mobility scholarship selection criteria include a gender equity target: at minimum, 40% of all scholarship recipients will be women. If applications from women fall below 40%, ZNU and Partner 2 will implement active outreach to female students through university women-in-engineering networks and targeted information sessions.</w:t>
        <w:br/>
        <w:t>- **Staff composition:** The project steering committee will maintain gender balance (minimum 40% of any gender) at all governance levels. ZNU and NTNU commit to gender-balanced representation in course co-design workshops.</w:t>
        <w:br/>
        <w:t>- **Curriculum content:** Course materials explicitly address gender dimensions of energy access, with case studies on gender-differentiated energy needs in post-conflict reconstruction contexts, drawing on IEA and IRENA research on gender and energy [8].</w:t>
        <w:br/>
        <w:t>- **Role models:** NTNU's teaching missions to Ukraine will include a minimum of 40% women among visiting lecturers, providing visible role models for Ukrainian female students.</w:t>
      </w:r>
    </w:p>
    <w:p>
      <w:pPr/>
      <w:r>
        <w:rPr>
          <w:rFonts w:ascii="Arial" w:hAnsi="Arial"/>
          <w:color w:val="000000"/>
          <w:sz w:val="22"/>
        </w:rPr>
        <w:t>### Human Rights (LOW risk, requiring active monitoring)</w:t>
      </w:r>
    </w:p>
    <w:p>
      <w:pPr/>
      <w:r>
        <w:rPr>
          <w:rFonts w:ascii="Arial" w:hAnsi="Arial"/>
          <w:color w:val="000000"/>
          <w:sz w:val="22"/>
        </w:rPr>
        <w:t>The project operates in a conflict zone where civilian rights are systematically violated by the occupying power. The project itself, however, carries minimal risk of causing harm to participants' rights, with two exceptions requiring active management:</w:t>
        <w:br/>
        <w:t>- **Access and non-discrimination:** Displaced Ukrainian students (internally displaced persons from occupied territories, including Zaporizhzhia city areas near the frontline) must not be excluded from project benefits due to inability to physically attend campus. The blended-first design directly addresses this: all students enrolled in ZNU's or Partner 2's degree programs, regardless of physical location, can access SmartGreen-UA courses online.</w:t>
        <w:br/>
        <w:t>- **Academic freedom:** The project will not involve research or teaching on topics that could be misappropriated for military purposes. Course content is reviewed against dual-use and export control considerations (see Data Protection section below). Academic freedom at ZNU is maintained: Ukrainian law does not restrict the teaching of energy engineering content that is the focus of this project.</w:t>
      </w:r>
    </w:p>
    <w:p>
      <w:pPr/>
      <w:r>
        <w:rPr>
          <w:rFonts w:ascii="Arial" w:hAnsi="Arial"/>
          <w:color w:val="000000"/>
          <w:sz w:val="22"/>
        </w:rPr>
        <w:t>### SEAH Prevention (Sexual Exploitation, Abuse and Harassment)</w:t>
      </w:r>
    </w:p>
    <w:p>
      <w:pPr/>
      <w:r>
        <w:rPr>
          <w:rFonts w:ascii="Arial" w:hAnsi="Arial"/>
          <w:color w:val="000000"/>
          <w:sz w:val="22"/>
        </w:rPr>
        <w:t>SEAH risks arise primarily in the context of international mobility (student and staff exchanges to NTNU and vice versa).</w:t>
      </w:r>
    </w:p>
    <w:p>
      <w:pPr/>
      <w:r>
        <w:rPr>
          <w:rFonts w:ascii="Arial" w:hAnsi="Arial"/>
          <w:color w:val="000000"/>
          <w:sz w:val="22"/>
        </w:rPr>
        <w:t>**Mitigation measures:**</w:t>
        <w:br/>
        <w:t>- **Codes of conduct:** All project participants (staff and students) sign NTNU's Code of Professional Conduct, which explicitly prohibits sexual harassment, exploitation, and abuse. ZNU and Partner 2 publish equivalent Ukrainian-language codes for domestic participants.</w:t>
        <w:br/>
        <w:t>- **Pre-departure briefing:** All outbound mobility participants receive a mandatory pre-departure SEAH awareness briefing covering rights, reporting mechanisms, and support resources.</w:t>
        <w:br/>
        <w:t>- **Confidential reporting:** A dedicated SEAH reporting channel is established — separate from the anti-corruption channel — with an independent contact person at NTNU (NTNU's Gender Equality and Inclusion Officer) and equivalent at ZNU. Reported cases are handled according to NTNU's institutional SEAH response protocol, which meets the standards of Norwegian university sector guidelines.</w:t>
        <w:br/>
        <w:t>- **Accommodation vetting:** All student accommodation in Trondheim is arranged through NTNU's Student Housing Office (SiT), which applies established safeguarding standards. Students are never placed in accommodation arranged by individual staff members.</w:t>
        <w:br/>
        <w:t>- **Power dynamics awareness:** The project team receives training on power imbalances in international student-staff relationships, with particular attention to the vulnerability of Ukrainian students in a foreign country context.</w:t>
      </w:r>
    </w:p>
    <w:p>
      <w:pPr/>
      <w:r>
        <w:rPr>
          <w:rFonts w:ascii="Arial" w:hAnsi="Arial"/>
          <w:color w:val="000000"/>
          <w:sz w:val="22"/>
        </w:rPr>
        <w:t>### Data Protection and IT Security (MEDIUM probability, HIGH impact)</w:t>
      </w:r>
    </w:p>
    <w:p>
      <w:pPr/>
      <w:r>
        <w:rPr>
          <w:rFonts w:ascii="Arial" w:hAnsi="Arial"/>
          <w:color w:val="000000"/>
          <w:sz w:val="22"/>
        </w:rPr>
        <w:t>- All project data is stored on GDPR-compliant platforms: NTNU's Microsoft 365 institutional environment and ZNU's Azure tenant.</w:t>
        <w:br/>
        <w:t>- A Data Management Plan is produced at M3 and updated annually, covering personal data (student records, mobility data) and research data (Living Lab sensor data).</w:t>
        <w:br/>
        <w:t>- Export control review is conducted at M1 to confirm that no project content involves controlled technologies under Norwegian or EU dual-use regulations. Energy systems education at the level covered by this project does not engage dual-use restrictions, but this is formally documented.</w:t>
        <w:br/>
        <w:t>- Cybersecurity of the Living Lab's IoT infrastructure is addressed through NTNU's guidance on secure sensor network deployment; ZNU's Azure cloud environment uses Microsoft Defender for Cloud monitoring.</w:t>
      </w:r>
    </w:p>
    <w:p>
      <w:pPr/>
      <w:r>
        <w:rPr>
          <w:rFonts w:ascii="Arial" w:hAnsi="Arial"/>
          <w:color w:val="000000"/>
          <w:sz w:val="22"/>
        </w:rPr>
        <w:t>### Cost-Effectiveness Justification</w:t>
      </w:r>
    </w:p>
    <w:p>
      <w:pPr/>
      <w:r>
        <w:rPr>
          <w:rFonts w:ascii="Arial" w:hAnsi="Arial"/>
          <w:color w:val="000000"/>
          <w:sz w:val="22"/>
        </w:rPr>
        <w:t>SmartGreen-UA delivers exceptional value for NOK 5,000,000: eight accredited courses reaching 600+ students over three years; a permanently installed Living Lab serving the institution for 10+ years; 25 trained staff who will teach thousands of students annually in perpetuity; 45 student mobility experiences; and a replication package enabling adoption by 20 additional Ukrainian universities. The per-student cost of the direct training activities is approximately NOK 8,300 — comparable to a single short-course registration fee at a European professional training provider, but delivering a full accredited curriculum transformation.</w:t>
      </w:r>
    </w:p>
    <w:p w14:paraId="640C68E4" w14:textId="77777777" w:rsidR="000233C9" w:rsidRPr="003462FB" w:rsidRDefault="000233C9" w:rsidP="000233C9">
      <w:pPr>
        <w:pStyle w:val="Ingenmellomrom"/>
      </w:pPr>
    </w:p>
    <w:p w14:paraId="4B20E0D3" w14:textId="77777777" w:rsidR="000233C9" w:rsidRPr="003462FB" w:rsidRDefault="000233C9" w:rsidP="000233C9">
      <w:pPr>
        <w:pStyle w:val="Ingenmellomrom"/>
      </w:pPr>
    </w:p>
    <w:p w14:paraId="475DCB01" w14:textId="77777777" w:rsidR="000233C9" w:rsidRPr="003462FB" w:rsidRDefault="000233C9" w:rsidP="000233C9">
      <w:pPr>
        <w:pStyle w:val="Ingenmellomrom"/>
      </w:pPr>
    </w:p>
    <w:p w14:paraId="7D136DC1" w14:textId="77777777" w:rsidR="000233C9" w:rsidRPr="003462FB" w:rsidRDefault="000233C9" w:rsidP="000233C9">
      <w:pPr>
        <w:pStyle w:val="Ingenmellomrom"/>
      </w:pPr>
    </w:p>
    <w:p w14:paraId="7D2F47A8" w14:textId="77777777" w:rsidR="004107A8" w:rsidRDefault="004107A8">
      <w:pPr>
        <w:rPr>
          <w:b/>
          <w:bCs/>
          <w:sz w:val="32"/>
          <w:szCs w:val="32"/>
        </w:rPr>
      </w:pPr>
      <w:r>
        <w:rPr>
          <w:b/>
          <w:bCs/>
          <w:sz w:val="32"/>
          <w:szCs w:val="32"/>
        </w:rPr>
        <w:br w:type="page"/>
      </w:r>
    </w:p>
    <w:p w14:paraId="6D6684B7"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3</w:t>
      </w:r>
      <w:r w:rsidRPr="003462FB">
        <w:rPr>
          <w:b/>
          <w:bCs/>
          <w:sz w:val="32"/>
          <w:szCs w:val="32"/>
        </w:rPr>
        <w:tab/>
        <w:t xml:space="preserve">The project group and collaborative structures </w:t>
      </w:r>
    </w:p>
    <w:p w14:paraId="12FEE653" w14:textId="77777777" w:rsidR="000233C9" w:rsidRPr="003462FB" w:rsidRDefault="000233C9" w:rsidP="000233C9">
      <w:pPr>
        <w:pStyle w:val="Ingenmellomrom"/>
      </w:pPr>
    </w:p>
    <w:p w14:paraId="57D6BBF8" w14:textId="77777777" w:rsidR="000233C9" w:rsidRPr="003462FB" w:rsidRDefault="000233C9" w:rsidP="000233C9">
      <w:pPr>
        <w:pStyle w:val="Ingenmellomrom"/>
        <w:rPr>
          <w:b/>
          <w:bCs/>
        </w:rPr>
      </w:pPr>
      <w:r w:rsidRPr="003462FB">
        <w:rPr>
          <w:b/>
          <w:bCs/>
        </w:rPr>
        <w:t>3.1</w:t>
      </w:r>
      <w:r w:rsidRPr="003462FB">
        <w:rPr>
          <w:b/>
          <w:bCs/>
        </w:rPr>
        <w:tab/>
        <w:t>Key personnel for the implementation of the project</w:t>
      </w:r>
    </w:p>
    <w:p w14:paraId="63F5ED50" w14:textId="77777777" w:rsidR="000233C9" w:rsidRPr="003462FB" w:rsidRDefault="000233C9" w:rsidP="000233C9">
      <w:pPr>
        <w:pStyle w:val="Ingenmellomrom"/>
      </w:pPr>
    </w:p>
    <w:p w14:paraId="67673335" w14:textId="77777777" w:rsidR="000233C9" w:rsidRPr="003462FB" w:rsidRDefault="000233C9" w:rsidP="000233C9">
      <w:pPr>
        <w:pStyle w:val="Ingenmellomrom"/>
      </w:pPr>
    </w:p>
    <w:p w14:paraId="7D2473E2" w14:textId="205A702D" w:rsidR="000233C9" w:rsidRPr="003462FB" w:rsidRDefault="000233C9" w:rsidP="000233C9">
      <w:pPr/>
      <w:r>
        <w:rPr>
          <w:rFonts w:ascii="Arial" w:hAnsi="Arial"/>
          <w:color w:val="000000"/>
          <w:sz w:val="22"/>
        </w:rPr>
        <w:t>## 3.1 Key Personnel</w:t>
      </w:r>
    </w:p>
    <w:p>
      <w:pPr/>
      <w:r>
        <w:rPr>
          <w:rFonts w:ascii="Arial" w:hAnsi="Arial"/>
          <w:color w:val="000000"/>
          <w:sz w:val="22"/>
        </w:rPr>
        <w:t>### NTNU — Norwegian University of Science and Technology</w:t>
      </w:r>
    </w:p>
    <w:p>
      <w:pPr/>
      <w:r>
        <w:rPr>
          <w:rFonts w:ascii="Arial" w:hAnsi="Arial"/>
          <w:color w:val="000000"/>
          <w:sz w:val="22"/>
        </w:rPr>
        <w:t>**Project Coordinator (NTNU): Professor [Name TBC], Department of Electric Energy**</w:t>
        <w:br/>
        <w:t>The NTNU project coordinator is a full professor in power systems engineering with specific research expertise in smart grid stability, renewable energy grid integration, and distribution system automation. The coordinator holds a doctorate from a leading European technical university and has 15+ years of experience in coordinating EU-funded research and education projects, including Erasmus+ capacity building and Horizon Europe partnerships. The coordinator chairs NTNU's Energy Transition initiative working group on grid modernisation and maintains active consultancy relationships with Norwegian DSOs and with ENTSO-E. Specific to this project, the coordinator's responsibility encompasses strategic oversight of the consortium, financial management of the NTNU grant, quality assurance of all curriculum deliverables, and primary liaison with HK-dir. The coordinator will dedicate 30% FTE to the project across all three years.</w:t>
      </w:r>
    </w:p>
    <w:p>
      <w:pPr/>
      <w:r>
        <w:rPr>
          <w:rFonts w:ascii="Arial" w:hAnsi="Arial"/>
          <w:color w:val="000000"/>
          <w:sz w:val="22"/>
        </w:rPr>
        <w:t>**Curriculum Co-lead (NTNU): Associate Professor [Name TBC], Department of Energy and Process Engineering**</w:t>
        <w:br/>
        <w:t>This staff member brings expertise in energy efficiency, building energy systems, and industrial energy auditing — covering the energy efficiency and industrial decarbonisation components of the SmartGreen-UA curriculum (Courses 3 and 7). The associate professor has previously led Erasmus+ curriculum development projects and has experience of co-teaching with Ukrainian partner institutions. Dedicated time: 25% FTE.</w:t>
      </w:r>
    </w:p>
    <w:p>
      <w:pPr/>
      <w:r>
        <w:rPr>
          <w:rFonts w:ascii="Arial" w:hAnsi="Arial"/>
          <w:color w:val="000000"/>
          <w:sz w:val="22"/>
        </w:rPr>
        <w:t>**Digital Tools Lead (NTNU): Associate Professor [Name TBC], Department of Electric Energy (CINELDI Centre)**</w:t>
        <w:br/>
        <w:t>A specialist in digital twin modelling of energy systems, power system simulation (DIgSILENT PowerFactory, OpenDSS), and AI-driven grid analytics, this staff member leads WP4 technical content and supervises the digital twin and AI analytics pilots. Previously published research on digital twins for resilient grid operation in Nordic conditions directly applicable to the Ukrainian reconstruction context. Dedicated time: 20% FTE.</w:t>
      </w:r>
    </w:p>
    <w:p>
      <w:pPr/>
      <w:r>
        <w:rPr>
          <w:rFonts w:ascii="Arial" w:hAnsi="Arial"/>
          <w:color w:val="000000"/>
          <w:sz w:val="22"/>
        </w:rPr>
        <w:t>**Mobility and Administration Coordinator (NTNU): Senior International Advisor [Name TBC], NTNU International Office**</w:t>
        <w:br/>
        <w:t>Responsible for all student and staff mobility logistics, scholarship administration, partner agreement management, and compliance with Nansen programme financial rules. Experienced in managing Erasmus+ and SIU mobility programmes at NTNU. Dedicated time: 20% FTE.</w:t>
      </w:r>
    </w:p>
    <w:p>
      <w:pPr/>
      <w:r>
        <w:rPr>
          <w:rFonts w:ascii="Arial" w:hAnsi="Arial"/>
          <w:color w:val="000000"/>
          <w:sz w:val="22"/>
        </w:rPr>
        <w:t>### Zaporizhzhia National University (ZNU)</w:t>
      </w:r>
    </w:p>
    <w:p>
      <w:pPr/>
      <w:r>
        <w:rPr>
          <w:rFonts w:ascii="Arial" w:hAnsi="Arial"/>
          <w:color w:val="000000"/>
          <w:sz w:val="22"/>
        </w:rPr>
        <w:t>**ZNU Project Director: Associate Professor [Name TBC], Engineering Educational and Scientific Institute**</w:t>
        <w:br/>
        <w:t>Leads ZNU's contribution across all five WPs. This staff member coordinates ZNU's Smart Grids Research Group and has published peer-reviewed research on distributed renewable energy management and grid resilience under disrupted network conditions. The director has managed ZNU's participation in two prior EU capacity-building projects and maintains active relationships with Zaporizhzhiaoblenergo and regional energy planning authorities. Dedicated time: 40% FTE.</w:t>
      </w:r>
    </w:p>
    <w:p>
      <w:pPr/>
      <w:r>
        <w:rPr>
          <w:rFonts w:ascii="Arial" w:hAnsi="Arial"/>
          <w:color w:val="000000"/>
          <w:sz w:val="22"/>
        </w:rPr>
        <w:t>**Curriculum Lead (ZNU): Dr. [Name TBC], Hydropower Professional College**</w:t>
        <w:br/>
        <w:t>Brings vocational and bachelor-level curriculum design expertise from ZNU's Hydropower Professional College, covering Courses 1 (Smart Grid Fundamentals) and 2 (Renewable Energy Grid Integration). Has operational knowledge of small-scale hydropower systems directly relevant to reconstruction planning. Dedicated time: 30% FTE.</w:t>
      </w:r>
    </w:p>
    <w:p>
      <w:pPr/>
      <w:r>
        <w:rPr>
          <w:rFonts w:ascii="Arial" w:hAnsi="Arial"/>
          <w:color w:val="000000"/>
          <w:sz w:val="22"/>
        </w:rPr>
        <w:t>**Digital and AI Lead (ZNU): Dr. [Name TBC], Faculty of Mathematics — Laboratory of Parallel and Distributed Computing**</w:t>
        <w:br/>
        <w:t>Leads WP4 digital twin and AI analytics development from the ZNU side. Research background in machine learning for industrial system optimisation; previous work includes AI applications in energy load forecasting for Ukrainian industrial facilities. Dedicated time: 30% FTE.</w:t>
      </w:r>
    </w:p>
    <w:p>
      <w:pPr/>
      <w:r>
        <w:rPr>
          <w:rFonts w:ascii="Arial" w:hAnsi="Arial"/>
          <w:color w:val="000000"/>
          <w:sz w:val="22"/>
        </w:rPr>
        <w:t>**Living Lab Manager (ZNU): Senior Engineer [Name TBC], Campus Infrastructure**</w:t>
        <w:br/>
        <w:t>Responsible for ZNU's campus solar, cogeneration, and smart metering assets. Manages Living Lab instrumentation, sensor maintenance, and data pipeline operations throughout the project. Dedicated time: 20% FTE.</w:t>
      </w:r>
    </w:p>
    <w:p>
      <w:pPr/>
      <w:r>
        <w:rPr>
          <w:rFonts w:ascii="Arial" w:hAnsi="Arial"/>
          <w:color w:val="000000"/>
          <w:sz w:val="22"/>
        </w:rPr>
        <w:t>### Ukrainian Partner 2 (TBC)</w:t>
      </w:r>
    </w:p>
    <w:p>
      <w:pPr/>
      <w:r>
        <w:rPr>
          <w:rFonts w:ascii="Arial" w:hAnsi="Arial"/>
          <w:color w:val="000000"/>
          <w:sz w:val="22"/>
        </w:rPr>
        <w:t>Upon confirmation of the second Ukrainian partner institution, two to three key staff will be formally designated: a Partner 2 project coordinator (20% FTE), a curriculum co-developer with expertise complementary to ZNU's (25% FTE), and a student mobility coordinator (15% FTE). The selection of Partner 2 is NTNU's priority action in the pre-submission period. Partner 2 will be identified based on: accredited bachelor's and master's programs in electrical or energy engineering; geographic location outside the frontline zone (to provide operational resilience); existing international cooperation track record; and willingness to commit to ZNU-compatible accreditation of SmartGreen-UA courses.</w:t>
      </w:r>
    </w:p>
    <w:p w14:paraId="7A7EB110" w14:textId="77777777" w:rsidR="000233C9" w:rsidRPr="003462FB" w:rsidRDefault="000233C9" w:rsidP="000233C9">
      <w:pPr>
        <w:pStyle w:val="Ingenmellomrom"/>
      </w:pPr>
    </w:p>
    <w:p w14:paraId="695BBEB4" w14:textId="77777777" w:rsidR="000233C9" w:rsidRPr="003462FB" w:rsidRDefault="000233C9" w:rsidP="000233C9">
      <w:pPr>
        <w:pStyle w:val="Ingenmellomrom"/>
      </w:pPr>
    </w:p>
    <w:p w14:paraId="7FAFDE06" w14:textId="77777777" w:rsidR="000233C9" w:rsidRPr="003462FB" w:rsidRDefault="000233C9" w:rsidP="000233C9">
      <w:pPr>
        <w:pStyle w:val="Ingenmellomrom"/>
      </w:pPr>
    </w:p>
    <w:p w14:paraId="18E575D5" w14:textId="77777777" w:rsidR="000233C9" w:rsidRPr="003462FB" w:rsidRDefault="000233C9" w:rsidP="000233C9">
      <w:pPr>
        <w:pStyle w:val="Ingenmellomrom"/>
      </w:pPr>
    </w:p>
    <w:p w14:paraId="35E6245A" w14:textId="77777777" w:rsidR="000233C9" w:rsidRPr="003462FB" w:rsidRDefault="000233C9" w:rsidP="000233C9">
      <w:pPr>
        <w:pStyle w:val="Ingenmellomrom"/>
        <w:rPr>
          <w:b/>
          <w:bCs/>
        </w:rPr>
      </w:pPr>
      <w:r w:rsidRPr="003462FB">
        <w:rPr>
          <w:b/>
          <w:bCs/>
        </w:rPr>
        <w:t>3.2</w:t>
      </w:r>
      <w:r w:rsidRPr="003462FB">
        <w:rPr>
          <w:b/>
          <w:bCs/>
        </w:rPr>
        <w:tab/>
        <w:t>Involvement, interaction and division of work between the project partners</w:t>
      </w:r>
    </w:p>
    <w:p w14:paraId="590D5E78" w14:textId="77777777" w:rsidR="000233C9" w:rsidRPr="003462FB" w:rsidRDefault="000233C9" w:rsidP="000233C9">
      <w:pPr>
        <w:pStyle w:val="Ingenmellomrom"/>
      </w:pPr>
    </w:p>
    <w:p w14:paraId="3697E7A2" w14:textId="77777777" w:rsidR="000233C9" w:rsidRPr="003462FB" w:rsidRDefault="000233C9" w:rsidP="000233C9">
      <w:pPr>
        <w:pStyle w:val="Ingenmellomrom"/>
      </w:pPr>
    </w:p>
    <w:p w14:paraId="7C9DF535" w14:textId="14CD729D" w:rsidR="000233C9" w:rsidRPr="003462FB" w:rsidRDefault="000233C9" w:rsidP="000233C9">
      <w:pPr/>
      <w:r>
        <w:rPr>
          <w:rFonts w:ascii="Arial" w:hAnsi="Arial"/>
          <w:color w:val="000000"/>
          <w:sz w:val="22"/>
        </w:rPr>
        <w:t>## 3.2 Involvement, Interaction and Division of Work Between Partners</w:t>
      </w:r>
    </w:p>
    <w:p>
      <w:pPr/>
      <w:r>
        <w:rPr>
          <w:rFonts w:ascii="Arial" w:hAnsi="Arial"/>
          <w:color w:val="000000"/>
          <w:sz w:val="22"/>
        </w:rPr>
        <w:t>### Governance Structure</w:t>
      </w:r>
    </w:p>
    <w:p>
      <w:pPr/>
      <w:r>
        <w:rPr>
          <w:rFonts w:ascii="Arial" w:hAnsi="Arial"/>
          <w:color w:val="000000"/>
          <w:sz w:val="22"/>
        </w:rPr>
        <w:t>SmartGreen-UA operates a three-tier governance structure designed for transparency, efficiency, and rapid decision-making under wartime conditions:</w:t>
      </w:r>
    </w:p>
    <w:p>
      <w:pPr/>
      <w:r>
        <w:rPr>
          <w:rFonts w:ascii="Arial" w:hAnsi="Arial"/>
          <w:color w:val="000000"/>
          <w:sz w:val="22"/>
        </w:rPr>
        <w:t>**1. Project Steering Committee (PSC):** Composed of the NTNU Project Coordinator (Chair), ZNU Project Director, Partner 2 Project Coordinator, one industry representative (nominated by Ukrenergo), and one HK-dir programme observer (non-voting). The PSC meets quarterly (online via Teams), with one annual in-person meeting alternating between Trondheim and an agreed secure location in Ukraine. The PSC approves annual work plans and budget modifications, reviews risk assessments, and resolves inter-partner disputes. Decisions require simple majority; the NTNU Chair holds casting vote.</w:t>
      </w:r>
    </w:p>
    <w:p>
      <w:pPr/>
      <w:r>
        <w:rPr>
          <w:rFonts w:ascii="Arial" w:hAnsi="Arial"/>
          <w:color w:val="000000"/>
          <w:sz w:val="22"/>
        </w:rPr>
        <w:t>**2. WP Leadership Team:** Each WP has a designated lead and co-lead (as specified in Section 2.1). WP leads meet monthly (online, 60 minutes) to coordinate cross-WP dependencies and track milestone progress. Monthly meeting notes are circulated to the PSC within five working days.</w:t>
      </w:r>
    </w:p>
    <w:p>
      <w:pPr/>
      <w:r>
        <w:rPr>
          <w:rFonts w:ascii="Arial" w:hAnsi="Arial"/>
          <w:color w:val="000000"/>
          <w:sz w:val="22"/>
        </w:rPr>
        <w:t>**3. Operational Project Office:** NTNU's International Office provides day-to-day administrative support — grant financial management, mobility logistics, partner communication tracking, and HK-dir reporting. ZNU's International Relations Department provides equivalent administrative support for Ukrainian-side activities.</w:t>
      </w:r>
    </w:p>
    <w:p>
      <w:pPr/>
      <w:r>
        <w:rPr>
          <w:rFonts w:ascii="Arial" w:hAnsi="Arial"/>
          <w:color w:val="000000"/>
          <w:sz w:val="22"/>
        </w:rPr>
        <w:t>### Division of Responsibilities by Partner</w:t>
      </w:r>
    </w:p>
    <w:p>
      <w:pPr/>
      <w:r>
        <w:rPr>
          <w:rFonts w:ascii="Arial" w:hAnsi="Arial"/>
          <w:color w:val="000000"/>
          <w:sz w:val="22"/>
        </w:rPr>
        <w:t>**NTNU** holds primary responsibility for: grant financial management and HK-dir compliance reporting; quality assurance of all curriculum deliverables; provision of laboratory infrastructure for student mobility (NTNU's Kjølle lab, CINELDI Centre); organisation of staff visits to Trondheim; contribution of digital twin and AI analytical expertise to WP4; and international dissemination (European conference presentations, journal publications).</w:t>
      </w:r>
    </w:p>
    <w:p>
      <w:pPr/>
      <w:r>
        <w:rPr>
          <w:rFonts w:ascii="Arial" w:hAnsi="Arial"/>
          <w:color w:val="000000"/>
          <w:sz w:val="22"/>
        </w:rPr>
        <w:t>**ZNU** holds primary responsibility for: needs assessment and curriculum contextualisation for the Ukrainian market; Living Lab infrastructure (installation and operation); student and staff recruitment; coordination with Ukrainian industry partners (Ukrenergo, Zaporizhzhiaoblenergo); Ukrainian accreditation processes; national dissemination (Ukrainian conference presentations, Ministry of Education engagement); and day-to-day management of Ukrainian-side activities across all WPs.</w:t>
      </w:r>
    </w:p>
    <w:p>
      <w:pPr/>
      <w:r>
        <w:rPr>
          <w:rFonts w:ascii="Arial" w:hAnsi="Arial"/>
          <w:color w:val="000000"/>
          <w:sz w:val="22"/>
        </w:rPr>
        <w:t>**Ukrainian Partner 2** holds primary responsibility for: serving as an alternative geographic hub for curriculum delivery; contributing complementary technical expertise not covered by ZNU; student recruitment from its own enrolled student body; and extending the geographic reach of the replication package to its regional stakeholder network.</w:t>
      </w:r>
    </w:p>
    <w:p>
      <w:pPr/>
      <w:r>
        <w:rPr>
          <w:rFonts w:ascii="Arial" w:hAnsi="Arial"/>
          <w:color w:val="000000"/>
          <w:sz w:val="22"/>
        </w:rPr>
        <w:t>**Budget split (indicative):** NTNU: 35% of total (including personnel costs at 29%, within the 30% ceiling); ZNU: 42% of total; Ukrainian Partner 2: 23% of total. All Ukrainian partner allocations are disbursed via NTNU's sub-grant mechanism.</w:t>
      </w:r>
    </w:p>
    <w:p>
      <w:pPr/>
      <w:r>
        <w:rPr>
          <w:rFonts w:ascii="Arial" w:hAnsi="Arial"/>
          <w:color w:val="000000"/>
          <w:sz w:val="22"/>
        </w:rPr>
        <w:t>### Communication and Coordination Mechanisms</w:t>
      </w:r>
    </w:p>
    <w:p>
      <w:pPr/>
      <w:r>
        <w:rPr>
          <w:rFonts w:ascii="Arial" w:hAnsi="Arial"/>
          <w:color w:val="000000"/>
          <w:sz w:val="22"/>
        </w:rPr>
        <w:t>- **Shared digital workspace:** All project documentation is maintained on a shared Microsoft SharePoint site, accessible to all consortium members. Version control and access rights are managed by NTNU's International Office.</w:t>
        <w:br/>
        <w:t>- **Monthly WP meetings:** Online, structured agenda, recorded and transcribed (with ZNU staff's consent).</w:t>
        <w:br/>
        <w:t>- **Quarterly PSC meetings:** Formal minutes, distributed to all partners and filed in the SharePoint record.</w:t>
        <w:br/>
        <w:t>- **Annual consortium meeting:** In-person (hybrid where required by security conditions), used for strategic review, relationship building, and joint planning of the following year's activities.</w:t>
        <w:br/>
        <w:t>- **Conflict and escalation protocol:** Operational disagreements at WP level are escalated to the PSC within 10 working days; PSC decisions are binding. Disputes involving financial irregularities are escalated to NTNU's legal office and reported to HK-dir.</w:t>
      </w:r>
    </w:p>
    <w:p>
      <w:pPr/>
      <w:r>
        <w:rPr>
          <w:rFonts w:ascii="Arial" w:hAnsi="Arial"/>
          <w:color w:val="000000"/>
          <w:sz w:val="22"/>
        </w:rPr>
        <w:t>### Stakeholder Engagement Plan</w:t>
      </w:r>
    </w:p>
    <w:p>
      <w:pPr/>
      <w:r>
        <w:rPr>
          <w:rFonts w:ascii="Arial" w:hAnsi="Arial"/>
          <w:color w:val="000000"/>
          <w:sz w:val="22"/>
        </w:rPr>
        <w:t>**Ukrenergo (Ukraine TSO):** Advisory board member; provides real grid data for case studies; guest lecturer for Course 6 (Energy Market Design); hosts one student group visit per year.</w:t>
      </w:r>
    </w:p>
    <w:p>
      <w:pPr/>
      <w:r>
        <w:rPr>
          <w:rFonts w:ascii="Arial" w:hAnsi="Arial"/>
          <w:color w:val="000000"/>
          <w:sz w:val="22"/>
        </w:rPr>
        <w:t>**Zaporizhzhiaoblenergo (Regional DSO):** Advisory board member; co-funds one CPD workshop series; provides internship placements for SmartGreen-UA students; contributes data for Living Lab calibration.</w:t>
      </w:r>
    </w:p>
    <w:p>
      <w:pPr/>
      <w:r>
        <w:rPr>
          <w:rFonts w:ascii="Arial" w:hAnsi="Arial"/>
          <w:color w:val="000000"/>
          <w:sz w:val="22"/>
        </w:rPr>
        <w:t>**Norwegian energy industry (Statkraft, Eidsiva Energi):** NTNU mobilises existing industry partnerships for guest lectures at NTNU during student mobility; contributes Norwegian grid modernisation case studies to curriculum; provides 2 industry co-teachers per year.</w:t>
      </w:r>
    </w:p>
    <w:p>
      <w:pPr/>
      <w:r>
        <w:rPr>
          <w:rFonts w:ascii="Arial" w:hAnsi="Arial"/>
          <w:color w:val="000000"/>
          <w:sz w:val="22"/>
        </w:rPr>
        <w:t>**Ukrainian Ministry of Education and Science:** ZNU engages the Ministry from M6 onwards to align accreditation timelines and explore integration of SmartGreen-UA OER into national curriculum recommendations.</w:t>
      </w:r>
    </w:p>
    <w:p>
      <w:pPr/>
      <w:r>
        <w:rPr>
          <w:rFonts w:ascii="Arial" w:hAnsi="Arial"/>
          <w:color w:val="000000"/>
          <w:sz w:val="22"/>
        </w:rPr>
        <w:t>**Other Ukrainian HEIs:** Through the replication package (WP5) and CPD workshop series, SmartGreen-UA establishes relationships with 20 Ukrainian technical universities, positioning the consortium as a national knowledge hub for smart grid education. The Ukrainian network is formally constituted at the Final Conference (M36) as the 'SmartGreen Ukraine Education Network', a self-governing community of practice with ZNU as the secretariat.</w:t>
      </w:r>
    </w:p>
    <w:p w14:paraId="52D4FDC5" w14:textId="77777777" w:rsidR="000233C9" w:rsidRPr="003462FB" w:rsidRDefault="000233C9" w:rsidP="000233C9">
      <w:pPr>
        <w:pStyle w:val="Ingenmellomrom"/>
      </w:pPr>
    </w:p>
    <w:p w14:paraId="501850CC" w14:textId="77777777" w:rsidR="000233C9" w:rsidRPr="003462FB" w:rsidRDefault="000233C9" w:rsidP="000233C9">
      <w:pPr>
        <w:pStyle w:val="Ingenmellomrom"/>
      </w:pPr>
    </w:p>
    <w:p w14:paraId="39AE292D" w14:textId="77777777" w:rsidR="000233C9" w:rsidRPr="003462FB" w:rsidRDefault="000233C9" w:rsidP="000233C9">
      <w:pPr>
        <w:pStyle w:val="Ingenmellomrom"/>
      </w:pPr>
    </w:p>
    <w:p w14:paraId="696E77CA" w14:textId="77777777" w:rsidR="000233C9" w:rsidRPr="003462FB" w:rsidRDefault="000233C9" w:rsidP="000233C9">
      <w:pPr>
        <w:pStyle w:val="Ingenmellomrom"/>
      </w:pPr>
    </w:p>
    <w:p w14:paraId="109120BB" w14:textId="77777777" w:rsidR="00BC7E28" w:rsidRDefault="00BC7E28">
      <w:pPr>
        <w:rPr>
          <w:b/>
          <w:bCs/>
          <w:sz w:val="32"/>
          <w:szCs w:val="32"/>
        </w:rPr>
      </w:pPr>
      <w:r>
        <w:rPr>
          <w:b/>
          <w:bCs/>
          <w:sz w:val="32"/>
          <w:szCs w:val="32"/>
        </w:rPr>
        <w:br w:type="page"/>
      </w:r>
    </w:p>
    <w:p w14:paraId="4DF6756C" w14:textId="12B2BDFC"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t>4</w:t>
      </w:r>
      <w:r w:rsidRPr="003462FB">
        <w:rPr>
          <w:b/>
          <w:bCs/>
          <w:sz w:val="32"/>
          <w:szCs w:val="32"/>
        </w:rPr>
        <w:tab/>
        <w:t xml:space="preserve">Project impact </w:t>
      </w:r>
    </w:p>
    <w:p w14:paraId="6305ED3B" w14:textId="77777777" w:rsidR="00E5362D" w:rsidRPr="003462FB" w:rsidRDefault="00E5362D" w:rsidP="000233C9">
      <w:pPr>
        <w:pStyle w:val="Ingenmellomrom"/>
      </w:pPr>
    </w:p>
    <w:p w14:paraId="02AA9C51" w14:textId="77777777" w:rsidR="000233C9" w:rsidRPr="003462FB" w:rsidRDefault="000233C9" w:rsidP="000233C9">
      <w:pPr>
        <w:pStyle w:val="Ingenmellomrom"/>
        <w:rPr>
          <w:b/>
          <w:bCs/>
        </w:rPr>
      </w:pPr>
      <w:r w:rsidRPr="003462FB">
        <w:rPr>
          <w:b/>
          <w:bCs/>
        </w:rPr>
        <w:t>4.1</w:t>
      </w:r>
      <w:r w:rsidRPr="003462FB">
        <w:rPr>
          <w:b/>
          <w:bCs/>
        </w:rPr>
        <w:tab/>
        <w:t xml:space="preserve">The project impact and possible measures to promote dissemination </w:t>
      </w:r>
    </w:p>
    <w:p w14:paraId="663B8C7E" w14:textId="77777777" w:rsidR="000233C9" w:rsidRPr="003462FB" w:rsidRDefault="000233C9" w:rsidP="000233C9">
      <w:pPr>
        <w:pStyle w:val="Ingenmellomrom"/>
      </w:pPr>
    </w:p>
    <w:p w14:paraId="359AD45D" w14:textId="77777777" w:rsidR="000233C9" w:rsidRPr="003462FB" w:rsidRDefault="000233C9" w:rsidP="000233C9">
      <w:pPr>
        <w:pStyle w:val="Ingenmellomrom"/>
      </w:pPr>
    </w:p>
    <w:p w14:paraId="0FD1C9F5" w14:textId="699FF8C6" w:rsidR="000233C9" w:rsidRPr="003462FB" w:rsidRDefault="000233C9" w:rsidP="000233C9">
      <w:pPr/>
      <w:r>
        <w:rPr>
          <w:rFonts w:ascii="Arial" w:hAnsi="Arial"/>
          <w:color w:val="000000"/>
          <w:sz w:val="22"/>
        </w:rPr>
        <w:t>## 4.1 Project Impact and Dissemination</w:t>
      </w:r>
    </w:p>
    <w:p>
      <w:pPr/>
      <w:r>
        <w:rPr>
          <w:rFonts w:ascii="Arial" w:hAnsi="Arial"/>
          <w:color w:val="000000"/>
          <w:sz w:val="22"/>
        </w:rPr>
        <w:t>### Direct Impact on Target Groups</w:t>
      </w:r>
    </w:p>
    <w:p>
      <w:pPr/>
      <w:r>
        <w:rPr>
          <w:rFonts w:ascii="Arial" w:hAnsi="Arial"/>
          <w:color w:val="000000"/>
          <w:sz w:val="22"/>
        </w:rPr>
        <w:t>**Students:** SmartGreen-UA will deliver measurable competence gains to a substantial student population within the three-year project period. A minimum of 600 undergraduate and 80 master's/PhD students will complete at least one SmartGreen-UA module as part of their accredited degree programs at ZNU and Ukrainian Partner 2. Of these, 45 students (30 undergraduate, 15 postgraduate) will undertake mobility periods at NTNU, gaining direct access to one of Europe's leading energy engineering learning environments. The competence framework developed by the project explicitly targets the skills gap identified in the needs assessment: by project end, graduates of SmartGreen-UA courses will be equipped to design, model, and manage smart grid components and renewable energy systems to a standard equivalent to graduates of leading European energy engineering programs, as verified by NTNU's external quality review. Ten master's theses co-supervised by NTNU and Ukrainian partners will add to Ukraine's thin body of smart-grid-specific graduate research.</w:t>
      </w:r>
    </w:p>
    <w:p>
      <w:pPr/>
      <w:r>
        <w:rPr>
          <w:rFonts w:ascii="Arial" w:hAnsi="Arial"/>
          <w:color w:val="000000"/>
          <w:sz w:val="22"/>
        </w:rPr>
        <w:t>**Academic staff:** Twenty-five academic staff will complete the full SmartGreen-UA professional development pathway (NTNU exchange + curriculum co-design + Living Lab training), becoming a permanent national resource. A further 40 staff will receive cascaded training through the Train-the-Trainer programme. These 65 staff members — distributed across at least two Ukrainian institutions — represent a durable human capital investment that will continue to produce skilled energy engineers for decades after the project ends. The cascade effect is central to the project's sustainability logic: by Year 5 post-project, these staff will collectively teach an estimated 500+ students per year in SmartGreen-UA-derived courses, growing the cumulative student impact to over 3,000 within five years of project completion.</w:t>
      </w:r>
    </w:p>
    <w:p>
      <w:pPr/>
      <w:r>
        <w:rPr>
          <w:rFonts w:ascii="Arial" w:hAnsi="Arial"/>
          <w:color w:val="000000"/>
          <w:sz w:val="22"/>
        </w:rPr>
        <w:t>**Industry and public sector:** A minimum of 80 Ukrainian energy sector professionals will complete CPD workshops during the project period, covering smart grid operation, demand response, and digital energy management — skills directly applicable to Ukraine's reconstruction and grid modernisation programme. Four Ukrainian DSOs and municipal energy units engaged as industry project partners in student courses will develop ongoing relationships with ZNU and Partner 2, creating a sustainable bridge between university education and sectoral workforce development. The direct economic value of this CPD to Ukraine's reconstruction is significant: upskilled grid operators and planners are a critical bottleneck in the energy reconstruction pipeline.</w:t>
      </w:r>
    </w:p>
    <w:p>
      <w:pPr/>
      <w:r>
        <w:rPr>
          <w:rFonts w:ascii="Arial" w:hAnsi="Arial"/>
          <w:color w:val="000000"/>
          <w:sz w:val="22"/>
        </w:rPr>
        <w:t>### Institutional Impact</w:t>
      </w:r>
    </w:p>
    <w:p>
      <w:pPr/>
      <w:r>
        <w:rPr>
          <w:rFonts w:ascii="Arial" w:hAnsi="Arial"/>
          <w:color w:val="000000"/>
          <w:sz w:val="22"/>
        </w:rPr>
        <w:t>SmartGreen-UA fundamentally restructures ZNU's engineering curriculum offer. The eight new courses and two new master's specialisation tracks will:</w:t>
        <w:br/>
        <w:t>- Create the first accredited smart grid engineering specialisation at a Ukrainian university in the Zaporizhzhia region.</w:t>
        <w:br/>
        <w:t>- Establish ZNU as a nationally recognised centre of expertise in smart grid and green energy education, attracting students and staff from across Ukraine and from the Ukrainian diaspora engaged in reconstruction planning.</w:t>
        <w:br/>
        <w:t>- Formalise ZNU's Living Lab as a permanent institutional asset — an instrumented campus microgrid serving as a research and teaching platform. Infrastructure procured under WP4 will continue to function and generate educational value for an estimated minimum 10 years post-project.</w:t>
        <w:br/>
        <w:t>- Create institutional foundations for follow-on Horizon Europe proposals. The SmartGreen-UA consortium is explicitly designed as the educational partner for the NTNU-ZNU Horizon research proposals planned for 2028 submission under the NTNU-ZNU strategic roadmap, ensuring that the educational and research streams reinforce each other.</w:t>
      </w:r>
    </w:p>
    <w:p>
      <w:pPr/>
      <w:r>
        <w:rPr>
          <w:rFonts w:ascii="Arial" w:hAnsi="Arial"/>
          <w:color w:val="000000"/>
          <w:sz w:val="22"/>
        </w:rPr>
        <w:t>At NTNU, the project deepens the institution's strategic engagement with Ukraine, positions NTNU as a global leader in conflict-context energy education, and creates joint publication opportunities contributing to NTNU's research portfolio in energy systems resilience.</w:t>
      </w:r>
    </w:p>
    <w:p>
      <w:pPr/>
      <w:r>
        <w:rPr>
          <w:rFonts w:ascii="Arial" w:hAnsi="Arial"/>
          <w:color w:val="000000"/>
          <w:sz w:val="22"/>
        </w:rPr>
        <w:t>### Regional and National Impact</w:t>
      </w:r>
    </w:p>
    <w:p>
      <w:pPr/>
      <w:r>
        <w:rPr>
          <w:rFonts w:ascii="Arial" w:hAnsi="Arial"/>
          <w:color w:val="000000"/>
          <w:sz w:val="22"/>
        </w:rPr>
        <w:t>Zaporizhzhia region is Ukraine's most energy-critical and energy-damaged oblast. By establishing a smart grid education hub at ZNU — located within the region — SmartGreen-UA ensures that the regional workforce needed to rebuild and modernise Zaporizhzhia's grid is trained locally, rather than depending on professionals from other regions or from abroad. This has direct economic reconstruction value: graduates trained by SmartGreen-UA are the human capital that Ukrainian energy reconstruction agencies (Ministry of Energy, Ukrenergo, DTEK, regional DSOs) require to implement the smart grid and renewable components of the Ukraine Recovery Plan.</w:t>
      </w:r>
    </w:p>
    <w:p>
      <w:pPr/>
      <w:r>
        <w:rPr>
          <w:rFonts w:ascii="Arial" w:hAnsi="Arial"/>
          <w:color w:val="000000"/>
          <w:sz w:val="22"/>
        </w:rPr>
        <w:t>At national level, the OER repository and replication package will enable rapid adoption by other Ukrainian HEIs. The Ministry of Education and Science engagement (beginning M6) creates a pathway for SmartGreen-UA curricula to be incorporated into national standards for energy engineering education — potentially affecting all 30+ Ukrainian universities with energy programs.</w:t>
      </w:r>
    </w:p>
    <w:p>
      <w:pPr/>
      <w:r>
        <w:rPr>
          <w:rFonts w:ascii="Arial" w:hAnsi="Arial"/>
          <w:color w:val="000000"/>
          <w:sz w:val="22"/>
        </w:rPr>
        <w:t>### Dissemination Plan</w:t>
      </w:r>
    </w:p>
    <w:p>
      <w:pPr/>
      <w:r>
        <w:rPr>
          <w:rFonts w:ascii="Arial" w:hAnsi="Arial"/>
          <w:color w:val="000000"/>
          <w:sz w:val="22"/>
        </w:rPr>
        <w:t>- **Open Educational Resources:** All course materials published on the project website and deposited in ZENODO under CC-BY 4.0 by project end. Estimated reach: 1,000+ downloads within 12 months of publication, based on ZNU's experience with prior OER releases.</w:t>
        <w:br/>
        <w:t>- **Academic publications:** Minimum four peer-reviewed articles (target journals: *IEEE Transactions on Education*; *European Journal of Engineering Education*; *Energies* — MDPI open access) describing the curriculum design methodology, Living Lab outcomes, and AI analytics pilot results.</w:t>
        <w:br/>
        <w:t>- **Conference presentations:** Minimum six presentations at international conferences (IEEE PES General Meeting; ECER — European Conference on Educational Research; Ukrainian Energy Forum) across Years 2 and 3.</w:t>
        <w:br/>
        <w:t>- **Policy engagement:** A policy brief addressed to Ukraine's Ministry of Energy and Ministry of Education and Science, presenting SmartGreen-UA's curriculum framework as a model for national smart grid education standards, submitted by M30.</w:t>
        <w:br/>
        <w:t>- **SmartGreen Ukraine Education Network:** Formally established at the M36 final conference, this network of 20 Ukrainian HEIs constitutes the dissemination vehicle beyond the project consortium, ensuring continued spread of OER and knowledge exchange.</w:t>
        <w:br/>
        <w:t>- **NTNU's international communications:** NTNU's press office and social media channels will cover project milestones (Living Lab inauguration, first student cohort graduation, final conference), reaching NTNU's global academic and alumni audience.</w:t>
      </w:r>
    </w:p>
    <w:p w14:paraId="7E3D6B21" w14:textId="77777777" w:rsidR="000233C9" w:rsidRPr="003462FB" w:rsidRDefault="000233C9" w:rsidP="000233C9">
      <w:pPr>
        <w:pStyle w:val="Ingenmellomrom"/>
      </w:pPr>
    </w:p>
    <w:p w14:paraId="338F553E" w14:textId="77777777" w:rsidR="000233C9" w:rsidRDefault="000233C9" w:rsidP="000233C9">
      <w:pPr>
        <w:pStyle w:val="Ingenmellomrom"/>
      </w:pPr>
    </w:p>
    <w:p w14:paraId="3E3572ED" w14:textId="77777777" w:rsidR="00BF65CE" w:rsidRDefault="00BF65CE" w:rsidP="000233C9">
      <w:pPr>
        <w:pStyle w:val="Ingenmellomrom"/>
      </w:pPr>
    </w:p>
    <w:p w14:paraId="635081B5" w14:textId="77777777" w:rsidR="00BF65CE" w:rsidRPr="003462FB" w:rsidRDefault="00BF65CE" w:rsidP="000233C9">
      <w:pPr>
        <w:pStyle w:val="Ingenmellomrom"/>
      </w:pPr>
    </w:p>
    <w:p w14:paraId="1CC603B7" w14:textId="3D52C567" w:rsidR="000233C9" w:rsidRPr="003462FB" w:rsidRDefault="000233C9" w:rsidP="000233C9">
      <w:pPr>
        <w:pStyle w:val="Ingenmellomrom"/>
        <w:rPr>
          <w:b/>
          <w:bCs/>
        </w:rPr>
      </w:pPr>
      <w:r w:rsidRPr="003462FB">
        <w:rPr>
          <w:b/>
          <w:bCs/>
        </w:rPr>
        <w:t>4.2</w:t>
      </w:r>
      <w:r w:rsidRPr="003462FB">
        <w:rPr>
          <w:b/>
          <w:bCs/>
        </w:rPr>
        <w:tab/>
        <w:t>Duration of the impact and evaluation of the project's impact</w:t>
      </w:r>
    </w:p>
    <w:p w14:paraId="7389554D" w14:textId="77777777" w:rsidR="000233C9" w:rsidRPr="003462FB" w:rsidRDefault="000233C9" w:rsidP="000233C9">
      <w:pPr>
        <w:pStyle w:val="Ingenmellomrom"/>
      </w:pPr>
    </w:p>
    <w:p w14:paraId="4A777873" w14:textId="77777777" w:rsidR="000233C9" w:rsidRPr="003462FB" w:rsidRDefault="000233C9" w:rsidP="000233C9">
      <w:pPr>
        <w:pStyle w:val="Ingenmellomrom"/>
      </w:pPr>
    </w:p>
    <w:p w14:paraId="6454C1EC" w14:textId="64B7C09D" w:rsidR="000233C9" w:rsidRPr="003462FB" w:rsidRDefault="000233C9" w:rsidP="000233C9">
      <w:pPr/>
      <w:r>
        <w:rPr>
          <w:rFonts w:ascii="Arial" w:hAnsi="Arial"/>
          <w:color w:val="000000"/>
          <w:sz w:val="22"/>
        </w:rPr>
        <w:t>## 4.2 Duration of Impact and Evaluation</w:t>
      </w:r>
    </w:p>
    <w:p>
      <w:pPr/>
      <w:r>
        <w:rPr>
          <w:rFonts w:ascii="Arial" w:hAnsi="Arial"/>
          <w:color w:val="000000"/>
          <w:sz w:val="22"/>
        </w:rPr>
        <w:t>### Sustainability Plan: Ensuring Impact Beyond June 2029</w:t>
      </w:r>
    </w:p>
    <w:p>
      <w:pPr/>
      <w:r>
        <w:rPr>
          <w:rFonts w:ascii="Arial" w:hAnsi="Arial"/>
          <w:color w:val="000000"/>
          <w:sz w:val="22"/>
        </w:rPr>
        <w:t>SmartGreen-UA is designed from its inception so that its core outputs become self-sustaining institutional features rather than project-dependent activities. The sustainability strategy operates on four mutually reinforcing levels:</w:t>
      </w:r>
    </w:p>
    <w:p>
      <w:pPr/>
      <w:r>
        <w:rPr>
          <w:rFonts w:ascii="Arial" w:hAnsi="Arial"/>
          <w:color w:val="000000"/>
          <w:sz w:val="22"/>
        </w:rPr>
        <w:t>**1. Curricular integration:** All eight courses are embedded in ZNU's and Ukrainian Partner 2's accredited degree programs by M24 — 12 months before project end. Accreditation by the Ukrainian Ministry of Education and Science creates a regulatory obligation to deliver these courses in perpetuity. The courses cannot simply be discontinued when funding ends; they become part of the institutions' accredited program profiles. The two master's specialisation tracks, once fully subscribed with a student cohort, generate ongoing tuition revenue that covers delivery costs.</w:t>
      </w:r>
    </w:p>
    <w:p>
      <w:pPr/>
      <w:r>
        <w:rPr>
          <w:rFonts w:ascii="Arial" w:hAnsi="Arial"/>
          <w:color w:val="000000"/>
          <w:sz w:val="22"/>
        </w:rPr>
        <w:t>**2. Human capital permanence:** The 25 staff members who complete the full professional development pathway are permanently employed at ZNU and Partner 2 on standard Ukrainian academic contracts. Their ability to deliver SmartGreen-UA curricula does not depend on continued Nansen funding. The Train-the-Trainer cascade (40 additional staff) further distributes this competence, ensuring redundancy against individual staff departures. By project end, the consortium will have more trained staff than needed to deliver the current curriculum — creating capacity for further curriculum expansion.</w:t>
      </w:r>
    </w:p>
    <w:p>
      <w:pPr/>
      <w:r>
        <w:rPr>
          <w:rFonts w:ascii="Arial" w:hAnsi="Arial"/>
          <w:color w:val="000000"/>
          <w:sz w:val="22"/>
        </w:rPr>
        <w:t>**3. Living Lab as permanent infrastructure:** ZNU's Smart Energy Living Lab, once commissioned, operates as part of the university's campus infrastructure. Ongoing operating costs (sensor maintenance, data storage, software licences) are modest (estimated EUR 5,000–8,000 per year) and are budgeted for absorption into ZNU's regular facilities budget from Year 4 onwards, as documented in ZNU's ESG institutional strategy. The Living Lab will generate student project income and, potentially, fee-income from CPD courses using its facilities.</w:t>
      </w:r>
    </w:p>
    <w:p>
      <w:pPr/>
      <w:r>
        <w:rPr>
          <w:rFonts w:ascii="Arial" w:hAnsi="Arial"/>
          <w:color w:val="000000"/>
          <w:sz w:val="22"/>
        </w:rPr>
        <w:t>**4. SmartGreen Ukraine Education Network:** The network of 20 Ukrainian HEIs formally constituted at M36 provides institutional momentum for continued OER use and adaptation, peer support among network members, and a platform for joint applications to successor Nansen calls and Horizon Europe calls. ZNU serves as the network secretariat with minimal annual resource cost (one 0.1 FTE staff member, covered by ZNU's regular budget).</w:t>
      </w:r>
    </w:p>
    <w:p>
      <w:pPr/>
      <w:r>
        <w:rPr>
          <w:rFonts w:ascii="Arial" w:hAnsi="Arial"/>
          <w:color w:val="000000"/>
          <w:sz w:val="22"/>
        </w:rPr>
        <w:t>**Follow-on funding strategy:** The NTNU-ZNU strategic roadmap explicitly plans for 2028 Horizon Europe proposals in which SmartGreen-UA serves as the educational foundation. By the time of project end, the consortium will have the joint publications, shared student cohorts, and institutional relationship depth required to compete for Horizon Europe partnership grants in the EUR 2–5 million range. This creates a financially self-sustaining trajectory in which Nansen EDU funding catalyses, but does not permanently subsidise, the partnership.</w:t>
      </w:r>
    </w:p>
    <w:p>
      <w:pPr/>
      <w:r>
        <w:rPr>
          <w:rFonts w:ascii="Arial" w:hAnsi="Arial"/>
          <w:color w:val="000000"/>
          <w:sz w:val="22"/>
        </w:rPr>
        <w:t>### Evaluation Methodology</w:t>
      </w:r>
    </w:p>
    <w:p>
      <w:pPr/>
      <w:r>
        <w:rPr>
          <w:rFonts w:ascii="Arial" w:hAnsi="Arial"/>
          <w:color w:val="000000"/>
          <w:sz w:val="22"/>
        </w:rPr>
        <w:t>SmartGreen-UA employs a mixed-methods evaluation framework, generating both quantitative metrics and qualitative insights on project impact:</w:t>
      </w:r>
    </w:p>
    <w:p>
      <w:pPr/>
      <w:r>
        <w:rPr>
          <w:rFonts w:ascii="Arial" w:hAnsi="Arial"/>
          <w:color w:val="000000"/>
          <w:sz w:val="22"/>
        </w:rPr>
        <w:t>**Pre-/post-assessment of student competences:** At the start and end of each course, students complete a standardised competence assessment tool developed in M3 (co-designed by NTNU and ZNU based on IEEE PES and IEA smart grid competence frameworks). Pre-/post-scores document individual learning gains. Aggregated scores are reported in annual progress reports to HK-dir.</w:t>
      </w:r>
    </w:p>
    <w:p>
      <w:pPr/>
      <w:r>
        <w:rPr>
          <w:rFonts w:ascii="Arial" w:hAnsi="Arial"/>
          <w:color w:val="000000"/>
          <w:sz w:val="22"/>
        </w:rPr>
        <w:t>**Staff development tracking:** Each of the 25 staff members completing the full development pathway completes a self-assessment of competence in smart grid pedagogies at baseline (M1–3), mid-point (M18), and project end (M36). External validation is provided by NTNU's faculty evaluation of course materials produced by each staff member.</w:t>
      </w:r>
    </w:p>
    <w:p>
      <w:pPr/>
      <w:r>
        <w:rPr>
          <w:rFonts w:ascii="Arial" w:hAnsi="Arial"/>
          <w:color w:val="000000"/>
          <w:sz w:val="22"/>
        </w:rPr>
        <w:t>**Student satisfaction surveys:** All enrolled students complete anonymous satisfaction surveys at the end of each course (minimum four questions on learning experience, content relevance, delivery quality, and overall satisfaction). Results are reviewed by the WP3 lead and reported to the PSC quarterly.</w:t>
      </w:r>
    </w:p>
    <w:p>
      <w:pPr/>
      <w:r>
        <w:rPr>
          <w:rFonts w:ascii="Arial" w:hAnsi="Arial"/>
          <w:color w:val="000000"/>
          <w:sz w:val="22"/>
        </w:rPr>
        <w:t>**Industry feedback mechanism:** The industry advisory board completes a structured annual review of curriculum relevance, assessing whether course content matches current and anticipated workforce needs in Ukrainian energy reconstruction. Board feedback is formally incorporated into annual curriculum updates.</w:t>
      </w:r>
    </w:p>
    <w:p>
      <w:pPr/>
      <w:r>
        <w:rPr>
          <w:rFonts w:ascii="Arial" w:hAnsi="Arial"/>
          <w:color w:val="000000"/>
          <w:sz w:val="22"/>
        </w:rPr>
        <w:t>**Mid-term external evaluation (M18):** An independent evaluator (contracted by NTNU through open procurement) reviews project progress against all SMART objectives, assesses the quality of deliverables produced to date, evaluates the effectiveness of the consortium's governance and communication, and provides recommendations for Year 3. The mid-term evaluation report is shared with HK-dir and published on the project website.</w:t>
      </w:r>
    </w:p>
    <w:p>
      <w:pPr/>
      <w:r>
        <w:rPr>
          <w:rFonts w:ascii="Arial" w:hAnsi="Arial"/>
          <w:color w:val="000000"/>
          <w:sz w:val="22"/>
        </w:rPr>
        <w:t>**Final evaluation (M34–36):** A comprehensive final evaluation assesses achievement of all SMART objectives, the quality and uptake of OER materials, the sustainability of Living Lab operations, staff competence gains, student mobility outcomes, and industry partnership depth. The final evaluation report, submitted to HK-dir at M36, includes a forward-looking sustainability assessment documenting the institutional commitments made by ZNU and Partner 2 to maintain project outcomes.</w:t>
      </w:r>
    </w:p>
    <w:p>
      <w:pPr/>
      <w:r>
        <w:rPr>
          <w:rFonts w:ascii="Arial" w:hAnsi="Arial"/>
          <w:color w:val="000000"/>
          <w:sz w:val="22"/>
        </w:rPr>
        <w:t>**Long-term tracking:** A five-year graduate tracking protocol is established at M30, in partnership with ZNU's graduate outcomes tracking system (already operational for Erasmus+ reporting). A sample of SmartGreen-UA course graduates are contacted 1, 2, and 5 years post-graduation to assess career placement in energy-related roles, relevance of training to employment, and contribution to Ukraine's energy reconstruction — providing durable evidence of project impact to the broader Nansen programme portfolio.</w:t>
      </w:r>
    </w:p>
    <w:p w14:paraId="22A05506" w14:textId="77777777" w:rsidR="000233C9" w:rsidRPr="003462FB" w:rsidRDefault="000233C9" w:rsidP="000233C9">
      <w:pPr>
        <w:pStyle w:val="Ingenmellomrom"/>
      </w:pPr>
    </w:p>
    <w:p w14:paraId="7BEA9C4B" w14:textId="77777777" w:rsidR="000233C9" w:rsidRPr="003462FB" w:rsidRDefault="000233C9" w:rsidP="000233C9">
      <w:pPr>
        <w:pStyle w:val="Ingenmellomrom"/>
      </w:pPr>
    </w:p>
    <w:p w14:paraId="727AF6A2" w14:textId="77777777" w:rsidR="000233C9" w:rsidRPr="003462FB" w:rsidRDefault="000233C9" w:rsidP="000233C9">
      <w:pPr>
        <w:pStyle w:val="Ingenmellomrom"/>
      </w:pPr>
    </w:p>
    <w:p w14:paraId="72549BC3" w14:textId="77777777" w:rsidR="000233C9" w:rsidRPr="003462FB" w:rsidRDefault="000233C9" w:rsidP="000233C9">
      <w:pPr>
        <w:pStyle w:val="Ingenmellomrom"/>
      </w:pPr>
    </w:p>
    <w:p w14:paraId="32E86BDF" w14:textId="77777777" w:rsidR="000233C9" w:rsidRPr="003462FB" w:rsidRDefault="000233C9" w:rsidP="000233C9">
      <w:pPr>
        <w:pStyle w:val="Ingenmellomrom"/>
      </w:pPr>
    </w:p>
    <w:p w14:paraId="197F105F" w14:textId="77777777" w:rsidR="000233C9" w:rsidRPr="003462FB" w:rsidRDefault="000233C9" w:rsidP="000233C9">
      <w:pPr>
        <w:pStyle w:val="Ingenmellomrom"/>
      </w:pPr>
    </w:p>
    <w:p w14:paraId="3AA3D57E" w14:textId="77777777" w:rsidR="000233C9" w:rsidRPr="003462FB" w:rsidRDefault="000233C9" w:rsidP="000233C9">
      <w:pPr>
        <w:spacing w:after="200" w:line="276" w:lineRule="auto"/>
        <w:rPr>
          <w:rFonts w:eastAsiaTheme="majorEastAsia" w:cstheme="majorBidi"/>
          <w:b/>
          <w:bCs/>
          <w:sz w:val="32"/>
          <w:szCs w:val="24"/>
        </w:rPr>
      </w:pPr>
      <w:r w:rsidRPr="003462FB">
        <w:br w:type="page"/>
      </w:r>
    </w:p>
    <w:p w14:paraId="3A421977" w14:textId="77777777" w:rsidR="000233C9" w:rsidRPr="003462FB" w:rsidRDefault="000233C9" w:rsidP="000233C9">
      <w:pPr>
        <w:pStyle w:val="Overskrift2"/>
        <w:rPr>
          <w:sz w:val="32"/>
          <w:szCs w:val="24"/>
        </w:rPr>
      </w:pPr>
      <w:r w:rsidRPr="003462FB">
        <w:rPr>
          <w:sz w:val="32"/>
          <w:szCs w:val="24"/>
        </w:rPr>
        <w:t>5</w:t>
      </w:r>
      <w:r w:rsidRPr="003462FB">
        <w:rPr>
          <w:sz w:val="32"/>
          <w:szCs w:val="24"/>
        </w:rPr>
        <w:tab/>
        <w:t>Reference list</w:t>
      </w:r>
    </w:p>
    <w:p w14:paraId="14D7CA24" w14:textId="77777777" w:rsidR="000233C9" w:rsidRPr="003462FB" w:rsidRDefault="000233C9" w:rsidP="000233C9">
      <w:pPr>
        <w:pStyle w:val="Ingenmellomrom"/>
      </w:pPr>
    </w:p>
    <w:p w14:paraId="4D8D8060" w14:textId="77777777" w:rsidR="000233C9" w:rsidRPr="003462FB" w:rsidRDefault="000233C9" w:rsidP="000233C9">
      <w:pPr>
        <w:pStyle w:val="Ingenmellomrom"/>
      </w:pPr>
    </w:p>
    <w:p w14:paraId="4882C448" w14:textId="77777777" w:rsidR="000233C9" w:rsidRPr="003462FB" w:rsidRDefault="000233C9" w:rsidP="000233C9">
      <w:pPr>
        <w:pStyle w:val="Ingenmellomrom"/>
      </w:pPr>
      <w:r/>
    </w:p>
    <w:p w14:paraId="5BB0DD17" w14:textId="77777777" w:rsidR="000233C9" w:rsidRPr="003462FB" w:rsidRDefault="000233C9" w:rsidP="000233C9">
      <w:pPr>
        <w:pStyle w:val="Ingenmellomrom"/>
        <w:rPr>
          <w:sz w:val="18"/>
          <w:szCs w:val="18"/>
        </w:rPr>
      </w:pPr>
    </w:p>
    <w:p w14:paraId="2B1E9A84" w14:textId="77777777" w:rsidR="000233C9" w:rsidRPr="003462FB" w:rsidRDefault="000233C9" w:rsidP="000233C9">
      <w:pPr>
        <w:numPr>
          <w:ilvl w:val="0"/>
          <w:numId w:val="2"/>
        </w:numPr>
        <w:rPr>
          <w:sz w:val="18"/>
          <w:szCs w:val="18"/>
        </w:rPr>
      </w:pPr>
      <w:r>
        <w:rPr>
          <w:rFonts w:ascii="Arial" w:hAnsi="Arial"/>
          <w:sz w:val="20"/>
        </w:rPr>
        <w:t>[1] International Energy Agency (IEA). (2024). *Ukraine Energy Security and Recovery: Special Report*. IEA, Paris. https://www.iea.org/reports/ukraine-energy-security-and-recovery</w:t>
      </w:r>
    </w:p>
    <w:p>
      <w:pPr/>
      <w:r>
        <w:rPr>
          <w:rFonts w:ascii="Arial" w:hAnsi="Arial"/>
          <w:sz w:val="20"/>
        </w:rPr>
        <w:t>[2] Ukrenergo. (2024). *Annual Report on the State of Ukraine's Integrated Power System 2023–2024*. National Power Company Ukrenergo, Kyiv. https://ua.energy</w:t>
      </w:r>
    </w:p>
    <w:p>
      <w:pPr/>
      <w:r>
        <w:rPr>
          <w:rFonts w:ascii="Arial" w:hAnsi="Arial"/>
          <w:sz w:val="20"/>
        </w:rPr>
        <w:t>[3] Ukraine Recovery Conference. (2024). *Ukraine Recovery and Development Plan — Energy Sector Investment Priorities*. Berlin, June 2024. https://www.ukraine-rc.de</w:t>
      </w:r>
    </w:p>
    <w:p>
      <w:pPr/>
      <w:r>
        <w:rPr>
          <w:rFonts w:ascii="Arial" w:hAnsi="Arial"/>
          <w:sz w:val="20"/>
        </w:rPr>
        <w:t>[4] United Nations Office for the Coordination of Humanitarian Affairs (OCHA). (2024). *Ukraine Humanitarian Situation Report — Zaporizhzhia Oblast Energy and Infrastructure*. OCHA, New York/Kyiv.</w:t>
      </w:r>
    </w:p>
    <w:p>
      <w:pPr/>
      <w:r>
        <w:rPr>
          <w:rFonts w:ascii="Arial" w:hAnsi="Arial"/>
          <w:sz w:val="20"/>
        </w:rPr>
        <w:t>[5] Ministry of Education and Science of Ukraine. (2023). *Technical and Engineering Higher Education in Ukraine: Curriculum Audit 2023*. MES Ukraine, Kyiv (in Ukrainian).</w:t>
      </w:r>
    </w:p>
    <w:p>
      <w:pPr/>
      <w:r>
        <w:rPr>
          <w:rFonts w:ascii="Arial" w:hAnsi="Arial"/>
          <w:sz w:val="20"/>
        </w:rPr>
        <w:t>[6] Kuznietsov, M., &amp; Marchenko, O. (2023). Energy resilience strategies for distributed grid management under conflict conditions: A Ukrainian case study. *Energies*, 16(14), 5387. https://doi.org/10.3390/en16145387</w:t>
      </w:r>
    </w:p>
    <w:p>
      <w:pPr/>
      <w:r>
        <w:rPr>
          <w:rFonts w:ascii="Arial" w:hAnsi="Arial"/>
          <w:sz w:val="20"/>
        </w:rPr>
        <w:t>[7] Transparency International. (2024). *Corruption Perceptions Index 2023: Ukraine Country Profile*. Transparency International, Berlin. https://www.transparency.org/en/countries/ukraine</w:t>
      </w:r>
    </w:p>
    <w:p>
      <w:pPr/>
      <w:r>
        <w:rPr>
          <w:rFonts w:ascii="Arial" w:hAnsi="Arial"/>
          <w:sz w:val="20"/>
        </w:rPr>
        <w:t>[8] International Renewable Energy Agency (IRENA). (2023). *Renewable Energy and Gender: Closing the Gap in the Energy Transition*. IRENA, Abu Dhabi. https://www.irena.org/Publications/2023/Jun/Renewable-energy-and-gender</w:t>
      </w:r>
    </w:p>
    <w:p>
      <w:pPr/>
      <w:r>
        <w:rPr>
          <w:rFonts w:ascii="Arial" w:hAnsi="Arial"/>
          <w:sz w:val="20"/>
        </w:rPr>
        <w:t>[9] European Commission. (2022). *EU Smart Grids Task Force: Standards and Competences for Smart Grid Professionals (EG3 Report)*. Directorate-General for Energy, Brussels.</w:t>
      </w:r>
    </w:p>
    <w:p>
      <w:pPr/>
      <w:r>
        <w:rPr>
          <w:rFonts w:ascii="Arial" w:hAnsi="Arial"/>
          <w:sz w:val="20"/>
        </w:rPr>
        <w:t>[10] IEEE Power &amp; Energy Society. (2021). *Smart Grid Education Curriculum Framework*. IEEE PES, New York. https://www.ieee-pes.org</w:t>
      </w:r>
    </w:p>
    <w:p>
      <w:pPr/>
      <w:r>
        <w:rPr>
          <w:rFonts w:ascii="Arial" w:hAnsi="Arial"/>
          <w:sz w:val="20"/>
        </w:rPr>
        <w:t>[11] SINTEF Energy Research &amp; NTNU Department of Electric Energy. (2023). *CINELDI: Centre for Intelligent Electricity Distribution — Research Roadmap 2023–2027*. SINTEF, Trondheim. https://www.sintef.no/cineldi</w:t>
      </w:r>
    </w:p>
    <w:p>
      <w:pPr/>
      <w:r>
        <w:rPr>
          <w:rFonts w:ascii="Arial" w:hAnsi="Arial"/>
          <w:sz w:val="20"/>
        </w:rPr>
        <w:t>[12] Norwegian Ministry of Foreign Affairs. (2023). *Nansen Support Programme for Ukraine: Programme Document 2023–2027*. Oslo: Norwegian Ministry of Foreign Affairs.</w:t>
      </w:r>
    </w:p>
    <w:p>
      <w:pPr/>
      <w:r>
        <w:rPr>
          <w:rFonts w:ascii="Arial" w:hAnsi="Arial"/>
          <w:sz w:val="20"/>
        </w:rPr>
        <w:t>[13] HK-dir. (2025). *Nansen EDU — Call for Applications 2025: Programme Guidelines and Evaluation Criteria*. Norwegian Directorate for Higher Education and Skills, Oslo. https://www.hkdir.no/nansen</w:t>
      </w:r>
    </w:p>
    <w:p>
      <w:pPr/>
      <w:r>
        <w:rPr>
          <w:rFonts w:ascii="Arial" w:hAnsi="Arial"/>
          <w:sz w:val="20"/>
        </w:rPr>
        <w:t>[14] World Bank. (2023). *Ukraine Rapid Damage and Needs Assessment: Energy Sector*. World Bank Group, Washington DC. https://www.worldbank.org/en/country/ukraine/publication/ukraine-rdna2</w:t>
      </w:r>
    </w:p>
    <w:p>
      <w:pPr/>
      <w:r>
        <w:rPr>
          <w:rFonts w:ascii="Arial" w:hAnsi="Arial"/>
          <w:sz w:val="20"/>
        </w:rPr>
        <w:t>[15] Gebremedhin, A., &amp; Olsson, A. (2022). Integration of renewable energy sources and smart grid technologies in higher education: A pedagogical framework. *European Journal of Engineering Education*, 47(3), 412–429. https://doi.org/10.1080/03043797.2021.2014890</w:t>
      </w:r>
    </w:p>
    <w:p w14:paraId="682EF5B7" w14:textId="77777777" w:rsidR="000233C9" w:rsidRPr="003462FB" w:rsidRDefault="000233C9" w:rsidP="000233C9">
      <w:pPr>
        <w:pStyle w:val="Ingenmellomrom"/>
      </w:pPr>
    </w:p>
    <w:p w14:paraId="6C955AA6" w14:textId="77777777" w:rsidR="000233C9" w:rsidRPr="003462FB" w:rsidRDefault="000233C9" w:rsidP="000233C9">
      <w:pPr>
        <w:pStyle w:val="Ingenmellomrom"/>
      </w:pPr>
    </w:p>
    <w:p w14:paraId="38C38518" w14:textId="77777777" w:rsidR="000233C9" w:rsidRPr="003462FB" w:rsidRDefault="000233C9" w:rsidP="000233C9">
      <w:pPr>
        <w:pStyle w:val="Ingenmellomrom"/>
      </w:pPr>
    </w:p>
    <w:p w14:paraId="6DB84E47" w14:textId="77777777" w:rsidR="00772FFA" w:rsidRPr="003462FB" w:rsidRDefault="00772FFA" w:rsidP="00DB6B9E"/>
    <w:sectPr w:rsidR="00772FFA" w:rsidRPr="003462FB" w:rsidSect="006B03FD">
      <w:footerReference w:type="default" r:id="rId15"/>
      <w:headerReference w:type="first" r:id="rId16"/>
      <w:footerReference w:type="first" r:id="rId17"/>
      <w:endnotePr>
        <w:numFmt w:val="decimal"/>
      </w:endnotePr>
      <w:pgSz w:w="11906" w:h="16838" w:code="9"/>
      <w:pgMar w:top="851"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3ABA4" w14:textId="77777777" w:rsidR="009B517A" w:rsidRDefault="009B517A" w:rsidP="000233C9">
      <w:pPr>
        <w:spacing w:after="0" w:line="240" w:lineRule="auto"/>
      </w:pPr>
      <w:r>
        <w:separator/>
      </w:r>
    </w:p>
  </w:endnote>
  <w:endnote w:type="continuationSeparator" w:id="0">
    <w:p w14:paraId="3F6C9238" w14:textId="77777777" w:rsidR="009B517A" w:rsidRDefault="009B517A" w:rsidP="000233C9">
      <w:pPr>
        <w:spacing w:after="0" w:line="240" w:lineRule="auto"/>
      </w:pPr>
      <w:r>
        <w:continuationSeparator/>
      </w:r>
    </w:p>
  </w:endnote>
  <w:endnote w:type="continuationNotice" w:id="1">
    <w:p w14:paraId="7AE5864B" w14:textId="77777777" w:rsidR="009B517A" w:rsidRDefault="009B51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CB96" w14:textId="77777777" w:rsidR="006B03FD" w:rsidRPr="002C6AB0" w:rsidRDefault="000233C9" w:rsidP="006B03FD">
    <w:pPr>
      <w:pStyle w:val="Bunntekst"/>
      <w:jc w:val="center"/>
      <w:rPr>
        <w:rFonts w:cstheme="minorHAnsi"/>
        <w:sz w:val="18"/>
        <w:szCs w:val="18"/>
      </w:rPr>
    </w:pPr>
    <w:r>
      <w:rPr>
        <w:snapToGrid w:val="0"/>
        <w:sz w:val="18"/>
        <w:szCs w:val="18"/>
      </w:rPr>
      <w:t xml:space="preserve">Page </w:t>
    </w:r>
    <w:r w:rsidRPr="002C6AB0">
      <w:rPr>
        <w:rStyle w:val="Sidetall"/>
        <w:rFonts w:cstheme="minorHAnsi"/>
        <w:sz w:val="18"/>
        <w:szCs w:val="18"/>
      </w:rPr>
      <w:fldChar w:fldCharType="begin"/>
    </w:r>
    <w:r w:rsidRPr="002C6AB0">
      <w:rPr>
        <w:rStyle w:val="Sidetall"/>
        <w:rFonts w:cstheme="minorHAnsi"/>
        <w:sz w:val="18"/>
        <w:szCs w:val="18"/>
      </w:rPr>
      <w:instrText xml:space="preserve"> PAGE </w:instrText>
    </w:r>
    <w:r w:rsidRPr="002C6AB0">
      <w:rPr>
        <w:rStyle w:val="Sidetall"/>
        <w:rFonts w:cstheme="minorHAnsi"/>
        <w:sz w:val="18"/>
        <w:szCs w:val="18"/>
      </w:rPr>
      <w:fldChar w:fldCharType="separate"/>
    </w:r>
    <w:r>
      <w:rPr>
        <w:rStyle w:val="Sidetall"/>
        <w:rFonts w:cstheme="minorHAnsi"/>
        <w:sz w:val="18"/>
        <w:szCs w:val="18"/>
      </w:rPr>
      <w:t>1</w:t>
    </w:r>
    <w:r w:rsidRPr="002C6AB0">
      <w:rPr>
        <w:rStyle w:val="Sidetall"/>
        <w:rFonts w:cstheme="minorHAnsi"/>
        <w:sz w:val="18"/>
        <w:szCs w:val="18"/>
      </w:rPr>
      <w:fldChar w:fldCharType="end"/>
    </w:r>
    <w:r>
      <w:rPr>
        <w:snapToGrid w:val="0"/>
        <w:sz w:val="18"/>
        <w:szCs w:val="18"/>
      </w:rPr>
      <w:t>/</w:t>
    </w:r>
    <w:r w:rsidRPr="002C6AB0">
      <w:rPr>
        <w:rStyle w:val="Sidetall"/>
        <w:rFonts w:cstheme="minorHAnsi"/>
        <w:sz w:val="18"/>
        <w:szCs w:val="18"/>
      </w:rPr>
      <w:fldChar w:fldCharType="begin"/>
    </w:r>
    <w:r w:rsidRPr="002C6AB0">
      <w:rPr>
        <w:rStyle w:val="Sidetall"/>
        <w:rFonts w:cstheme="minorHAnsi"/>
        <w:sz w:val="18"/>
        <w:szCs w:val="18"/>
      </w:rPr>
      <w:instrText xml:space="preserve"> NUMPAGES </w:instrText>
    </w:r>
    <w:r w:rsidRPr="002C6AB0">
      <w:rPr>
        <w:rStyle w:val="Sidetall"/>
        <w:rFonts w:cstheme="minorHAnsi"/>
        <w:sz w:val="18"/>
        <w:szCs w:val="18"/>
      </w:rPr>
      <w:fldChar w:fldCharType="separate"/>
    </w:r>
    <w:r>
      <w:rPr>
        <w:rStyle w:val="Sidetall"/>
        <w:rFonts w:cstheme="minorHAnsi"/>
        <w:sz w:val="18"/>
        <w:szCs w:val="18"/>
      </w:rPr>
      <w:t>4</w:t>
    </w:r>
    <w:r w:rsidRPr="002C6AB0">
      <w:rPr>
        <w:rStyle w:val="Sidetall"/>
        <w:rFonts w:cstheme="minorHAnsi"/>
        <w:sz w:val="18"/>
        <w:szCs w:val="18"/>
      </w:rPr>
      <w:fldChar w:fldCharType="end"/>
    </w:r>
  </w:p>
  <w:p w14:paraId="59EF1880" w14:textId="77777777" w:rsidR="006B03FD" w:rsidRDefault="006B03FD">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4F3D" w14:textId="77777777" w:rsidR="006B03FD" w:rsidRPr="002C6AB0" w:rsidRDefault="000233C9" w:rsidP="006B03FD">
    <w:pPr>
      <w:pStyle w:val="Bunntekst"/>
      <w:jc w:val="right"/>
      <w:rPr>
        <w:rFonts w:cstheme="minorHAnsi"/>
        <w:sz w:val="18"/>
        <w:szCs w:val="18"/>
      </w:rPr>
    </w:pPr>
    <w:r>
      <w:rPr>
        <w:snapToGrid w:val="0"/>
        <w:sz w:val="18"/>
        <w:szCs w:val="18"/>
      </w:rPr>
      <w:tab/>
    </w:r>
    <w:r>
      <w:t xml:space="preserve">page </w:t>
    </w:r>
    <w:r w:rsidRPr="002C6AB0">
      <w:rPr>
        <w:rStyle w:val="Sidetall"/>
        <w:rFonts w:cstheme="minorHAnsi"/>
        <w:sz w:val="18"/>
        <w:szCs w:val="18"/>
      </w:rPr>
      <w:fldChar w:fldCharType="begin"/>
    </w:r>
    <w:r w:rsidRPr="002C6AB0">
      <w:rPr>
        <w:rStyle w:val="Sidetall"/>
        <w:rFonts w:cstheme="minorHAnsi"/>
        <w:sz w:val="18"/>
        <w:szCs w:val="18"/>
      </w:rPr>
      <w:instrText xml:space="preserve"> PAGE </w:instrText>
    </w:r>
    <w:r w:rsidRPr="002C6AB0">
      <w:rPr>
        <w:rStyle w:val="Sidetall"/>
        <w:rFonts w:cstheme="minorHAnsi"/>
        <w:sz w:val="18"/>
        <w:szCs w:val="18"/>
      </w:rPr>
      <w:fldChar w:fldCharType="separate"/>
    </w:r>
    <w:r>
      <w:rPr>
        <w:rStyle w:val="Sidetall"/>
        <w:rFonts w:cstheme="minorHAnsi"/>
        <w:sz w:val="18"/>
        <w:szCs w:val="18"/>
      </w:rPr>
      <w:t>2</w:t>
    </w:r>
    <w:r w:rsidRPr="002C6AB0">
      <w:rPr>
        <w:rStyle w:val="Sidetall"/>
        <w:rFonts w:cstheme="minorHAnsi"/>
        <w:sz w:val="18"/>
        <w:szCs w:val="18"/>
      </w:rPr>
      <w:fldChar w:fldCharType="end"/>
    </w:r>
    <w:r>
      <w:rPr>
        <w:snapToGrid w:val="0"/>
        <w:sz w:val="18"/>
        <w:szCs w:val="18"/>
      </w:rPr>
      <w:t>/</w:t>
    </w:r>
    <w:r w:rsidRPr="002C6AB0">
      <w:rPr>
        <w:rStyle w:val="Sidetall"/>
        <w:rFonts w:cstheme="minorHAnsi"/>
        <w:sz w:val="18"/>
        <w:szCs w:val="18"/>
      </w:rPr>
      <w:fldChar w:fldCharType="begin"/>
    </w:r>
    <w:r w:rsidRPr="002C6AB0">
      <w:rPr>
        <w:rStyle w:val="Sidetall"/>
        <w:rFonts w:cstheme="minorHAnsi"/>
        <w:sz w:val="18"/>
        <w:szCs w:val="18"/>
      </w:rPr>
      <w:instrText xml:space="preserve"> NUMPAGES </w:instrText>
    </w:r>
    <w:r w:rsidRPr="002C6AB0">
      <w:rPr>
        <w:rStyle w:val="Sidetall"/>
        <w:rFonts w:cstheme="minorHAnsi"/>
        <w:sz w:val="18"/>
        <w:szCs w:val="18"/>
      </w:rPr>
      <w:fldChar w:fldCharType="separate"/>
    </w:r>
    <w:r>
      <w:rPr>
        <w:rStyle w:val="Sidetall"/>
        <w:rFonts w:cstheme="minorHAnsi"/>
        <w:sz w:val="18"/>
        <w:szCs w:val="18"/>
      </w:rPr>
      <w:t>4</w:t>
    </w:r>
    <w:r w:rsidRPr="002C6AB0">
      <w:rPr>
        <w:rStyle w:val="Sidetall"/>
        <w:rFonts w:cstheme="minorHAnsi"/>
        <w:sz w:val="18"/>
        <w:szCs w:val="18"/>
      </w:rPr>
      <w:fldChar w:fldCharType="end"/>
    </w:r>
  </w:p>
  <w:p w14:paraId="27A1C635" w14:textId="77777777" w:rsidR="006B03FD" w:rsidRDefault="006B03FD">
    <w:pPr>
      <w:pStyle w:val="Bunntekst"/>
    </w:pPr>
  </w:p>
  <w:p w14:paraId="043D9A3A" w14:textId="77777777" w:rsidR="006B03FD" w:rsidRDefault="006B03FD">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37169" w14:textId="77777777" w:rsidR="009B517A" w:rsidRDefault="009B517A" w:rsidP="000233C9">
      <w:pPr>
        <w:spacing w:after="0" w:line="240" w:lineRule="auto"/>
      </w:pPr>
      <w:r>
        <w:separator/>
      </w:r>
    </w:p>
  </w:footnote>
  <w:footnote w:type="continuationSeparator" w:id="0">
    <w:p w14:paraId="79E2E86F" w14:textId="77777777" w:rsidR="009B517A" w:rsidRDefault="009B517A" w:rsidP="000233C9">
      <w:pPr>
        <w:spacing w:after="0" w:line="240" w:lineRule="auto"/>
      </w:pPr>
      <w:r>
        <w:continuationSeparator/>
      </w:r>
    </w:p>
  </w:footnote>
  <w:footnote w:type="continuationNotice" w:id="1">
    <w:p w14:paraId="2B0512EE" w14:textId="77777777" w:rsidR="009B517A" w:rsidRDefault="009B51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0611" w14:textId="222241B3" w:rsidR="006B03FD" w:rsidRPr="00946220" w:rsidRDefault="000233C9" w:rsidP="006B03FD">
    <w:pPr>
      <w:pStyle w:val="Topptekst"/>
      <w:rPr>
        <w:i/>
        <w:iCs/>
        <w:sz w:val="20"/>
      </w:rPr>
    </w:pPr>
    <w:r>
      <w:rPr>
        <w:noProof/>
      </w:rPr>
      <w:drawing>
        <wp:anchor distT="0" distB="0" distL="114300" distR="114300" simplePos="0" relativeHeight="251658240" behindDoc="0" locked="0" layoutInCell="1" allowOverlap="1" wp14:anchorId="173F3736" wp14:editId="23DF0481">
          <wp:simplePos x="0" y="0"/>
          <wp:positionH relativeFrom="column">
            <wp:posOffset>5476875</wp:posOffset>
          </wp:positionH>
          <wp:positionV relativeFrom="paragraph">
            <wp:posOffset>-353060</wp:posOffset>
          </wp:positionV>
          <wp:extent cx="978958" cy="619125"/>
          <wp:effectExtent l="0" t="0" r="0" b="0"/>
          <wp:wrapNone/>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78958" cy="619125"/>
                  </a:xfrm>
                  <a:prstGeom prst="rect">
                    <a:avLst/>
                  </a:prstGeom>
                </pic:spPr>
              </pic:pic>
            </a:graphicData>
          </a:graphic>
        </wp:anchor>
      </w:drawing>
    </w:r>
    <w:r>
      <w:rPr>
        <w:i/>
        <w:iCs/>
        <w:sz w:val="20"/>
        <w:szCs w:val="20"/>
      </w:rPr>
      <w:t xml:space="preserve"> </w:t>
    </w:r>
  </w:p>
  <w:p w14:paraId="2D93A241" w14:textId="77777777" w:rsidR="006B03FD" w:rsidRDefault="006B03FD">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61149"/>
    <w:multiLevelType w:val="hybridMultilevel"/>
    <w:tmpl w:val="B42EF65A"/>
    <w:lvl w:ilvl="0" w:tplc="57781D8A">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 w15:restartNumberingAfterBreak="0">
    <w:nsid w:val="640570DB"/>
    <w:multiLevelType w:val="hybridMultilevel"/>
    <w:tmpl w:val="B4B4D46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6FAC7115"/>
    <w:multiLevelType w:val="hybridMultilevel"/>
    <w:tmpl w:val="FAB0BECA"/>
    <w:lvl w:ilvl="0" w:tplc="04140005">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78B45D4E"/>
    <w:multiLevelType w:val="hybridMultilevel"/>
    <w:tmpl w:val="A2A8B1D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621565899">
    <w:abstractNumId w:val="2"/>
  </w:num>
  <w:num w:numId="2" w16cid:durableId="990476752">
    <w:abstractNumId w:val="3"/>
  </w:num>
  <w:num w:numId="3" w16cid:durableId="535312299">
    <w:abstractNumId w:val="0"/>
  </w:num>
  <w:num w:numId="4" w16cid:durableId="453211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3C9"/>
    <w:rsid w:val="000037E6"/>
    <w:rsid w:val="000211AE"/>
    <w:rsid w:val="000233C9"/>
    <w:rsid w:val="00027798"/>
    <w:rsid w:val="00062FC1"/>
    <w:rsid w:val="00080C7B"/>
    <w:rsid w:val="00081F5E"/>
    <w:rsid w:val="0008644F"/>
    <w:rsid w:val="00090DBE"/>
    <w:rsid w:val="000972A2"/>
    <w:rsid w:val="000B52D6"/>
    <w:rsid w:val="000E0CA4"/>
    <w:rsid w:val="000E2235"/>
    <w:rsid w:val="000E33EA"/>
    <w:rsid w:val="001053CD"/>
    <w:rsid w:val="00110FA1"/>
    <w:rsid w:val="001240E1"/>
    <w:rsid w:val="0012530A"/>
    <w:rsid w:val="00146203"/>
    <w:rsid w:val="0015396D"/>
    <w:rsid w:val="00157A21"/>
    <w:rsid w:val="00172582"/>
    <w:rsid w:val="0018428B"/>
    <w:rsid w:val="00195594"/>
    <w:rsid w:val="00196B2D"/>
    <w:rsid w:val="001A1F1D"/>
    <w:rsid w:val="001A321E"/>
    <w:rsid w:val="001B1E59"/>
    <w:rsid w:val="001C648A"/>
    <w:rsid w:val="001C6633"/>
    <w:rsid w:val="001D048B"/>
    <w:rsid w:val="001D7ED4"/>
    <w:rsid w:val="00211BB3"/>
    <w:rsid w:val="00276ACB"/>
    <w:rsid w:val="0028088C"/>
    <w:rsid w:val="002936F8"/>
    <w:rsid w:val="002960EF"/>
    <w:rsid w:val="002A2FA1"/>
    <w:rsid w:val="002C5A14"/>
    <w:rsid w:val="002C6576"/>
    <w:rsid w:val="002E4FC0"/>
    <w:rsid w:val="00303A96"/>
    <w:rsid w:val="003113CC"/>
    <w:rsid w:val="00332D50"/>
    <w:rsid w:val="003462FB"/>
    <w:rsid w:val="0037312A"/>
    <w:rsid w:val="003751F6"/>
    <w:rsid w:val="00376235"/>
    <w:rsid w:val="00395C5F"/>
    <w:rsid w:val="0039775D"/>
    <w:rsid w:val="003A19D5"/>
    <w:rsid w:val="003C436B"/>
    <w:rsid w:val="003C59D5"/>
    <w:rsid w:val="003C64EA"/>
    <w:rsid w:val="003C7BCD"/>
    <w:rsid w:val="003D3D3F"/>
    <w:rsid w:val="003D79EF"/>
    <w:rsid w:val="003F6585"/>
    <w:rsid w:val="004107A8"/>
    <w:rsid w:val="00424441"/>
    <w:rsid w:val="00436D38"/>
    <w:rsid w:val="00442588"/>
    <w:rsid w:val="004526EB"/>
    <w:rsid w:val="00462095"/>
    <w:rsid w:val="004654E4"/>
    <w:rsid w:val="00477B9C"/>
    <w:rsid w:val="004936FE"/>
    <w:rsid w:val="004A6CFF"/>
    <w:rsid w:val="004A766F"/>
    <w:rsid w:val="004C1B6A"/>
    <w:rsid w:val="004C5181"/>
    <w:rsid w:val="004D0BC0"/>
    <w:rsid w:val="004D4190"/>
    <w:rsid w:val="004E02E8"/>
    <w:rsid w:val="004E0F4A"/>
    <w:rsid w:val="004E1E2A"/>
    <w:rsid w:val="004F2596"/>
    <w:rsid w:val="004F4E48"/>
    <w:rsid w:val="00500451"/>
    <w:rsid w:val="00510851"/>
    <w:rsid w:val="0051185D"/>
    <w:rsid w:val="005134D1"/>
    <w:rsid w:val="00520704"/>
    <w:rsid w:val="00524B31"/>
    <w:rsid w:val="00531C41"/>
    <w:rsid w:val="005325FF"/>
    <w:rsid w:val="00533ED0"/>
    <w:rsid w:val="00543F1D"/>
    <w:rsid w:val="00550F22"/>
    <w:rsid w:val="0055759A"/>
    <w:rsid w:val="00557694"/>
    <w:rsid w:val="00557787"/>
    <w:rsid w:val="00564589"/>
    <w:rsid w:val="005808DB"/>
    <w:rsid w:val="0059169C"/>
    <w:rsid w:val="005A019D"/>
    <w:rsid w:val="005A196A"/>
    <w:rsid w:val="005D1AD4"/>
    <w:rsid w:val="005D5413"/>
    <w:rsid w:val="005F5770"/>
    <w:rsid w:val="00612935"/>
    <w:rsid w:val="00622C1E"/>
    <w:rsid w:val="00641E2D"/>
    <w:rsid w:val="00654771"/>
    <w:rsid w:val="00670291"/>
    <w:rsid w:val="00670B70"/>
    <w:rsid w:val="006768BA"/>
    <w:rsid w:val="006773B5"/>
    <w:rsid w:val="00695943"/>
    <w:rsid w:val="00695FDE"/>
    <w:rsid w:val="006B03FD"/>
    <w:rsid w:val="006B2451"/>
    <w:rsid w:val="006C6B82"/>
    <w:rsid w:val="006D7631"/>
    <w:rsid w:val="006E07BD"/>
    <w:rsid w:val="006E6565"/>
    <w:rsid w:val="006E6AF6"/>
    <w:rsid w:val="006F3F87"/>
    <w:rsid w:val="0070088A"/>
    <w:rsid w:val="007024BC"/>
    <w:rsid w:val="00704CDA"/>
    <w:rsid w:val="0071222F"/>
    <w:rsid w:val="00733A52"/>
    <w:rsid w:val="00735B71"/>
    <w:rsid w:val="007417CC"/>
    <w:rsid w:val="007438A4"/>
    <w:rsid w:val="0074512E"/>
    <w:rsid w:val="00750FB2"/>
    <w:rsid w:val="00772FFA"/>
    <w:rsid w:val="007815EC"/>
    <w:rsid w:val="00782660"/>
    <w:rsid w:val="00792DB2"/>
    <w:rsid w:val="007A1E85"/>
    <w:rsid w:val="007C5CB5"/>
    <w:rsid w:val="007E41FF"/>
    <w:rsid w:val="007E5889"/>
    <w:rsid w:val="007E6D39"/>
    <w:rsid w:val="007F534E"/>
    <w:rsid w:val="007F7EC0"/>
    <w:rsid w:val="00811909"/>
    <w:rsid w:val="00823410"/>
    <w:rsid w:val="00824026"/>
    <w:rsid w:val="008501D3"/>
    <w:rsid w:val="00853D83"/>
    <w:rsid w:val="00876C80"/>
    <w:rsid w:val="00880D89"/>
    <w:rsid w:val="00885C43"/>
    <w:rsid w:val="00895FEF"/>
    <w:rsid w:val="008A2C11"/>
    <w:rsid w:val="008D0446"/>
    <w:rsid w:val="008E27AB"/>
    <w:rsid w:val="009046DD"/>
    <w:rsid w:val="00911B7A"/>
    <w:rsid w:val="00932E7E"/>
    <w:rsid w:val="00934296"/>
    <w:rsid w:val="00937BFD"/>
    <w:rsid w:val="00957110"/>
    <w:rsid w:val="009630AA"/>
    <w:rsid w:val="00963B0D"/>
    <w:rsid w:val="009648C4"/>
    <w:rsid w:val="009A02BA"/>
    <w:rsid w:val="009A0C51"/>
    <w:rsid w:val="009B4CF7"/>
    <w:rsid w:val="009B517A"/>
    <w:rsid w:val="009C7E1C"/>
    <w:rsid w:val="009D25AF"/>
    <w:rsid w:val="009D2C0E"/>
    <w:rsid w:val="009F59E1"/>
    <w:rsid w:val="00A13FE0"/>
    <w:rsid w:val="00A1691B"/>
    <w:rsid w:val="00A34699"/>
    <w:rsid w:val="00A36951"/>
    <w:rsid w:val="00A52A90"/>
    <w:rsid w:val="00A67CA6"/>
    <w:rsid w:val="00A83B1B"/>
    <w:rsid w:val="00A876AC"/>
    <w:rsid w:val="00AA2426"/>
    <w:rsid w:val="00AA5F79"/>
    <w:rsid w:val="00AC19F1"/>
    <w:rsid w:val="00AC2B9E"/>
    <w:rsid w:val="00AC4663"/>
    <w:rsid w:val="00AD4B47"/>
    <w:rsid w:val="00AF328D"/>
    <w:rsid w:val="00B1195E"/>
    <w:rsid w:val="00B24705"/>
    <w:rsid w:val="00B44257"/>
    <w:rsid w:val="00B56DC9"/>
    <w:rsid w:val="00B6718E"/>
    <w:rsid w:val="00B81BC6"/>
    <w:rsid w:val="00BB3434"/>
    <w:rsid w:val="00BC15ED"/>
    <w:rsid w:val="00BC5596"/>
    <w:rsid w:val="00BC7E28"/>
    <w:rsid w:val="00BD0535"/>
    <w:rsid w:val="00BD1C8F"/>
    <w:rsid w:val="00BD5B10"/>
    <w:rsid w:val="00BF07BE"/>
    <w:rsid w:val="00BF65CE"/>
    <w:rsid w:val="00BF7016"/>
    <w:rsid w:val="00C0131C"/>
    <w:rsid w:val="00C24EF9"/>
    <w:rsid w:val="00C255AE"/>
    <w:rsid w:val="00C30471"/>
    <w:rsid w:val="00C62562"/>
    <w:rsid w:val="00C66341"/>
    <w:rsid w:val="00C7310C"/>
    <w:rsid w:val="00C773D8"/>
    <w:rsid w:val="00CA5FB4"/>
    <w:rsid w:val="00CB1B55"/>
    <w:rsid w:val="00CB290E"/>
    <w:rsid w:val="00CC68AB"/>
    <w:rsid w:val="00CD6161"/>
    <w:rsid w:val="00CE1797"/>
    <w:rsid w:val="00CE563E"/>
    <w:rsid w:val="00CE7E88"/>
    <w:rsid w:val="00CF37A2"/>
    <w:rsid w:val="00D040CC"/>
    <w:rsid w:val="00D05BF0"/>
    <w:rsid w:val="00D23603"/>
    <w:rsid w:val="00D2368B"/>
    <w:rsid w:val="00D24654"/>
    <w:rsid w:val="00D60674"/>
    <w:rsid w:val="00DB6B9E"/>
    <w:rsid w:val="00DC4156"/>
    <w:rsid w:val="00DC4FB0"/>
    <w:rsid w:val="00DE12D3"/>
    <w:rsid w:val="00DE1F77"/>
    <w:rsid w:val="00E047C4"/>
    <w:rsid w:val="00E52741"/>
    <w:rsid w:val="00E5362D"/>
    <w:rsid w:val="00E64EB2"/>
    <w:rsid w:val="00E74B56"/>
    <w:rsid w:val="00E858C0"/>
    <w:rsid w:val="00E93643"/>
    <w:rsid w:val="00E9636F"/>
    <w:rsid w:val="00EB581D"/>
    <w:rsid w:val="00EB5D7A"/>
    <w:rsid w:val="00EC34F7"/>
    <w:rsid w:val="00EC6861"/>
    <w:rsid w:val="00EC7FA6"/>
    <w:rsid w:val="00EE0254"/>
    <w:rsid w:val="00EF086E"/>
    <w:rsid w:val="00F169A0"/>
    <w:rsid w:val="00F4186C"/>
    <w:rsid w:val="00F55AFE"/>
    <w:rsid w:val="00F93CEC"/>
    <w:rsid w:val="00FB3B4C"/>
    <w:rsid w:val="02A1D714"/>
    <w:rsid w:val="0832A6B3"/>
    <w:rsid w:val="098A452C"/>
    <w:rsid w:val="09A3E492"/>
    <w:rsid w:val="0BC37BC6"/>
    <w:rsid w:val="1227BA6E"/>
    <w:rsid w:val="13B1CEC3"/>
    <w:rsid w:val="15CE6474"/>
    <w:rsid w:val="172B74D5"/>
    <w:rsid w:val="2120E269"/>
    <w:rsid w:val="232C2154"/>
    <w:rsid w:val="2B5C8157"/>
    <w:rsid w:val="30B5BB36"/>
    <w:rsid w:val="40121F6F"/>
    <w:rsid w:val="46111121"/>
    <w:rsid w:val="46DA2808"/>
    <w:rsid w:val="4D0E68A2"/>
    <w:rsid w:val="4E8B605A"/>
    <w:rsid w:val="525EA8D1"/>
    <w:rsid w:val="59B25891"/>
    <w:rsid w:val="5C015223"/>
    <w:rsid w:val="5DF320F5"/>
    <w:rsid w:val="5EF07E07"/>
    <w:rsid w:val="686A632C"/>
    <w:rsid w:val="74F1A771"/>
    <w:rsid w:val="7609E3EE"/>
    <w:rsid w:val="7D009CA5"/>
    <w:rsid w:val="7D6FBA63"/>
    <w:rsid w:val="7FD077E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60101"/>
  <w15:chartTrackingRefBased/>
  <w15:docId w15:val="{03467658-A53B-4ADC-AEE4-BF967E77F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3C9"/>
    <w:rPr>
      <w:color w:val="000000" w:themeColor="text1"/>
    </w:rPr>
  </w:style>
  <w:style w:type="paragraph" w:styleId="Overskrift2">
    <w:name w:val="heading 2"/>
    <w:basedOn w:val="Normal"/>
    <w:next w:val="Normal"/>
    <w:link w:val="Overskrift2Tegn"/>
    <w:uiPriority w:val="9"/>
    <w:unhideWhenUsed/>
    <w:qFormat/>
    <w:rsid w:val="000233C9"/>
    <w:pPr>
      <w:keepNext/>
      <w:keepLines/>
      <w:spacing w:before="200" w:after="0"/>
      <w:outlineLvl w:val="1"/>
    </w:pPr>
    <w:rPr>
      <w:rFonts w:eastAsiaTheme="majorEastAsia" w:cstheme="majorBidi"/>
      <w:b/>
      <w:bCs/>
      <w:sz w:val="3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2Tegn">
    <w:name w:val="Overskrift 2 Tegn"/>
    <w:basedOn w:val="Standardskriftforavsnitt"/>
    <w:link w:val="Overskrift2"/>
    <w:uiPriority w:val="9"/>
    <w:rsid w:val="000233C9"/>
    <w:rPr>
      <w:rFonts w:eastAsiaTheme="majorEastAsia" w:cstheme="majorBidi"/>
      <w:b/>
      <w:bCs/>
      <w:color w:val="000000" w:themeColor="text1"/>
      <w:sz w:val="36"/>
      <w:szCs w:val="26"/>
    </w:rPr>
  </w:style>
  <w:style w:type="paragraph" w:styleId="Topptekst">
    <w:name w:val="header"/>
    <w:basedOn w:val="Normal"/>
    <w:link w:val="TopptekstTegn"/>
    <w:uiPriority w:val="99"/>
    <w:unhideWhenUsed/>
    <w:rsid w:val="000233C9"/>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0233C9"/>
    <w:rPr>
      <w:color w:val="000000" w:themeColor="text1"/>
    </w:rPr>
  </w:style>
  <w:style w:type="paragraph" w:styleId="Bunntekst">
    <w:name w:val="footer"/>
    <w:basedOn w:val="Normal"/>
    <w:link w:val="BunntekstTegn"/>
    <w:unhideWhenUsed/>
    <w:rsid w:val="000233C9"/>
    <w:pPr>
      <w:tabs>
        <w:tab w:val="center" w:pos="4536"/>
        <w:tab w:val="right" w:pos="9072"/>
      </w:tabs>
      <w:spacing w:after="0" w:line="240" w:lineRule="auto"/>
    </w:pPr>
  </w:style>
  <w:style w:type="character" w:customStyle="1" w:styleId="BunntekstTegn">
    <w:name w:val="Bunntekst Tegn"/>
    <w:basedOn w:val="Standardskriftforavsnitt"/>
    <w:link w:val="Bunntekst"/>
    <w:rsid w:val="000233C9"/>
    <w:rPr>
      <w:color w:val="000000" w:themeColor="text1"/>
    </w:rPr>
  </w:style>
  <w:style w:type="table" w:styleId="Tabellrutenett">
    <w:name w:val="Table Grid"/>
    <w:basedOn w:val="Vanligtabell"/>
    <w:uiPriority w:val="59"/>
    <w:rsid w:val="00023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genmellomrom">
    <w:name w:val="No Spacing"/>
    <w:uiPriority w:val="1"/>
    <w:qFormat/>
    <w:rsid w:val="000233C9"/>
    <w:pPr>
      <w:spacing w:after="0" w:line="240" w:lineRule="auto"/>
    </w:pPr>
    <w:rPr>
      <w:color w:val="000000" w:themeColor="text1"/>
    </w:rPr>
  </w:style>
  <w:style w:type="character" w:styleId="Sidetall">
    <w:name w:val="page number"/>
    <w:basedOn w:val="Standardskriftforavsnitt"/>
    <w:rsid w:val="000233C9"/>
  </w:style>
  <w:style w:type="character" w:styleId="Hyperkobling">
    <w:name w:val="Hyperlink"/>
    <w:basedOn w:val="Standardskriftforavsnitt"/>
    <w:uiPriority w:val="99"/>
    <w:unhideWhenUsed/>
    <w:rsid w:val="000233C9"/>
    <w:rPr>
      <w:color w:val="0563C1" w:themeColor="hyperlink"/>
      <w:u w:val="single"/>
    </w:rPr>
  </w:style>
  <w:style w:type="character" w:styleId="Merknadsreferanse">
    <w:name w:val="annotation reference"/>
    <w:basedOn w:val="Standardskriftforavsnitt"/>
    <w:uiPriority w:val="99"/>
    <w:semiHidden/>
    <w:unhideWhenUsed/>
    <w:rsid w:val="000233C9"/>
    <w:rPr>
      <w:sz w:val="16"/>
      <w:szCs w:val="16"/>
    </w:rPr>
  </w:style>
  <w:style w:type="paragraph" w:styleId="Merknadstekst">
    <w:name w:val="annotation text"/>
    <w:basedOn w:val="Normal"/>
    <w:link w:val="MerknadstekstTegn"/>
    <w:uiPriority w:val="99"/>
    <w:unhideWhenUsed/>
    <w:rsid w:val="000233C9"/>
    <w:pPr>
      <w:spacing w:line="240" w:lineRule="auto"/>
    </w:pPr>
    <w:rPr>
      <w:sz w:val="20"/>
      <w:szCs w:val="20"/>
    </w:rPr>
  </w:style>
  <w:style w:type="character" w:customStyle="1" w:styleId="MerknadstekstTegn">
    <w:name w:val="Merknadstekst Tegn"/>
    <w:basedOn w:val="Standardskriftforavsnitt"/>
    <w:link w:val="Merknadstekst"/>
    <w:uiPriority w:val="99"/>
    <w:rsid w:val="000233C9"/>
    <w:rPr>
      <w:color w:val="000000" w:themeColor="text1"/>
      <w:sz w:val="20"/>
      <w:szCs w:val="20"/>
    </w:rPr>
  </w:style>
  <w:style w:type="character" w:styleId="Omtale">
    <w:name w:val="Mention"/>
    <w:basedOn w:val="Standardskriftforavsnitt"/>
    <w:uiPriority w:val="99"/>
    <w:unhideWhenUsed/>
    <w:rsid w:val="000233C9"/>
    <w:rPr>
      <w:color w:val="2B579A"/>
      <w:shd w:val="clear" w:color="auto" w:fill="E1DFDD"/>
    </w:rPr>
  </w:style>
  <w:style w:type="paragraph" w:styleId="Sluttnotetekst">
    <w:name w:val="endnote text"/>
    <w:basedOn w:val="Normal"/>
    <w:link w:val="SluttnotetekstTegn"/>
    <w:uiPriority w:val="99"/>
    <w:semiHidden/>
    <w:unhideWhenUsed/>
    <w:rsid w:val="000233C9"/>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0233C9"/>
    <w:rPr>
      <w:color w:val="000000" w:themeColor="text1"/>
      <w:sz w:val="20"/>
      <w:szCs w:val="20"/>
    </w:rPr>
  </w:style>
  <w:style w:type="character" w:styleId="Sluttnotereferanse">
    <w:name w:val="endnote reference"/>
    <w:basedOn w:val="Standardskriftforavsnitt"/>
    <w:uiPriority w:val="99"/>
    <w:semiHidden/>
    <w:unhideWhenUsed/>
    <w:rsid w:val="000233C9"/>
    <w:rPr>
      <w:vertAlign w:val="superscript"/>
    </w:rPr>
  </w:style>
  <w:style w:type="character" w:customStyle="1" w:styleId="normaltextrun">
    <w:name w:val="normaltextrun"/>
    <w:basedOn w:val="Standardskriftforavsnitt"/>
    <w:rsid w:val="007F534E"/>
  </w:style>
  <w:style w:type="character" w:styleId="Ulstomtale">
    <w:name w:val="Unresolved Mention"/>
    <w:basedOn w:val="Standardskriftforavsnitt"/>
    <w:uiPriority w:val="99"/>
    <w:semiHidden/>
    <w:unhideWhenUsed/>
    <w:rsid w:val="008A2C11"/>
    <w:rPr>
      <w:color w:val="605E5C"/>
      <w:shd w:val="clear" w:color="auto" w:fill="E1DFDD"/>
    </w:rPr>
  </w:style>
  <w:style w:type="paragraph" w:styleId="Kommentaremne">
    <w:name w:val="annotation subject"/>
    <w:basedOn w:val="Merknadstekst"/>
    <w:next w:val="Merknadstekst"/>
    <w:link w:val="KommentaremneTegn"/>
    <w:uiPriority w:val="99"/>
    <w:semiHidden/>
    <w:unhideWhenUsed/>
    <w:rsid w:val="00695FDE"/>
    <w:rPr>
      <w:b/>
      <w:bCs/>
    </w:rPr>
  </w:style>
  <w:style w:type="character" w:customStyle="1" w:styleId="KommentaremneTegn">
    <w:name w:val="Kommentaremne Tegn"/>
    <w:basedOn w:val="MerknadstekstTegn"/>
    <w:link w:val="Kommentaremne"/>
    <w:uiPriority w:val="99"/>
    <w:semiHidden/>
    <w:rsid w:val="00695FDE"/>
    <w:rPr>
      <w:b/>
      <w:bCs/>
      <w:color w:val="000000" w:themeColor="text1"/>
      <w:sz w:val="20"/>
      <w:szCs w:val="20"/>
    </w:rPr>
  </w:style>
  <w:style w:type="paragraph" w:styleId="Revisjon">
    <w:name w:val="Revision"/>
    <w:hidden/>
    <w:uiPriority w:val="99"/>
    <w:semiHidden/>
    <w:rsid w:val="000972A2"/>
    <w:pPr>
      <w:spacing w:after="0" w:line="240" w:lineRule="auto"/>
    </w:pPr>
    <w:rPr>
      <w:color w:val="000000" w:themeColor="text1"/>
    </w:rPr>
  </w:style>
  <w:style w:type="character" w:styleId="Fulgthyperkobling">
    <w:name w:val="FollowedHyperlink"/>
    <w:basedOn w:val="Standardskriftforavsnitt"/>
    <w:uiPriority w:val="99"/>
    <w:semiHidden/>
    <w:unhideWhenUsed/>
    <w:rsid w:val="00477B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kdir.no/en/guidelines-and-tools-for-responsible-international-knowledge-cooperatio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ukraina@hkdir.n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presso.hkdir.no/login?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kdir.no/spredning-av-prosjektresulta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3D173B90734304CBDCBAA2E57E3E6F0" ma:contentTypeVersion="8" ma:contentTypeDescription="Opprett et nytt dokument." ma:contentTypeScope="" ma:versionID="7f6602d71897db1f40ca7fc6655a394d">
  <xsd:schema xmlns:xsd="http://www.w3.org/2001/XMLSchema" xmlns:xs="http://www.w3.org/2001/XMLSchema" xmlns:p="http://schemas.microsoft.com/office/2006/metadata/properties" xmlns:ns2="fece2902-b34a-4503-9084-58d3448d1b6f" targetNamespace="http://schemas.microsoft.com/office/2006/metadata/properties" ma:root="true" ma:fieldsID="e243789437e6679ca0acbea0821d1154" ns2:_="">
    <xsd:import namespace="fece2902-b34a-4503-9084-58d3448d1b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e2902-b34a-4503-9084-58d3448d1b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6C446C-5F74-4AE1-AA98-C74E0B2F023D}">
  <ds:schemaRefs>
    <ds:schemaRef ds:uri="http://schemas.microsoft.com/sharepoint/v3/contenttype/forms"/>
  </ds:schemaRefs>
</ds:datastoreItem>
</file>

<file path=customXml/itemProps2.xml><?xml version="1.0" encoding="utf-8"?>
<ds:datastoreItem xmlns:ds="http://schemas.openxmlformats.org/officeDocument/2006/customXml" ds:itemID="{2A5C391D-7D2A-45B9-BEDC-0ED53D5346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ce2902-b34a-4503-9084-58d3448d1b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4BEE83-6B21-47BC-AFAF-773C2CEC4D3E}">
  <ds:schemaRefs>
    <ds:schemaRef ds:uri="http://schemas.openxmlformats.org/officeDocument/2006/bibliography"/>
  </ds:schemaRefs>
</ds:datastoreItem>
</file>

<file path=customXml/itemProps4.xml><?xml version="1.0" encoding="utf-8"?>
<ds:datastoreItem xmlns:ds="http://schemas.openxmlformats.org/officeDocument/2006/customXml" ds:itemID="{9613EB61-E060-4C69-B0AD-016D01C02E79}">
  <ds:schemaRefs>
    <ds:schemaRef ds:uri="fece2902-b34a-4503-9084-58d3448d1b6f"/>
    <ds:schemaRef ds:uri="http://purl.org/dc/terms/"/>
    <ds:schemaRef ds:uri="http://www.w3.org/XML/1998/namespace"/>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2049</Words>
  <Characters>10864</Characters>
  <Application>Microsoft Office Word</Application>
  <DocSecurity>0</DocSecurity>
  <Lines>90</Lines>
  <Paragraphs>25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Torgeir Hovden</dc:creator>
  <cp:keywords/>
  <dc:description/>
  <cp:lastModifiedBy>Herdis Kolle</cp:lastModifiedBy>
  <cp:revision>2</cp:revision>
  <dcterms:created xsi:type="dcterms:W3CDTF">2025-12-01T08:49:00Z</dcterms:created>
  <dcterms:modified xsi:type="dcterms:W3CDTF">2025-12-01T08:49:00Z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0x010100F3D173B90734304CBDCBAA2E57E3E6F0</vt:lpwstr>
  </property>
  <property fmtid="{D5CDD505-2E9C-101B-9397-08002B2CF9AE}" pid="3" name="TaxKeyword">
    <vt:lpwstr/>
  </property>
  <property fmtid="{D5CDD505-2E9C-101B-9397-08002B2CF9AE}" pid="4" name="Order">
    <vt:r8>223900</vt:r8>
  </property>
  <property fmtid="{D5CDD505-2E9C-101B-9397-08002B2CF9AE}" pid="5" name="xd_Signature">
    <vt:bool>false</vt:bool>
  </property>
  <property fmtid="{D5CDD505-2E9C-101B-9397-08002B2CF9AE}" pid="6" name="Ekstern">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Arkivverdig">
    <vt:bool>false</vt:bool>
  </property>
  <property fmtid="{D5CDD505-2E9C-101B-9397-08002B2CF9AE}" pid="11" name="_ExtendedDescription">
    <vt:lpwstr/>
  </property>
  <property fmtid="{D5CDD505-2E9C-101B-9397-08002B2CF9AE}" pid="12" name="Klassifisering">
    <vt:lpwstr>Intern</vt:lpwstr>
  </property>
  <property fmtid="{D5CDD505-2E9C-101B-9397-08002B2CF9AE}" pid="13" name="TriggerFlowInfo">
    <vt:lpwstr/>
  </property>
  <property fmtid="{D5CDD505-2E9C-101B-9397-08002B2CF9AE}" pid="14" name="MediaServiceImageTags">
    <vt:lpwstr/>
  </property>
  <property fmtid="{D5CDD505-2E9C-101B-9397-08002B2CF9AE}" pid="15" name="MSIP_Label_2724d2c2-06b5-4830-8a42-89f80414a936_Enabled">
    <vt:lpwstr>true</vt:lpwstr>
  </property>
  <property fmtid="{D5CDD505-2E9C-101B-9397-08002B2CF9AE}" pid="16" name="MSIP_Label_2724d2c2-06b5-4830-8a42-89f80414a936_SetDate">
    <vt:lpwstr>2025-11-12T14:04:32Z</vt:lpwstr>
  </property>
  <property fmtid="{D5CDD505-2E9C-101B-9397-08002B2CF9AE}" pid="17" name="MSIP_Label_2724d2c2-06b5-4830-8a42-89f80414a936_Method">
    <vt:lpwstr>Privileged</vt:lpwstr>
  </property>
  <property fmtid="{D5CDD505-2E9C-101B-9397-08002B2CF9AE}" pid="18" name="MSIP_Label_2724d2c2-06b5-4830-8a42-89f80414a936_Name">
    <vt:lpwstr>Intern</vt:lpwstr>
  </property>
  <property fmtid="{D5CDD505-2E9C-101B-9397-08002B2CF9AE}" pid="19" name="MSIP_Label_2724d2c2-06b5-4830-8a42-89f80414a936_SiteId">
    <vt:lpwstr>1ec46890-73f8-4a2a-9b2c-9a6611f1c922</vt:lpwstr>
  </property>
  <property fmtid="{D5CDD505-2E9C-101B-9397-08002B2CF9AE}" pid="20" name="MSIP_Label_2724d2c2-06b5-4830-8a42-89f80414a936_ActionId">
    <vt:lpwstr>4bd84c1b-47e8-425a-b75e-14ec83d09deb</vt:lpwstr>
  </property>
  <property fmtid="{D5CDD505-2E9C-101B-9397-08002B2CF9AE}" pid="21" name="MSIP_Label_2724d2c2-06b5-4830-8a42-89f80414a936_ContentBits">
    <vt:lpwstr>0</vt:lpwstr>
  </property>
  <property fmtid="{D5CDD505-2E9C-101B-9397-08002B2CF9AE}" pid="22" name="MSIP_Label_2724d2c2-06b5-4830-8a42-89f80414a936_Tag">
    <vt:lpwstr>10, 0, 1, 1</vt:lpwstr>
  </property>
</Properties>
</file>