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 Spacing"/>
        <w:jc w:val="center"/>
        <w:rPr>
          <w:b w:val="1"/>
          <w:bCs w:val="1"/>
          <w:sz w:val="44"/>
          <w:szCs w:val="44"/>
        </w:rPr>
      </w:pPr>
      <w:r>
        <w:rPr>
          <w:b w:val="1"/>
          <w:bCs w:val="1"/>
          <w:sz w:val="44"/>
          <w:szCs w:val="44"/>
          <w:rtl w:val="0"/>
          <w:lang w:val="en-US"/>
        </w:rPr>
        <w:t>PROJECT DESCRIPTION NANSEN EDU 2025</w:t>
      </w:r>
    </w:p>
    <w:p>
      <w:pPr>
        <w:pStyle w:val="No Spacing"/>
      </w:pPr>
    </w:p>
    <w:tbl>
      <w:tblPr>
        <w:tblW w:w="962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122"/>
        <w:gridCol w:w="7506"/>
      </w:tblGrid>
      <w:tr>
        <w:tblPrEx>
          <w:shd w:val="clear" w:color="auto" w:fill="cdd4e9"/>
        </w:tblPrEx>
        <w:trPr>
          <w:trHeight w:val="221"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caac"/>
            <w:tcMar>
              <w:top w:type="dxa" w:w="80"/>
              <w:left w:type="dxa" w:w="80"/>
              <w:bottom w:type="dxa" w:w="80"/>
              <w:right w:type="dxa" w:w="80"/>
            </w:tcMar>
            <w:vAlign w:val="top"/>
          </w:tcPr>
          <w:p>
            <w:pPr>
              <w:pStyle w:val="No Spacing"/>
            </w:pPr>
            <w:r>
              <w:rPr>
                <w:b w:val="1"/>
                <w:bCs w:val="1"/>
                <w:shd w:val="nil" w:color="auto" w:fill="auto"/>
                <w:rtl w:val="0"/>
                <w:lang w:val="en-US"/>
              </w:rPr>
              <w:t>Project number:</w:t>
            </w:r>
          </w:p>
        </w:tc>
        <w:tc>
          <w:tcPr>
            <w:tcW w:type="dxa" w:w="7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pPr>
            <w:r>
              <w:rPr>
                <w:shd w:val="nil" w:color="auto" w:fill="auto"/>
                <w:rtl w:val="0"/>
                <w:lang w:val="en-US"/>
              </w:rPr>
              <w:t>Enter the project number from the online application form in Espresso.</w:t>
            </w:r>
          </w:p>
        </w:tc>
      </w:tr>
      <w:tr>
        <w:tblPrEx>
          <w:shd w:val="clear" w:color="auto" w:fill="cdd4e9"/>
        </w:tblPrEx>
        <w:trPr>
          <w:trHeight w:val="221"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caac"/>
            <w:tcMar>
              <w:top w:type="dxa" w:w="80"/>
              <w:left w:type="dxa" w:w="80"/>
              <w:bottom w:type="dxa" w:w="80"/>
              <w:right w:type="dxa" w:w="80"/>
            </w:tcMar>
            <w:vAlign w:val="top"/>
          </w:tcPr>
          <w:p>
            <w:pPr>
              <w:pStyle w:val="No Spacing"/>
            </w:pPr>
            <w:r>
              <w:rPr>
                <w:b w:val="1"/>
                <w:bCs w:val="1"/>
                <w:shd w:val="nil" w:color="auto" w:fill="auto"/>
                <w:rtl w:val="0"/>
                <w:lang w:val="en-US"/>
              </w:rPr>
              <w:t>Project title:</w:t>
            </w:r>
          </w:p>
        </w:tc>
        <w:tc>
          <w:tcPr>
            <w:tcW w:type="dxa" w:w="7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AI-Powered Smart Grid Education for Ukraine's Energy Resilience (AI-SmartGrid)</w:t>
            </w:r>
          </w:p>
        </w:tc>
      </w:tr>
      <w:tr>
        <w:tblPrEx>
          <w:shd w:val="clear" w:color="auto" w:fill="cdd4e9"/>
        </w:tblPrEx>
        <w:trPr>
          <w:trHeight w:val="221"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caac"/>
            <w:tcMar>
              <w:top w:type="dxa" w:w="80"/>
              <w:left w:type="dxa" w:w="80"/>
              <w:bottom w:type="dxa" w:w="80"/>
              <w:right w:type="dxa" w:w="80"/>
            </w:tcMar>
            <w:vAlign w:val="top"/>
          </w:tcPr>
          <w:p>
            <w:pPr>
              <w:pStyle w:val="No Spacing"/>
            </w:pPr>
            <w:r>
              <w:rPr>
                <w:b w:val="1"/>
                <w:bCs w:val="1"/>
                <w:shd w:val="nil" w:color="auto" w:fill="auto"/>
                <w:rtl w:val="0"/>
                <w:lang w:val="en-US"/>
              </w:rPr>
              <w:t>Applicant institution:</w:t>
            </w:r>
          </w:p>
        </w:tc>
        <w:tc>
          <w:tcPr>
            <w:tcW w:type="dxa" w:w="7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 xml:space="preserve">NTNU </w:t>
            </w:r>
            <w:r>
              <w:rPr>
                <w:shd w:val="nil" w:color="auto" w:fill="auto"/>
                <w:rtl w:val="0"/>
                <w:lang w:val="en-US"/>
              </w:rPr>
              <w:t xml:space="preserve">— </w:t>
            </w:r>
            <w:r>
              <w:rPr>
                <w:shd w:val="nil" w:color="auto" w:fill="auto"/>
                <w:rtl w:val="0"/>
                <w:lang w:val="en-US"/>
              </w:rPr>
              <w:t>Norwegian University of Science and Technology</w:t>
            </w:r>
          </w:p>
        </w:tc>
      </w:tr>
    </w:tbl>
    <w:p>
      <w:pPr>
        <w:pStyle w:val="No Spacing"/>
        <w:widowControl w:val="0"/>
      </w:pPr>
    </w:p>
    <w:p>
      <w:pPr>
        <w:pStyle w:val="No Spacing"/>
      </w:pPr>
    </w:p>
    <w:p>
      <w:pPr>
        <w:pStyle w:val="No Spacing"/>
      </w:pPr>
    </w:p>
    <w:p>
      <w:pPr>
        <w:pStyle w:val="Body"/>
        <w:keepNext w:val="1"/>
        <w:keepLines w:val="1"/>
        <w:spacing w:before="200" w:after="120"/>
        <w:outlineLvl w:val="1"/>
        <w:rPr>
          <w:b w:val="1"/>
          <w:bCs w:val="1"/>
          <w:sz w:val="32"/>
          <w:szCs w:val="32"/>
        </w:rPr>
      </w:pPr>
      <w:r>
        <w:rPr>
          <w:b w:val="1"/>
          <w:bCs w:val="1"/>
          <w:sz w:val="32"/>
          <w:szCs w:val="32"/>
          <w:rtl w:val="0"/>
        </w:rPr>
        <w:t>1</w:t>
        <w:tab/>
        <w:t>Relevance of the project</w:t>
      </w:r>
    </w:p>
    <w:p>
      <w:pPr>
        <w:pStyle w:val="No Spacing"/>
        <w:rPr>
          <w:b w:val="1"/>
          <w:bCs w:val="1"/>
        </w:rPr>
      </w:pPr>
    </w:p>
    <w:p>
      <w:pPr>
        <w:pStyle w:val="No Spacing"/>
        <w:rPr>
          <w:b w:val="1"/>
          <w:bCs w:val="1"/>
        </w:rPr>
      </w:pPr>
      <w:r>
        <w:rPr>
          <w:b w:val="1"/>
          <w:bCs w:val="1"/>
          <w:rtl w:val="0"/>
          <w:lang w:val="en-US"/>
        </w:rPr>
        <w:t>1.1</w:t>
        <w:tab/>
        <w:t xml:space="preserve"> Background and needs of the project </w:t>
      </w:r>
    </w:p>
    <w:p>
      <w:pPr>
        <w:pStyle w:val="No Spacing"/>
      </w:pPr>
    </w:p>
    <w:p>
      <w:pPr>
        <w:pStyle w:val="No Spacing"/>
      </w:pPr>
    </w:p>
    <w:p>
      <w:pPr>
        <w:pStyle w:val="No Spacing"/>
      </w:pPr>
    </w:p>
    <w:p>
      <w:pPr>
        <w:pStyle w:val="Body"/>
        <w:spacing w:after="120"/>
      </w:pPr>
      <w:r>
        <w:rPr>
          <w:rFonts w:ascii="Arial" w:hAnsi="Arial"/>
          <w:outline w:val="0"/>
          <w:color w:val="000000"/>
          <w:u w:color="000000"/>
          <w:rtl w:val="0"/>
          <w:lang w:val="en-US"/>
          <w14:textFill>
            <w14:solidFill>
              <w14:srgbClr w14:val="000000"/>
            </w14:solidFill>
          </w14:textFill>
        </w:rPr>
        <w:t xml:space="preserve">Ukraine's energy infrastructure faces a catastrophic dual crisis of unprecedented scale: systematic physical destruction through combined kinetic and cyber warfare, and a profound shortage of professionals capable of rebuilding and securing the smart, digitally-connected energy systems that post-war reconstruction demands. Addressing only one dimension of this crisis is insufficient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and the AI-SmartGrid project is designed to address both simultaneously.</w:t>
      </w:r>
    </w:p>
    <w:p>
      <w:pPr>
        <w:pStyle w:val="Body"/>
        <w:spacing w:after="120"/>
      </w:pPr>
      <w:r>
        <w:rPr>
          <w:rFonts w:ascii="Arial" w:hAnsi="Arial"/>
          <w:b w:val="1"/>
          <w:bCs w:val="1"/>
          <w:outline w:val="0"/>
          <w:color w:val="000000"/>
          <w:u w:color="000000"/>
          <w:rtl w:val="0"/>
          <w:lang w:val="en-US"/>
          <w14:textFill>
            <w14:solidFill>
              <w14:srgbClr w14:val="000000"/>
            </w14:solidFill>
          </w14:textFill>
        </w:rPr>
        <w:t>The Physical and Cyber Destruction of Ukraine's Energy Infrastructure</w:t>
      </w:r>
    </w:p>
    <w:p>
      <w:pPr>
        <w:pStyle w:val="Body"/>
        <w:spacing w:after="120"/>
      </w:pPr>
      <w:r>
        <w:rPr>
          <w:rFonts w:ascii="Arial" w:hAnsi="Arial"/>
          <w:outline w:val="0"/>
          <w:color w:val="000000"/>
          <w:u w:color="000000"/>
          <w:rtl w:val="0"/>
          <w:lang w:val="en-US"/>
          <w14:textFill>
            <w14:solidFill>
              <w14:srgbClr w14:val="000000"/>
            </w14:solidFill>
          </w14:textFill>
        </w:rPr>
        <w:t>Since February 2022, Russian forces have executed sustained missile and drone campaigns targeting Ukraine's energy infrastructure, destroying or severely damaging an estimated 70</w:t>
      </w:r>
      <w:r>
        <w:rPr>
          <w:rFonts w:ascii="Arial" w:hAnsi="Arial" w:hint="default"/>
          <w:outline w:val="0"/>
          <w:color w:val="000000"/>
          <w:u w:color="000000"/>
          <w:rtl w:val="0"/>
          <w:lang w:val="en-US"/>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 xml:space="preserve">80% of thermal and hydroelectric generation capacity, approximately 40% of high-voltage transmission infrastructure, and causing the collapse of Zaporizhzhia NPP's grid connection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the largest nuclear plant in Europe [1, 2]. By winter 2024</w:t>
      </w:r>
      <w:r>
        <w:rPr>
          <w:rFonts w:ascii="Arial" w:hAnsi="Arial" w:hint="default"/>
          <w:outline w:val="0"/>
          <w:color w:val="000000"/>
          <w:u w:color="000000"/>
          <w:rtl w:val="0"/>
          <w:lang w:val="en-US"/>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2025, Ukraine faced rolling blackouts averaging 12</w:t>
      </w:r>
      <w:r>
        <w:rPr>
          <w:rFonts w:ascii="Arial" w:hAnsi="Arial" w:hint="default"/>
          <w:outline w:val="0"/>
          <w:color w:val="000000"/>
          <w:u w:color="000000"/>
          <w:rtl w:val="0"/>
          <w:lang w:val="en-US"/>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 xml:space="preserve">18 hours per day in affected regions, with Zaporizhzhia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 xml:space="preserve">a frontline oblast and home to Ukrainian Partner 1 (ZNU)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among the most severely impacted [3].</w:t>
      </w:r>
    </w:p>
    <w:p>
      <w:pPr>
        <w:pStyle w:val="Body"/>
        <w:spacing w:after="120"/>
      </w:pPr>
      <w:r>
        <w:rPr>
          <w:rFonts w:ascii="Arial" w:hAnsi="Arial"/>
          <w:outline w:val="0"/>
          <w:color w:val="000000"/>
          <w:u w:color="000000"/>
          <w:rtl w:val="0"/>
          <w:lang w:val="en-US"/>
          <w14:textFill>
            <w14:solidFill>
              <w14:srgbClr w14:val="000000"/>
            </w14:solidFill>
          </w14:textFill>
        </w:rPr>
        <w:t xml:space="preserve">However, Ukraine's energy crisis is not only a story of missiles and bombs. Since 2015, Ukraine has been the primary global target of state-sponsored cyberattacks specifically designed to disable electricity infrastructure. The BlackEnergy/KillDisk attack of December 2015 cut power to 230,000 consumers in western Ukraine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 xml:space="preserve">the world's first confirmed cyberattack to cause a widespread electricity outage [4]. In December 2016, the Industroyer (CrashOverride) malware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 xml:space="preserve">specifically engineered to communicate with industrial control systems and open circuit breakers remotely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caused a second blackout in Kyiv [5]. In April 2022, the Industroyer2 variant was deployed against a regional electricity distribution company's high-voltage substations, combined with CaddyWiper malware targeting SCADA systems; Ukrainian CERT-UA and ESET researchers prevented what would have been the most destructive grid cyberattack in history [6]. These attacks demonstrate a strategic doctrine: kinetic strikes degrade physical infrastructure while simultaneous cyberattacks disable supervisory control systems, maximising disruption and complicating restoration.</w:t>
      </w:r>
    </w:p>
    <w:p>
      <w:pPr>
        <w:pStyle w:val="Body"/>
        <w:spacing w:after="120"/>
      </w:pPr>
      <w:r>
        <w:rPr>
          <w:rFonts w:ascii="Arial" w:hAnsi="Arial"/>
          <w:outline w:val="0"/>
          <w:color w:val="000000"/>
          <w:u w:color="000000"/>
          <w:rtl w:val="0"/>
          <w:lang w:val="en-US"/>
          <w14:textFill>
            <w14:solidFill>
              <w14:srgbClr w14:val="000000"/>
            </w14:solidFill>
          </w14:textFill>
        </w:rPr>
        <w:t xml:space="preserve">This doctrine has profound implications for reconstruction. Rebuilding power stations, transmission lines, and distribution networks without simultaneously securing their digital control systems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 xml:space="preserve">SCADA/ICS platforms, communication networks, Advanced Metering Infrastructure (AMI), and IoT-connected sensors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is strategically futile. A smart grid without cybersecurity is not a resilient grid; it is an expanded attack surface.</w:t>
      </w:r>
    </w:p>
    <w:p>
      <w:pPr>
        <w:pStyle w:val="Body"/>
        <w:spacing w:after="120"/>
      </w:pPr>
      <w:r>
        <w:rPr>
          <w:rFonts w:ascii="Arial" w:hAnsi="Arial"/>
          <w:b w:val="1"/>
          <w:bCs w:val="1"/>
          <w:outline w:val="0"/>
          <w:color w:val="000000"/>
          <w:u w:color="000000"/>
          <w:rtl w:val="0"/>
          <w:lang w:val="en-US"/>
          <w14:textFill>
            <w14:solidFill>
              <w14:srgbClr w14:val="000000"/>
            </w14:solidFill>
          </w14:textFill>
        </w:rPr>
        <w:t>Smart Grids Introduce Critical New Cybersecurity Vulnerabilities</w:t>
      </w:r>
    </w:p>
    <w:p>
      <w:pPr>
        <w:pStyle w:val="Body"/>
        <w:spacing w:after="120"/>
      </w:pPr>
      <w:r>
        <w:rPr>
          <w:rFonts w:ascii="Arial" w:hAnsi="Arial"/>
          <w:outline w:val="0"/>
          <w:color w:val="000000"/>
          <w:u w:color="000000"/>
          <w:rtl w:val="0"/>
          <w:lang w:val="en-US"/>
          <w14:textFill>
            <w14:solidFill>
              <w14:srgbClr w14:val="000000"/>
            </w14:solidFill>
          </w14:textFill>
        </w:rPr>
        <w:t xml:space="preserve">Ukraine's reconstruction strategy, aligned with the REPowerUkraine initiative and the Ukraine Recovery Plan, explicitly prioritises the modernisation of the energy sector through smart grid technologies: distributed renewable energy sources (solar, wind), intelligent demand response systems, Advanced Metering Infrastructure, and automated grid management powered by AI and digital communication networks [7]. These technologies, while essential for a modern, climate-resilient grid, dramatically expand the cyberattack surface. Each IoT sensor reporting grid status, each smart meter transmitting consumption data, each software-defined substation executing remote switching commands, and each AI system receiving real-time grid topology data represents a potential entry point for adversarial actors. The IEC 62351 security standard for power system communication protocols and the NERC Critical Infrastructure Protection (CIP) standards explicitly recognise that smart grid digitalisation must be matched by commensurate cybersecurity capability [8, 9]. Ukraine's reconstructed grid will be smarter, more distributed, and more software-dependent than the grid it replaces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making cybersecurity competence not optional but foundational.</w:t>
      </w:r>
    </w:p>
    <w:p>
      <w:pPr>
        <w:pStyle w:val="Body"/>
        <w:spacing w:after="120"/>
      </w:pPr>
      <w:r>
        <w:rPr>
          <w:rFonts w:ascii="Arial" w:hAnsi="Arial"/>
          <w:b w:val="1"/>
          <w:bCs w:val="1"/>
          <w:outline w:val="0"/>
          <w:color w:val="000000"/>
          <w:u w:color="000000"/>
          <w:rtl w:val="0"/>
          <w:lang w:val="en-US"/>
          <w14:textFill>
            <w14:solidFill>
              <w14:srgbClr w14:val="000000"/>
            </w14:solidFill>
          </w14:textFill>
        </w:rPr>
        <w:t>The Critical Skills Gap: No Ukrainian HEI Currently Offers This Curriculum</w:t>
      </w:r>
    </w:p>
    <w:p>
      <w:pPr>
        <w:pStyle w:val="Body"/>
        <w:spacing w:after="120"/>
      </w:pPr>
      <w:r>
        <w:rPr>
          <w:rFonts w:ascii="Arial" w:hAnsi="Arial"/>
          <w:outline w:val="0"/>
          <w:color w:val="000000"/>
          <w:u w:color="000000"/>
          <w:rtl w:val="0"/>
          <w:lang w:val="en-US"/>
          <w14:textFill>
            <w14:solidFill>
              <w14:srgbClr w14:val="000000"/>
            </w14:solidFill>
          </w14:textFill>
        </w:rPr>
        <w:t>Despite the acute and documented need, no Ukrainian higher education institution currently offers an integrated curriculum combining AI/ML for smart grid management, advanced cybersecurity for operational technology (OT) and industrial control systems, and cyber-physical resilience engineering. Ukrainian engineering education has strong foundations in classical power systems but has not systematically incorporated the OT-specific cybersecurity domain, which differs fundamentally from IT security: availability and real-time operation take priority over confidentiality, and system failures have immediate physical consequences for millions of consumers. The European Union Agency for Cybersecurity (ENISA) identifies the energy sector as the most targeted critical infrastructure sector in Europe, and specifically highlights the shortage of ICS/OT cybersecurity professionals as a critical gap [10]. This gap is acutely magnified in Ukraine, where the threat is existential rather than theoretical.</w:t>
      </w:r>
    </w:p>
    <w:p>
      <w:pPr>
        <w:pStyle w:val="Body"/>
        <w:spacing w:after="120"/>
      </w:pPr>
      <w:r>
        <w:rPr>
          <w:rFonts w:ascii="Arial" w:hAnsi="Arial"/>
          <w:outline w:val="0"/>
          <w:color w:val="000000"/>
          <w:u w:color="000000"/>
          <w:rtl w:val="0"/>
          <w:lang w:val="en-US"/>
          <w14:textFill>
            <w14:solidFill>
              <w14:srgbClr w14:val="000000"/>
            </w14:solidFill>
          </w14:textFill>
        </w:rPr>
        <w:t>Zaporizhzhia National University (ZNU), situated in the frontline Zaporizhzhia region, has direct institutional experience with energy infrastructure attacks. ZNU has maintained operational continuity under active conflict conditions, deployed rooftop solar installations and Azure-based cloud infrastructure for resilience, and has conducted active research in smart grids, digital twins for energy systems, and AI/ML. This positions ZNU not as a passive recipient of knowledge transfer but as an institution with unique, field-validated operational insights that Norwegian partners cannot replicate.</w:t>
      </w:r>
    </w:p>
    <w:p>
      <w:pPr>
        <w:pStyle w:val="Body"/>
        <w:spacing w:after="120"/>
      </w:pPr>
      <w:r>
        <w:rPr>
          <w:rFonts w:ascii="Arial" w:hAnsi="Arial"/>
          <w:outline w:val="0"/>
          <w:color w:val="000000"/>
          <w:u w:color="000000"/>
          <w:rtl w:val="0"/>
          <w:lang w:val="en-US"/>
          <w14:textFill>
            <w14:solidFill>
              <w14:srgbClr w14:val="000000"/>
            </w14:solidFill>
          </w14:textFill>
        </w:rPr>
        <w:t xml:space="preserve">NTNU (Norwegian University of Science and Technology) is simultaneously Norway's leading institution in both energy systems research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 xml:space="preserve">through its Department of Electric Energy and the SINTEF Energy Research partnership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and cybersecurity, through the Centre for Cyber and Information Security (CCIS) and the Department of Information Security and Communication Technology (IIK). Norway itself operates critical energy infrastructure serving Northern Europe and has invested substantially in energy sector cybersecurity through the Norwegian Water Resources and Energy Directorate (NVE), the National Security Authority (NSM), and Statnett's security operations. NTNU thus brings both technical excellence and nationally-embedded practitioner networks directly relevant to AI-SmartGrid.</w:t>
      </w:r>
    </w:p>
    <w:p>
      <w:pPr>
        <w:pStyle w:val="Body"/>
        <w:spacing w:after="120"/>
      </w:pPr>
      <w:r>
        <w:rPr>
          <w:rFonts w:ascii="Arial" w:hAnsi="Arial"/>
          <w:b w:val="1"/>
          <w:bCs w:val="1"/>
          <w:outline w:val="0"/>
          <w:color w:val="000000"/>
          <w:u w:color="000000"/>
          <w:rtl w:val="0"/>
          <w:lang w:val="en-US"/>
          <w14:textFill>
            <w14:solidFill>
              <w14:srgbClr w14:val="000000"/>
            </w14:solidFill>
          </w14:textFill>
        </w:rPr>
        <w:t>Target Groups and Their Specific Needs</w:t>
      </w:r>
    </w:p>
    <w:p>
      <w:pPr>
        <w:pStyle w:val="Body"/>
        <w:spacing w:after="120"/>
      </w:pPr>
      <w:r>
        <w:rPr>
          <w:rFonts w:ascii="Arial" w:hAnsi="Arial"/>
          <w:outline w:val="0"/>
          <w:color w:val="000000"/>
          <w:u w:color="000000"/>
          <w:rtl w:val="0"/>
          <w:lang w:val="en-US"/>
          <w14:textFill>
            <w14:solidFill>
              <w14:srgbClr w14:val="000000"/>
            </w14:solidFill>
          </w14:textFill>
        </w:rPr>
        <w:t>The project targets four interconnected groups:</w:t>
      </w:r>
    </w:p>
    <w:p>
      <w:pPr>
        <w:pStyle w:val="Body"/>
        <w:spacing w:after="80"/>
        <w:ind w:left="283" w:firstLine="0"/>
      </w:pPr>
      <w:r>
        <w:rPr>
          <w:rFonts w:ascii="Arial" w:hAnsi="Arial"/>
          <w:outline w:val="0"/>
          <w:color w:val="000000"/>
          <w:u w:color="000000"/>
          <w:rtl w:val="0"/>
          <w14:textFill>
            <w14:solidFill>
              <w14:srgbClr w14:val="000000"/>
            </w14:solidFill>
          </w14:textFill>
        </w:rPr>
        <w:t xml:space="preserve">1. </w:t>
      </w:r>
      <w:r>
        <w:rPr>
          <w:rFonts w:ascii="Arial" w:hAnsi="Arial"/>
          <w:b w:val="1"/>
          <w:bCs w:val="1"/>
          <w:outline w:val="0"/>
          <w:color w:val="000000"/>
          <w:u w:color="000000"/>
          <w:rtl w:val="0"/>
          <w:lang w:val="en-US"/>
          <w14:textFill>
            <w14:solidFill>
              <w14:srgbClr w14:val="000000"/>
            </w14:solidFill>
          </w14:textFill>
        </w:rPr>
        <w:t>Master's students in electrical engineering, computer science, and cybersecurity</w:t>
      </w:r>
      <w:r>
        <w:rPr>
          <w:rFonts w:ascii="Arial" w:hAnsi="Arial"/>
          <w:outline w:val="0"/>
          <w:color w:val="000000"/>
          <w:u w:color="000000"/>
          <w:rtl w:val="0"/>
          <w:lang w:val="en-US"/>
          <w14:textFill>
            <w14:solidFill>
              <w14:srgbClr w14:val="000000"/>
            </w14:solidFill>
          </w14:textFill>
        </w:rPr>
        <w:t xml:space="preserve"> at ZNU and Ukrainian Partner 2 (UP2): approximately 120 students enrolled in new or upgraded courses across the project lifetime, gaining competencies in SCADA/ICS security, AI-driven intrusion detection, and cyber-physical resilience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currently unavailable in any Ukrainian curriculum.</w:t>
      </w:r>
    </w:p>
    <w:p>
      <w:pPr>
        <w:pStyle w:val="Body"/>
        <w:spacing w:after="80"/>
        <w:ind w:left="283" w:firstLine="0"/>
      </w:pPr>
      <w:r>
        <w:rPr>
          <w:rFonts w:ascii="Arial" w:hAnsi="Arial"/>
          <w:outline w:val="0"/>
          <w:color w:val="000000"/>
          <w:u w:color="000000"/>
          <w:rtl w:val="0"/>
          <w14:textFill>
            <w14:solidFill>
              <w14:srgbClr w14:val="000000"/>
            </w14:solidFill>
          </w14:textFill>
        </w:rPr>
        <w:t xml:space="preserve">2. </w:t>
      </w:r>
      <w:r>
        <w:rPr>
          <w:rFonts w:ascii="Arial" w:hAnsi="Arial"/>
          <w:b w:val="1"/>
          <w:bCs w:val="1"/>
          <w:outline w:val="0"/>
          <w:color w:val="000000"/>
          <w:u w:color="000000"/>
          <w:rtl w:val="0"/>
          <w:lang w:val="en-US"/>
          <w14:textFill>
            <w14:solidFill>
              <w14:srgbClr w14:val="000000"/>
            </w14:solidFill>
          </w14:textFill>
        </w:rPr>
        <w:t>Academic staff</w:t>
      </w:r>
      <w:r>
        <w:rPr>
          <w:rFonts w:ascii="Arial" w:hAnsi="Arial"/>
          <w:outline w:val="0"/>
          <w:color w:val="000000"/>
          <w:u w:color="000000"/>
          <w:rtl w:val="0"/>
          <w:lang w:val="en-US"/>
          <w14:textFill>
            <w14:solidFill>
              <w14:srgbClr w14:val="000000"/>
            </w14:solidFill>
          </w14:textFill>
        </w:rPr>
        <w:t xml:space="preserve"> at both Ukrainian HEIs: 20 faculty members receiving advanced training in OT cybersecurity, AI for grid management, and digital twin pedagogy, creating lasting in-house capacity beyond the project period.</w:t>
      </w:r>
    </w:p>
    <w:p>
      <w:pPr>
        <w:pStyle w:val="Body"/>
        <w:spacing w:after="80"/>
        <w:ind w:left="283" w:firstLine="0"/>
      </w:pPr>
      <w:r>
        <w:rPr>
          <w:rFonts w:ascii="Arial" w:hAnsi="Arial"/>
          <w:outline w:val="0"/>
          <w:color w:val="000000"/>
          <w:u w:color="000000"/>
          <w:rtl w:val="0"/>
          <w14:textFill>
            <w14:solidFill>
              <w14:srgbClr w14:val="000000"/>
            </w14:solidFill>
          </w14:textFill>
        </w:rPr>
        <w:t xml:space="preserve">3. </w:t>
      </w:r>
      <w:r>
        <w:rPr>
          <w:rFonts w:ascii="Arial" w:hAnsi="Arial"/>
          <w:b w:val="1"/>
          <w:bCs w:val="1"/>
          <w:outline w:val="0"/>
          <w:color w:val="000000"/>
          <w:u w:color="000000"/>
          <w:rtl w:val="0"/>
          <w:lang w:val="en-US"/>
          <w14:textFill>
            <w14:solidFill>
              <w14:srgbClr w14:val="000000"/>
            </w14:solidFill>
          </w14:textFill>
        </w:rPr>
        <w:t>Doctoral researchers</w:t>
      </w:r>
      <w:r>
        <w:rPr>
          <w:rFonts w:ascii="Arial" w:hAnsi="Arial"/>
          <w:outline w:val="0"/>
          <w:color w:val="000000"/>
          <w:u w:color="000000"/>
          <w:rtl w:val="0"/>
          <w:lang w:val="en-US"/>
          <w14:textFill>
            <w14:solidFill>
              <w14:srgbClr w14:val="000000"/>
            </w14:solidFill>
          </w14:textFill>
        </w:rPr>
        <w:t>: 6 PhD candidates jointly supervised between NTNU and Ukrainian partners, undertaking research at the intersection of AI, smart grid management, and cybersecurity.</w:t>
      </w:r>
    </w:p>
    <w:p>
      <w:pPr>
        <w:pStyle w:val="Body"/>
        <w:spacing w:after="80"/>
        <w:ind w:left="283" w:firstLine="0"/>
      </w:pPr>
      <w:r>
        <w:rPr>
          <w:rFonts w:ascii="Arial" w:hAnsi="Arial"/>
          <w:outline w:val="0"/>
          <w:color w:val="000000"/>
          <w:u w:color="000000"/>
          <w:rtl w:val="0"/>
          <w14:textFill>
            <w14:solidFill>
              <w14:srgbClr w14:val="000000"/>
            </w14:solidFill>
          </w14:textFill>
        </w:rPr>
        <w:t xml:space="preserve">4. </w:t>
      </w:r>
      <w:r>
        <w:rPr>
          <w:rFonts w:ascii="Arial" w:hAnsi="Arial"/>
          <w:b w:val="1"/>
          <w:bCs w:val="1"/>
          <w:outline w:val="0"/>
          <w:color w:val="000000"/>
          <w:u w:color="000000"/>
          <w:rtl w:val="0"/>
          <w:lang w:val="en-US"/>
          <w14:textFill>
            <w14:solidFill>
              <w14:srgbClr w14:val="000000"/>
            </w14:solidFill>
          </w14:textFill>
        </w:rPr>
        <w:t>Energy sector professionals and critical infrastructure operators</w:t>
      </w:r>
      <w:r>
        <w:rPr>
          <w:rFonts w:ascii="Arial" w:hAnsi="Arial"/>
          <w:outline w:val="0"/>
          <w:color w:val="000000"/>
          <w:u w:color="000000"/>
          <w:rtl w:val="0"/>
          <w:lang w:val="en-US"/>
          <w14:textFill>
            <w14:solidFill>
              <w14:srgbClr w14:val="000000"/>
            </w14:solidFill>
          </w14:textFill>
        </w:rPr>
        <w:t>: 80 practitioners from Ukraine's energy sector, CERT-UA, and regional distribution companies participating in short courses, cyber-range exercises, and professional development workshops.</w:t>
      </w:r>
    </w:p>
    <w:p>
      <w:pPr>
        <w:pStyle w:val="Body"/>
        <w:spacing w:after="120"/>
      </w:pPr>
      <w:r>
        <w:rPr>
          <w:rFonts w:ascii="Arial" w:hAnsi="Arial"/>
          <w:b w:val="1"/>
          <w:bCs w:val="1"/>
          <w:outline w:val="0"/>
          <w:color w:val="000000"/>
          <w:u w:color="000000"/>
          <w:rtl w:val="0"/>
          <w:lang w:val="en-US"/>
          <w14:textFill>
            <w14:solidFill>
              <w14:srgbClr w14:val="000000"/>
            </w14:solidFill>
          </w14:textFill>
        </w:rPr>
        <w:t>Planned Results (SMART Objectives)</w:t>
      </w:r>
    </w:p>
    <w:p>
      <w:pPr>
        <w:pStyle w:val="Body"/>
        <w:spacing w:after="80"/>
        <w:ind w:left="425" w:hanging="198"/>
      </w:pPr>
      <w:r>
        <w:rPr>
          <w:rtl w:val="0"/>
        </w:rPr>
        <w:t xml:space="preserve">– </w:t>
      </w:r>
      <w:r>
        <w:rPr>
          <w:rFonts w:ascii="Arial" w:hAnsi="Arial"/>
          <w:b w:val="1"/>
          <w:bCs w:val="1"/>
          <w:outline w:val="0"/>
          <w:color w:val="000000"/>
          <w:u w:color="000000"/>
          <w:rtl w:val="0"/>
          <w:lang w:val="da-DK"/>
          <w14:textFill>
            <w14:solidFill>
              <w14:srgbClr w14:val="000000"/>
            </w14:solidFill>
          </w14:textFill>
        </w:rPr>
        <w:t>R1</w:t>
      </w:r>
      <w:r>
        <w:rPr>
          <w:rFonts w:ascii="Arial" w:hAnsi="Arial"/>
          <w:outline w:val="0"/>
          <w:color w:val="000000"/>
          <w:u w:color="000000"/>
          <w:rtl w:val="0"/>
          <w:lang w:val="en-US"/>
          <w14:textFill>
            <w14:solidFill>
              <w14:srgbClr w14:val="000000"/>
            </w14:solidFill>
          </w14:textFill>
        </w:rPr>
        <w:t>: By Month 24, two new accredited Master's-level modules in (i) AI-Powered Smart Grid Security and (ii) Cyber-Physical Resilience for Energy Systems are integrated into degree programmes at both Ukrainian HEIs, reaching at least 80 registered students by project end.</w:t>
      </w:r>
    </w:p>
    <w:p>
      <w:pPr>
        <w:pStyle w:val="Body"/>
        <w:spacing w:after="80"/>
        <w:ind w:left="425" w:hanging="198"/>
      </w:pPr>
      <w:r>
        <w:rPr>
          <w:rtl w:val="0"/>
        </w:rPr>
        <w:t xml:space="preserve">– </w:t>
      </w:r>
      <w:r>
        <w:rPr>
          <w:rFonts w:ascii="Arial" w:hAnsi="Arial"/>
          <w:b w:val="1"/>
          <w:bCs w:val="1"/>
          <w:outline w:val="0"/>
          <w:color w:val="000000"/>
          <w:u w:color="000000"/>
          <w:rtl w:val="0"/>
          <w:lang w:val="da-DK"/>
          <w14:textFill>
            <w14:solidFill>
              <w14:srgbClr w14:val="000000"/>
            </w14:solidFill>
          </w14:textFill>
        </w:rPr>
        <w:t>R2</w:t>
      </w:r>
      <w:r>
        <w:rPr>
          <w:rFonts w:ascii="Arial" w:hAnsi="Arial"/>
          <w:outline w:val="0"/>
          <w:color w:val="000000"/>
          <w:u w:color="000000"/>
          <w:rtl w:val="0"/>
          <w:lang w:val="en-US"/>
          <w14:textFill>
            <w14:solidFill>
              <w14:srgbClr w14:val="000000"/>
            </w14:solidFill>
          </w14:textFill>
        </w:rPr>
        <w:t xml:space="preserve">: By Month 18, a functional Smart Grid Cybersecurity Living Lab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 xml:space="preserve">incorporating a hardware-in-the-loop digital twin of a representative Ukrainian distribution grid segment with cyber range capability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is operational at ZNU, enabling safe simulation of real-world cyberattack scenarios based on documented Ukrainian grid attacks.</w:t>
      </w:r>
    </w:p>
    <w:p>
      <w:pPr>
        <w:pStyle w:val="Body"/>
        <w:spacing w:after="80"/>
        <w:ind w:left="425" w:hanging="198"/>
      </w:pPr>
      <w:r>
        <w:rPr>
          <w:rtl w:val="0"/>
        </w:rPr>
        <w:t xml:space="preserve">– </w:t>
      </w:r>
      <w:r>
        <w:rPr>
          <w:rFonts w:ascii="Arial" w:hAnsi="Arial"/>
          <w:b w:val="1"/>
          <w:bCs w:val="1"/>
          <w:outline w:val="0"/>
          <w:color w:val="000000"/>
          <w:u w:color="000000"/>
          <w:rtl w:val="0"/>
          <w:lang w:val="en-US"/>
          <w14:textFill>
            <w14:solidFill>
              <w14:srgbClr w14:val="000000"/>
            </w14:solidFill>
          </w14:textFill>
        </w:rPr>
        <w:t>R3</w:t>
      </w:r>
      <w:r>
        <w:rPr>
          <w:rFonts w:ascii="Arial" w:hAnsi="Arial"/>
          <w:outline w:val="0"/>
          <w:color w:val="000000"/>
          <w:u w:color="000000"/>
          <w:rtl w:val="0"/>
          <w:lang w:val="en-US"/>
          <w14:textFill>
            <w14:solidFill>
              <w14:srgbClr w14:val="000000"/>
            </w14:solidFill>
          </w14:textFill>
        </w:rPr>
        <w:t>: By Month 30, 20 academic staff have completed structured training in OT cybersecurity and AI-for-grid pedagogy, certified through jointly-awarded NTNU-ZNU certificates.</w:t>
      </w:r>
    </w:p>
    <w:p>
      <w:pPr>
        <w:pStyle w:val="Body"/>
        <w:spacing w:after="80"/>
        <w:ind w:left="425" w:hanging="198"/>
      </w:pPr>
      <w:r>
        <w:rPr>
          <w:rtl w:val="0"/>
        </w:rPr>
        <w:t xml:space="preserve">– </w:t>
      </w:r>
      <w:r>
        <w:rPr>
          <w:rFonts w:ascii="Arial" w:hAnsi="Arial"/>
          <w:b w:val="1"/>
          <w:bCs w:val="1"/>
          <w:outline w:val="0"/>
          <w:color w:val="000000"/>
          <w:u w:color="000000"/>
          <w:rtl w:val="0"/>
          <w14:textFill>
            <w14:solidFill>
              <w14:srgbClr w14:val="000000"/>
            </w14:solidFill>
          </w14:textFill>
        </w:rPr>
        <w:t>R4</w:t>
      </w:r>
      <w:r>
        <w:rPr>
          <w:rFonts w:ascii="Arial" w:hAnsi="Arial"/>
          <w:outline w:val="0"/>
          <w:color w:val="000000"/>
          <w:u w:color="000000"/>
          <w:rtl w:val="0"/>
          <w:lang w:val="en-US"/>
          <w14:textFill>
            <w14:solidFill>
              <w14:srgbClr w14:val="000000"/>
            </w14:solidFill>
          </w14:textFill>
        </w:rPr>
        <w:t>: By Month 36, 6 jointly-supervised PhD researchers are enrolled and producing peer-reviewed publications in smart grid cybersecurity and AI-driven anomaly detection.</w:t>
      </w:r>
    </w:p>
    <w:p>
      <w:pPr>
        <w:pStyle w:val="Body"/>
        <w:spacing w:after="80"/>
        <w:ind w:left="425" w:hanging="198"/>
      </w:pPr>
      <w:r>
        <w:rPr>
          <w:rtl w:val="0"/>
        </w:rPr>
        <w:t xml:space="preserve">– </w:t>
      </w:r>
      <w:r>
        <w:rPr>
          <w:rFonts w:ascii="Arial" w:hAnsi="Arial"/>
          <w:b w:val="1"/>
          <w:bCs w:val="1"/>
          <w:outline w:val="0"/>
          <w:color w:val="000000"/>
          <w:u w:color="000000"/>
          <w:rtl w:val="0"/>
          <w14:textFill>
            <w14:solidFill>
              <w14:srgbClr w14:val="000000"/>
            </w14:solidFill>
          </w14:textFill>
        </w:rPr>
        <w:t>R5</w:t>
      </w:r>
      <w:r>
        <w:rPr>
          <w:rFonts w:ascii="Arial" w:hAnsi="Arial"/>
          <w:outline w:val="0"/>
          <w:color w:val="000000"/>
          <w:u w:color="000000"/>
          <w:rtl w:val="0"/>
          <w:lang w:val="en-US"/>
          <w14:textFill>
            <w14:solidFill>
              <w14:srgbClr w14:val="000000"/>
            </w14:solidFill>
          </w14:textFill>
        </w:rPr>
        <w:t>: By Month 36, open educational resources (OER) covering SCADA security, IEC 62351 protocols, AI threat detection, and incident response for energy systems are published under Creative Commons licensing, available to all Ukrainian HEIs.</w:t>
      </w:r>
    </w:p>
    <w:p>
      <w:pPr>
        <w:pStyle w:val="Body"/>
        <w:spacing w:after="80"/>
        <w:ind w:left="425" w:hanging="198"/>
      </w:pPr>
      <w:r>
        <w:rPr>
          <w:rtl w:val="0"/>
        </w:rPr>
        <w:t xml:space="preserve">– </w:t>
      </w:r>
      <w:r>
        <w:rPr>
          <w:rFonts w:ascii="Arial" w:hAnsi="Arial"/>
          <w:b w:val="1"/>
          <w:bCs w:val="1"/>
          <w:outline w:val="0"/>
          <w:color w:val="000000"/>
          <w:u w:color="000000"/>
          <w:rtl w:val="0"/>
          <w14:textFill>
            <w14:solidFill>
              <w14:srgbClr w14:val="000000"/>
            </w14:solidFill>
          </w14:textFill>
        </w:rPr>
        <w:t>R6</w:t>
      </w:r>
      <w:r>
        <w:rPr>
          <w:rFonts w:ascii="Arial" w:hAnsi="Arial"/>
          <w:outline w:val="0"/>
          <w:color w:val="000000"/>
          <w:u w:color="000000"/>
          <w:rtl w:val="0"/>
          <w:lang w:val="en-US"/>
          <w14:textFill>
            <w14:solidFill>
              <w14:srgbClr w14:val="000000"/>
            </w14:solidFill>
          </w14:textFill>
        </w:rPr>
        <w:t>: By Month 30, a minimum of 80 energy sector professionals and critical infrastructure operators have participated in at least one AI-SmartGrid training or cyber-range exercise, directly strengthening Ukraine's national critical infrastructure protection workforce.</w:t>
      </w:r>
    </w:p>
    <w:p>
      <w:pPr>
        <w:pStyle w:val="No Spacing"/>
      </w:pPr>
    </w:p>
    <w:p>
      <w:pPr>
        <w:pStyle w:val="No Spacing"/>
        <w:rPr>
          <w:b w:val="1"/>
          <w:bCs w:val="1"/>
        </w:rPr>
      </w:pPr>
    </w:p>
    <w:p>
      <w:pPr>
        <w:pStyle w:val="No Spacing"/>
      </w:pPr>
    </w:p>
    <w:p>
      <w:pPr>
        <w:pStyle w:val="No Spacing"/>
      </w:pPr>
    </w:p>
    <w:p>
      <w:pPr>
        <w:pStyle w:val="No Spacing"/>
        <w:rPr>
          <w:b w:val="1"/>
          <w:bCs w:val="1"/>
        </w:rPr>
      </w:pPr>
      <w:r>
        <w:rPr>
          <w:b w:val="1"/>
          <w:bCs w:val="1"/>
          <w:rtl w:val="0"/>
          <w:lang w:val="en-US"/>
        </w:rPr>
        <w:t xml:space="preserve">1.2 </w:t>
        <w:tab/>
        <w:t xml:space="preserve">The project's alignment with other activities/measures and any innovative elements </w:t>
      </w:r>
    </w:p>
    <w:p>
      <w:pPr>
        <w:pStyle w:val="No Spacing"/>
      </w:pPr>
    </w:p>
    <w:p>
      <w:pPr>
        <w:pStyle w:val="No Spacing"/>
      </w:pPr>
    </w:p>
    <w:p>
      <w:pPr>
        <w:pStyle w:val="No Spacing"/>
      </w:pPr>
    </w:p>
    <w:p>
      <w:pPr>
        <w:pStyle w:val="Body"/>
        <w:spacing w:after="120"/>
      </w:pPr>
      <w:r>
        <w:rPr>
          <w:rFonts w:ascii="Arial" w:hAnsi="Arial"/>
          <w:b w:val="1"/>
          <w:bCs w:val="1"/>
          <w:outline w:val="0"/>
          <w:color w:val="000000"/>
          <w:u w:color="000000"/>
          <w:rtl w:val="0"/>
          <w:lang w:val="en-US"/>
          <w14:textFill>
            <w14:solidFill>
              <w14:srgbClr w14:val="000000"/>
            </w14:solidFill>
          </w14:textFill>
        </w:rPr>
        <w:t>Building on Established Partner Expertise and Existing Research Trajectories</w:t>
      </w:r>
    </w:p>
    <w:p>
      <w:pPr>
        <w:pStyle w:val="Body"/>
        <w:spacing w:after="120"/>
      </w:pPr>
      <w:r>
        <w:rPr>
          <w:rFonts w:ascii="Arial" w:hAnsi="Arial"/>
          <w:outline w:val="0"/>
          <w:color w:val="000000"/>
          <w:u w:color="000000"/>
          <w:rtl w:val="0"/>
          <w:lang w:val="en-US"/>
          <w14:textFill>
            <w14:solidFill>
              <w14:srgbClr w14:val="000000"/>
            </w14:solidFill>
          </w14:textFill>
        </w:rPr>
        <w:t xml:space="preserve">AI-SmartGrid does not begin from zero but extends and integrates established research strengths across the consortium. ZNU's Engineering Educational and Scientific Institute and Faculty of Mathematics have active research programmes in smart grids, digital twins for industrial and energy systems, and AI/ML, supported by the Laboratory of Parallel and Distributed Computing and Microsoft Azure cloud infrastructure. ZNU's campus solar installations provide live operational data for model training. NTNU's Department of Electric Energy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 xml:space="preserve">in partnership with SINTEF Energy Research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operates the National Smart Grid Laboratory, one of Europe's premier facilities for smart grid research, including hardware-in-the-loop simulation platforms. NTNU CCIS and IIK bring internationally recognised expertise in critical infrastructure cybersecurity, ICS/OT security research, and threat intelligence relevant to energy systems. The existing NTNU-ZNU strategic roadmap (2026</w:t>
      </w:r>
      <w:r>
        <w:rPr>
          <w:rFonts w:ascii="Arial" w:hAnsi="Arial" w:hint="default"/>
          <w:outline w:val="0"/>
          <w:color w:val="000000"/>
          <w:u w:color="000000"/>
          <w:rtl w:val="0"/>
          <w:lang w:val="en-US"/>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 xml:space="preserve">2028), formalised prior to this application, maps a sequenced trajectory from foundational capacity building through pilot activities to scaling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providing a genuine partnership framework rather than a project-of-convenience.</w:t>
      </w:r>
    </w:p>
    <w:p>
      <w:pPr>
        <w:pStyle w:val="Body"/>
        <w:spacing w:after="120"/>
      </w:pPr>
      <w:r>
        <w:rPr>
          <w:rFonts w:ascii="Arial" w:hAnsi="Arial"/>
          <w:b w:val="1"/>
          <w:bCs w:val="1"/>
          <w:outline w:val="0"/>
          <w:color w:val="000000"/>
          <w:u w:color="000000"/>
          <w:rtl w:val="0"/>
          <w:lang w:val="en-US"/>
          <w14:textFill>
            <w14:solidFill>
              <w14:srgbClr w14:val="000000"/>
            </w14:solidFill>
          </w14:textFill>
        </w:rPr>
        <w:t>Alignment with Policy Frameworks and Regulatory Requirements</w:t>
      </w:r>
    </w:p>
    <w:p>
      <w:pPr>
        <w:pStyle w:val="Body"/>
        <w:spacing w:after="120"/>
      </w:pPr>
      <w:r>
        <w:rPr>
          <w:rFonts w:ascii="Arial" w:hAnsi="Arial"/>
          <w:outline w:val="0"/>
          <w:color w:val="000000"/>
          <w:u w:color="000000"/>
          <w:rtl w:val="0"/>
          <w:lang w:val="en-US"/>
          <w14:textFill>
            <w14:solidFill>
              <w14:srgbClr w14:val="000000"/>
            </w14:solidFill>
          </w14:textFill>
        </w:rPr>
        <w:t>AI-SmartGrid is precisely timed to address converging regulatory and strategic demands. The EU's NIS2 Directive (EU 2022/2555), which Ukraine is aligning with as part of its EU accession process, designates electricity as a sector of high criticality and mandates that operators implement risk management measures including supply chain security, incident handling, and cybersecurity training [11]. Ukraine's National Cybersecurity Strategy (2021</w:t>
      </w:r>
      <w:r>
        <w:rPr>
          <w:rFonts w:ascii="Arial" w:hAnsi="Arial" w:hint="default"/>
          <w:outline w:val="0"/>
          <w:color w:val="000000"/>
          <w:u w:color="000000"/>
          <w:rtl w:val="0"/>
          <w:lang w:val="en-US"/>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 xml:space="preserve">2025) and its successor framework explicitly identify energy infrastructure as a priority protection domain. The EU Cybersecurity Act establishes certification frameworks for ICT products and services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 xml:space="preserve">including components used in smart grids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that Ukrainian operators will need to navigate. Norway's National Cyber Security Strategy and NVE's sectoral cybersecurity requirements for energy operators provide a reference model for institutional capacity building that NTNU can transfer. The project directly supports Ukraine's alignment with these frameworks by building the human capital and institutional structures necessary to implement them.</w:t>
      </w:r>
    </w:p>
    <w:p>
      <w:pPr>
        <w:pStyle w:val="Body"/>
        <w:spacing w:after="120"/>
      </w:pPr>
      <w:r>
        <w:rPr>
          <w:rFonts w:ascii="Arial" w:hAnsi="Arial"/>
          <w:b w:val="1"/>
          <w:bCs w:val="1"/>
          <w:outline w:val="0"/>
          <w:color w:val="000000"/>
          <w:u w:color="000000"/>
          <w:rtl w:val="0"/>
          <w:lang w:val="en-US"/>
          <w14:textFill>
            <w14:solidFill>
              <w14:srgbClr w14:val="000000"/>
            </w14:solidFill>
          </w14:textFill>
        </w:rPr>
        <w:t>Knowledge of Complementary Initiatives and Added Value</w:t>
      </w:r>
    </w:p>
    <w:p>
      <w:pPr>
        <w:pStyle w:val="Body"/>
        <w:spacing w:after="120"/>
      </w:pPr>
      <w:r>
        <w:rPr>
          <w:rFonts w:ascii="Arial" w:hAnsi="Arial"/>
          <w:outline w:val="0"/>
          <w:color w:val="000000"/>
          <w:u w:color="000000"/>
          <w:rtl w:val="0"/>
          <w:lang w:val="en-US"/>
          <w14:textFill>
            <w14:solidFill>
              <w14:srgbClr w14:val="000000"/>
            </w14:solidFill>
          </w14:textFill>
        </w:rPr>
        <w:t>The consortium has systematically reviewed existing programmes to ensure additionality:</w:t>
      </w:r>
    </w:p>
    <w:p>
      <w:pPr>
        <w:pStyle w:val="Body"/>
        <w:spacing w:after="80"/>
        <w:ind w:left="425" w:hanging="198"/>
      </w:pPr>
      <w:r>
        <w:rPr>
          <w:rtl w:val="0"/>
        </w:rPr>
        <w:t xml:space="preserve">– </w:t>
      </w:r>
      <w:r>
        <w:rPr>
          <w:rFonts w:ascii="Arial" w:hAnsi="Arial"/>
          <w:b w:val="1"/>
          <w:bCs w:val="1"/>
          <w:outline w:val="0"/>
          <w:color w:val="000000"/>
          <w:u w:color="000000"/>
          <w:rtl w:val="0"/>
          <w:lang w:val="en-US"/>
          <w14:textFill>
            <w14:solidFill>
              <w14:srgbClr w14:val="000000"/>
            </w14:solidFill>
          </w14:textFill>
        </w:rPr>
        <w:t>Erasmus+ CBHE projects</w:t>
      </w:r>
      <w:r>
        <w:rPr>
          <w:rFonts w:ascii="Arial" w:hAnsi="Arial"/>
          <w:outline w:val="0"/>
          <w:color w:val="000000"/>
          <w:u w:color="000000"/>
          <w:rtl w:val="0"/>
          <w:lang w:val="en-US"/>
          <w14:textFill>
            <w14:solidFill>
              <w14:srgbClr w14:val="000000"/>
            </w14:solidFill>
          </w14:textFill>
        </w:rPr>
        <w:t xml:space="preserve"> in Ukraine have addressed digital transformation and energy broadly, but none has combined AI-driven grid management with OT/ICS cybersecurity education. ZNU participates in 14 active Erasmus+ projects; none targets smart grid cybersecurity as a primary theme.</w:t>
      </w:r>
    </w:p>
    <w:p>
      <w:pPr>
        <w:pStyle w:val="Body"/>
        <w:spacing w:after="80"/>
        <w:ind w:left="425" w:hanging="198"/>
      </w:pPr>
      <w:r>
        <w:rPr>
          <w:rtl w:val="0"/>
        </w:rPr>
        <w:t xml:space="preserve">– </w:t>
      </w:r>
      <w:r>
        <w:rPr>
          <w:rFonts w:ascii="Arial" w:hAnsi="Arial"/>
          <w:b w:val="1"/>
          <w:bCs w:val="1"/>
          <w:outline w:val="0"/>
          <w:color w:val="000000"/>
          <w:u w:color="000000"/>
          <w:rtl w:val="0"/>
          <w:lang w:val="de-DE"/>
          <w14:textFill>
            <w14:solidFill>
              <w14:srgbClr w14:val="000000"/>
            </w14:solidFill>
          </w14:textFill>
        </w:rPr>
        <w:t>Horizon Europe</w:t>
      </w:r>
      <w:r>
        <w:rPr>
          <w:rFonts w:ascii="Arial" w:hAnsi="Arial"/>
          <w:outline w:val="0"/>
          <w:color w:val="000000"/>
          <w:u w:color="000000"/>
          <w:rtl w:val="0"/>
          <w:lang w:val="en-US"/>
          <w14:textFill>
            <w14:solidFill>
              <w14:srgbClr w14:val="000000"/>
            </w14:solidFill>
          </w14:textFill>
        </w:rPr>
        <w:t xml:space="preserve"> funding has supported advanced research into smart grid security (e.g., the PHOENIX and ELECTRON projects), but these are research consortia producing academic outputs, not curriculum development programmes targeting Ukrainian HEI capacity building.</w:t>
      </w:r>
    </w:p>
    <w:p>
      <w:pPr>
        <w:pStyle w:val="Body"/>
        <w:spacing w:after="80"/>
        <w:ind w:left="425" w:hanging="198"/>
      </w:pPr>
      <w:r>
        <w:rPr>
          <w:rtl w:val="0"/>
        </w:rPr>
        <w:t xml:space="preserve">– </w:t>
      </w:r>
      <w:r>
        <w:rPr>
          <w:rFonts w:ascii="Arial" w:hAnsi="Arial"/>
          <w:b w:val="1"/>
          <w:bCs w:val="1"/>
          <w:outline w:val="0"/>
          <w:color w:val="000000"/>
          <w:u w:color="000000"/>
          <w:rtl w:val="0"/>
          <w14:textFill>
            <w14:solidFill>
              <w14:srgbClr w14:val="000000"/>
            </w14:solidFill>
          </w14:textFill>
        </w:rPr>
        <w:t>DAAD Ukraine Digital</w:t>
      </w:r>
      <w:r>
        <w:rPr>
          <w:rFonts w:ascii="Arial" w:hAnsi="Arial"/>
          <w:outline w:val="0"/>
          <w:color w:val="000000"/>
          <w:u w:color="000000"/>
          <w:rtl w:val="0"/>
          <w:lang w:val="en-US"/>
          <w14:textFill>
            <w14:solidFill>
              <w14:srgbClr w14:val="000000"/>
            </w14:solidFill>
          </w14:textFill>
        </w:rPr>
        <w:t xml:space="preserve"> supports digital transformation broadly; AI-SmartGrid provides specific sectoral depth in energy cybersecurity unavailable in that programme.</w:t>
      </w:r>
    </w:p>
    <w:p>
      <w:pPr>
        <w:pStyle w:val="Body"/>
        <w:spacing w:after="80"/>
        <w:ind w:left="425" w:hanging="198"/>
      </w:pPr>
      <w:r>
        <w:rPr>
          <w:rtl w:val="0"/>
        </w:rPr>
        <w:t xml:space="preserve">– </w:t>
      </w:r>
      <w:r>
        <w:rPr>
          <w:rFonts w:ascii="Arial" w:hAnsi="Arial"/>
          <w:b w:val="1"/>
          <w:bCs w:val="1"/>
          <w:outline w:val="0"/>
          <w:color w:val="000000"/>
          <w:u w:color="000000"/>
          <w:rtl w:val="0"/>
          <w:lang w:val="en-US"/>
          <w14:textFill>
            <w14:solidFill>
              <w14:srgbClr w14:val="000000"/>
            </w14:solidFill>
          </w14:textFill>
        </w:rPr>
        <w:t>USAID Energy Security projects</w:t>
      </w:r>
      <w:r>
        <w:rPr>
          <w:rFonts w:ascii="Arial" w:hAnsi="Arial"/>
          <w:outline w:val="0"/>
          <w:color w:val="000000"/>
          <w:u w:color="000000"/>
          <w:rtl w:val="0"/>
          <w:lang w:val="en-US"/>
          <w14:textFill>
            <w14:solidFill>
              <w14:srgbClr w14:val="000000"/>
            </w14:solidFill>
          </w14:textFill>
        </w:rPr>
        <w:t xml:space="preserve"> focus on physical infrastructure restoration and regulatory reform; they do not deliver academic cybersecurity curriculum or research training.</w:t>
      </w:r>
    </w:p>
    <w:p>
      <w:pPr>
        <w:pStyle w:val="Body"/>
        <w:spacing w:after="80"/>
        <w:ind w:left="425" w:hanging="198"/>
      </w:pPr>
      <w:r>
        <w:rPr>
          <w:rtl w:val="0"/>
        </w:rPr>
        <w:t xml:space="preserve">– </w:t>
      </w:r>
      <w:r>
        <w:rPr>
          <w:rFonts w:ascii="Arial" w:hAnsi="Arial"/>
          <w:b w:val="1"/>
          <w:bCs w:val="1"/>
          <w:outline w:val="0"/>
          <w:color w:val="000000"/>
          <w:u w:color="000000"/>
          <w:rtl w:val="0"/>
          <w:lang w:val="en-US"/>
          <w14:textFill>
            <w14:solidFill>
              <w14:srgbClr w14:val="000000"/>
            </w14:solidFill>
          </w14:textFill>
        </w:rPr>
        <w:t>U-LEAD and RISE Ukraine</w:t>
      </w:r>
      <w:r>
        <w:rPr>
          <w:rFonts w:ascii="Arial" w:hAnsi="Arial"/>
          <w:outline w:val="0"/>
          <w:color w:val="000000"/>
          <w:u w:color="000000"/>
          <w:rtl w:val="0"/>
          <w:lang w:val="en-US"/>
          <w14:textFill>
            <w14:solidFill>
              <w14:srgbClr w14:val="000000"/>
            </w14:solidFill>
          </w14:textFill>
        </w:rPr>
        <w:t xml:space="preserve"> initiatives address governance and social recovery dimensions without technical cybersecurity education.</w:t>
      </w:r>
    </w:p>
    <w:p>
      <w:pPr>
        <w:pStyle w:val="Body"/>
        <w:spacing w:after="120"/>
      </w:pPr>
      <w:r>
        <w:rPr>
          <w:rFonts w:ascii="Arial" w:hAnsi="Arial"/>
          <w:outline w:val="0"/>
          <w:color w:val="000000"/>
          <w:u w:color="000000"/>
          <w:rtl w:val="0"/>
          <w:lang w:val="en-US"/>
          <w14:textFill>
            <w14:solidFill>
              <w14:srgbClr w14:val="000000"/>
            </w14:solidFill>
          </w14:textFill>
        </w:rPr>
        <w:t>AI-SmartGrid therefore occupies a clearly differentiated niche: the first programme in Ukraine to systematically build academic capacity at the intersection of AI, smart grid engineering, and OT cybersecurity, with a practical cyber range facility enabling experiential learning. This gap has been confirmed through direct consultation with Ukrainian energy sector stakeholders and CERT-UA.</w:t>
      </w:r>
    </w:p>
    <w:p>
      <w:pPr>
        <w:pStyle w:val="Body"/>
        <w:spacing w:after="120"/>
      </w:pPr>
      <w:r>
        <w:rPr>
          <w:rFonts w:ascii="Arial" w:hAnsi="Arial"/>
          <w:b w:val="1"/>
          <w:bCs w:val="1"/>
          <w:outline w:val="0"/>
          <w:color w:val="000000"/>
          <w:u w:color="000000"/>
          <w:rtl w:val="0"/>
          <w:lang w:val="en-US"/>
          <w14:textFill>
            <w14:solidFill>
              <w14:srgbClr w14:val="000000"/>
            </w14:solidFill>
          </w14:textFill>
        </w:rPr>
        <w:t>Innovation: First Integrated Cyber-Physical Smart Grid Education Programme in Ukraine</w:t>
      </w:r>
    </w:p>
    <w:p>
      <w:pPr>
        <w:pStyle w:val="Body"/>
        <w:spacing w:after="120"/>
      </w:pPr>
      <w:r>
        <w:rPr>
          <w:rFonts w:ascii="Arial" w:hAnsi="Arial"/>
          <w:outline w:val="0"/>
          <w:color w:val="000000"/>
          <w:u w:color="000000"/>
          <w:rtl w:val="0"/>
          <w:lang w:val="en-US"/>
          <w14:textFill>
            <w14:solidFill>
              <w14:srgbClr w14:val="000000"/>
            </w14:solidFill>
          </w14:textFill>
        </w:rPr>
        <w:t xml:space="preserve">The project's primary innovation is the integration of three domains that have historically been taught and researched in isolation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 xml:space="preserve">power systems engineering, artificial intelligence, and industrial cybersecurity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into a coherent curriculum and research programme grounded in the specific threat landscape and reconstruction imperatives facing Ukraine. Four specific innovations distinguish AI-SmartGrid:</w:t>
      </w:r>
    </w:p>
    <w:p>
      <w:pPr>
        <w:pStyle w:val="Body"/>
        <w:spacing w:after="80"/>
        <w:ind w:left="283" w:firstLine="0"/>
      </w:pPr>
      <w:r>
        <w:rPr>
          <w:rFonts w:ascii="Arial" w:hAnsi="Arial"/>
          <w:outline w:val="0"/>
          <w:color w:val="000000"/>
          <w:u w:color="000000"/>
          <w:rtl w:val="0"/>
          <w14:textFill>
            <w14:solidFill>
              <w14:srgbClr w14:val="000000"/>
            </w14:solidFill>
          </w14:textFill>
        </w:rPr>
        <w:t xml:space="preserve">1. </w:t>
      </w:r>
      <w:r>
        <w:rPr>
          <w:rFonts w:ascii="Arial" w:hAnsi="Arial"/>
          <w:b w:val="1"/>
          <w:bCs w:val="1"/>
          <w:outline w:val="0"/>
          <w:color w:val="000000"/>
          <w:u w:color="000000"/>
          <w:rtl w:val="0"/>
          <w:lang w:val="en-US"/>
          <w14:textFill>
            <w14:solidFill>
              <w14:srgbClr w14:val="000000"/>
            </w14:solidFill>
          </w14:textFill>
        </w:rPr>
        <w:t>Cyber Range for Energy Systems</w:t>
      </w:r>
      <w:r>
        <w:rPr>
          <w:rFonts w:ascii="Arial" w:hAnsi="Arial"/>
          <w:outline w:val="0"/>
          <w:color w:val="000000"/>
          <w:u w:color="000000"/>
          <w:rtl w:val="0"/>
          <w:lang w:val="en-US"/>
          <w14:textFill>
            <w14:solidFill>
              <w14:srgbClr w14:val="000000"/>
            </w14:solidFill>
          </w14:textFill>
        </w:rPr>
        <w:t xml:space="preserve">: The Living Lab at ZNU will incorporate a cyber range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 xml:space="preserve">a controlled virtual and hardware environment replicating a Ukrainian distribution grid segment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in which students and professionals can safely execute and defend against cyberattacks modelled on documented Ukrainian grid incidents including Industroyer/Industroyer2 attack vectors. This experiential methodology is standard practice in cybersecurity education at leading institutions (including NTNU CCIS) but has not been applied specifically to smart grid OT environments in Ukrainian HEIs.</w:t>
      </w:r>
    </w:p>
    <w:p>
      <w:pPr>
        <w:pStyle w:val="Body"/>
        <w:spacing w:after="80"/>
        <w:ind w:left="283" w:firstLine="0"/>
      </w:pPr>
      <w:r>
        <w:rPr>
          <w:rFonts w:ascii="Arial" w:hAnsi="Arial"/>
          <w:outline w:val="0"/>
          <w:color w:val="000000"/>
          <w:u w:color="000000"/>
          <w:rtl w:val="0"/>
          <w14:textFill>
            <w14:solidFill>
              <w14:srgbClr w14:val="000000"/>
            </w14:solidFill>
          </w14:textFill>
        </w:rPr>
        <w:t xml:space="preserve">2. </w:t>
      </w:r>
      <w:r>
        <w:rPr>
          <w:rFonts w:ascii="Arial" w:hAnsi="Arial"/>
          <w:b w:val="1"/>
          <w:bCs w:val="1"/>
          <w:outline w:val="0"/>
          <w:color w:val="000000"/>
          <w:u w:color="000000"/>
          <w:rtl w:val="0"/>
          <w:lang w:val="en-US"/>
          <w14:textFill>
            <w14:solidFill>
              <w14:srgbClr w14:val="000000"/>
            </w14:solidFill>
          </w14:textFill>
        </w:rPr>
        <w:t>AI-Driven Anomaly Detection Trained on Ukrainian Grid Data</w:t>
      </w:r>
      <w:r>
        <w:rPr>
          <w:rFonts w:ascii="Arial" w:hAnsi="Arial"/>
          <w:outline w:val="0"/>
          <w:color w:val="000000"/>
          <w:u w:color="000000"/>
          <w:rtl w:val="0"/>
          <w:lang w:val="en-US"/>
          <w14:textFill>
            <w14:solidFill>
              <w14:srgbClr w14:val="000000"/>
            </w14:solidFill>
          </w14:textFill>
        </w:rPr>
        <w:t xml:space="preserve">: Rather than using generic network intrusion detection datasets (e.g., NSL-KDD, CICIDS), the project will develop AI models trained on real grid telemetry data from ZNU's solar installations and, through data-sharing agreements with Ukrainian distribution companies, operational grid data. This creates AI threat detection systems calibrated to Ukrainian grid topology and attack patterns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a significant advance over generic approaches.</w:t>
      </w:r>
    </w:p>
    <w:p>
      <w:pPr>
        <w:pStyle w:val="Body"/>
        <w:spacing w:after="80"/>
        <w:ind w:left="283" w:firstLine="0"/>
      </w:pPr>
      <w:r>
        <w:rPr>
          <w:rFonts w:ascii="Arial" w:hAnsi="Arial"/>
          <w:outline w:val="0"/>
          <w:color w:val="000000"/>
          <w:u w:color="000000"/>
          <w:rtl w:val="0"/>
          <w14:textFill>
            <w14:solidFill>
              <w14:srgbClr w14:val="000000"/>
            </w14:solidFill>
          </w14:textFill>
        </w:rPr>
        <w:t xml:space="preserve">3. </w:t>
      </w:r>
      <w:r>
        <w:rPr>
          <w:rFonts w:ascii="Arial" w:hAnsi="Arial"/>
          <w:b w:val="1"/>
          <w:bCs w:val="1"/>
          <w:outline w:val="0"/>
          <w:color w:val="000000"/>
          <w:u w:color="000000"/>
          <w:rtl w:val="0"/>
          <w14:textFill>
            <w14:solidFill>
              <w14:srgbClr w14:val="000000"/>
            </w14:solidFill>
          </w14:textFill>
        </w:rPr>
        <w:t>Dual-Use Digital Twin</w:t>
      </w:r>
      <w:r>
        <w:rPr>
          <w:rFonts w:ascii="Arial" w:hAnsi="Arial"/>
          <w:outline w:val="0"/>
          <w:color w:val="000000"/>
          <w:u w:color="000000"/>
          <w:rtl w:val="0"/>
          <w:lang w:val="en-US"/>
          <w14:textFill>
            <w14:solidFill>
              <w14:srgbClr w14:val="000000"/>
            </w14:solidFill>
          </w14:textFill>
        </w:rPr>
        <w:t xml:space="preserve">: The digital twin platform serves both fault detection (engineering function) and intrusion detection (cybersecurity function), reflecting the reality that in smart grids, anomalies may be caused by equipment failure, natural disturbances, or deliberate attack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and that distinguishing between these causes in real time requires integrated AI analysis.</w:t>
      </w:r>
    </w:p>
    <w:p>
      <w:pPr>
        <w:pStyle w:val="Body"/>
        <w:spacing w:after="80"/>
        <w:ind w:left="283" w:firstLine="0"/>
      </w:pPr>
      <w:r>
        <w:rPr>
          <w:rFonts w:ascii="Arial" w:hAnsi="Arial"/>
          <w:outline w:val="0"/>
          <w:color w:val="000000"/>
          <w:u w:color="000000"/>
          <w:rtl w:val="0"/>
          <w14:textFill>
            <w14:solidFill>
              <w14:srgbClr w14:val="000000"/>
            </w14:solidFill>
          </w14:textFill>
        </w:rPr>
        <w:t xml:space="preserve">4. </w:t>
      </w:r>
      <w:r>
        <w:rPr>
          <w:rFonts w:ascii="Arial" w:hAnsi="Arial"/>
          <w:b w:val="1"/>
          <w:bCs w:val="1"/>
          <w:outline w:val="0"/>
          <w:color w:val="000000"/>
          <w:u w:color="000000"/>
          <w:rtl w:val="0"/>
          <w:lang w:val="en-US"/>
          <w14:textFill>
            <w14:solidFill>
              <w14:srgbClr w14:val="000000"/>
            </w14:solidFill>
          </w14:textFill>
        </w:rPr>
        <w:t>Ukraine-Specific Attack Scenario Library</w:t>
      </w:r>
      <w:r>
        <w:rPr>
          <w:rFonts w:ascii="Arial" w:hAnsi="Arial"/>
          <w:outline w:val="0"/>
          <w:color w:val="000000"/>
          <w:u w:color="000000"/>
          <w:rtl w:val="0"/>
          <w:lang w:val="en-US"/>
          <w14:textFill>
            <w14:solidFill>
              <w14:srgbClr w14:val="000000"/>
            </w14:solidFill>
          </w14:textFill>
        </w:rPr>
        <w:t>: Drawing on NTNU CCIS expertise in threat intelligence and ZNU's first-hand institutional experience with energy system disruptions, the project will develop a library of pedagogical attack scenarios based on publicly documented Ukrainian grid attacks, providing a unique educational resource replicable across Ukrainian HEIs.</w:t>
      </w:r>
    </w:p>
    <w:p>
      <w:pPr>
        <w:pStyle w:val="Body"/>
        <w:spacing w:after="120"/>
      </w:pPr>
      <w:r>
        <w:rPr>
          <w:rFonts w:ascii="Arial" w:hAnsi="Arial"/>
          <w:b w:val="1"/>
          <w:bCs w:val="1"/>
          <w:outline w:val="0"/>
          <w:color w:val="000000"/>
          <w:u w:color="000000"/>
          <w:rtl w:val="0"/>
          <w:lang w:val="en-US"/>
          <w14:textFill>
            <w14:solidFill>
              <w14:srgbClr w14:val="000000"/>
            </w14:solidFill>
          </w14:textFill>
        </w:rPr>
        <w:t>Synergies with Ongoing Initiatives</w:t>
      </w:r>
    </w:p>
    <w:p>
      <w:pPr>
        <w:pStyle w:val="Body"/>
        <w:spacing w:after="120"/>
      </w:pPr>
      <w:r>
        <w:rPr>
          <w:rFonts w:ascii="Arial" w:hAnsi="Arial"/>
          <w:outline w:val="0"/>
          <w:color w:val="000000"/>
          <w:u w:color="000000"/>
          <w:rtl w:val="0"/>
          <w:lang w:val="en-US"/>
          <w14:textFill>
            <w14:solidFill>
              <w14:srgbClr w14:val="000000"/>
            </w14:solidFill>
          </w14:textFill>
        </w:rPr>
        <w:t xml:space="preserve">AI-SmartGrid is designed to create synergies rather than duplications. The project's OER outputs will be shared with Erasmus+ projects in which ZNU participates, multiplying reach. PhD candidates enrolled under this project will be positioned to contribute to future Horizon Europe research proposals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a trajectory explicitly anticipated in the NTNU-ZNU roadmap's 2028 scaling phase. Cooperation with CERT-UA and the National Cybersecurity Coordination Centre (NCCC) ensures that academic outputs translate into operational guidance for critical infrastructure operators.</w:t>
      </w:r>
    </w:p>
    <w:p>
      <w:pPr>
        <w:pStyle w:val="No Spacing"/>
      </w:pPr>
    </w:p>
    <w:p>
      <w:pPr>
        <w:pStyle w:val="No Spacing"/>
      </w:pPr>
    </w:p>
    <w:p>
      <w:pPr>
        <w:pStyle w:val="No Spacing"/>
      </w:pPr>
    </w:p>
    <w:p>
      <w:pPr>
        <w:pStyle w:val="No Spacing"/>
      </w:pPr>
    </w:p>
    <w:p>
      <w:pPr>
        <w:pStyle w:val="No Spacing"/>
      </w:pPr>
    </w:p>
    <w:p>
      <w:pPr>
        <w:pStyle w:val="No Spacing"/>
      </w:pPr>
    </w:p>
    <w:p>
      <w:pPr>
        <w:pStyle w:val="No Spacing"/>
      </w:pPr>
    </w:p>
    <w:p>
      <w:pPr>
        <w:pStyle w:val="No Spacing"/>
      </w:pPr>
    </w:p>
    <w:p>
      <w:pPr>
        <w:pStyle w:val="No Spacing"/>
      </w:pPr>
    </w:p>
    <w:p>
      <w:pPr>
        <w:pStyle w:val="No Spacing"/>
      </w:pPr>
    </w:p>
    <w:p>
      <w:pPr>
        <w:pStyle w:val="No Spacing"/>
      </w:pPr>
    </w:p>
    <w:p>
      <w:pPr>
        <w:pStyle w:val="No Spacing"/>
      </w:pPr>
    </w:p>
    <w:p>
      <w:pPr>
        <w:pStyle w:val="No Spacing"/>
      </w:pPr>
    </w:p>
    <w:p>
      <w:pPr>
        <w:pStyle w:val="No Spacing"/>
      </w:pPr>
    </w:p>
    <w:p>
      <w:pPr>
        <w:pStyle w:val="No Spacing"/>
      </w:pPr>
    </w:p>
    <w:p>
      <w:pPr>
        <w:pStyle w:val="Body"/>
        <w:spacing w:after="200" w:line="276" w:lineRule="auto"/>
      </w:pPr>
      <w:r>
        <w:rPr>
          <w:rFonts w:ascii="Arial Unicode MS" w:cs="Arial Unicode MS" w:hAnsi="Arial Unicode MS" w:eastAsia="Arial Unicode MS"/>
          <w:b w:val="0"/>
          <w:bCs w:val="0"/>
          <w:i w:val="0"/>
          <w:iCs w:val="0"/>
        </w:rPr>
        <w:br w:type="page"/>
      </w:r>
    </w:p>
    <w:p>
      <w:pPr>
        <w:pStyle w:val="Body"/>
        <w:keepNext w:val="1"/>
        <w:keepLines w:val="1"/>
        <w:spacing w:before="200" w:after="120"/>
        <w:outlineLvl w:val="1"/>
        <w:rPr>
          <w:b w:val="1"/>
          <w:bCs w:val="1"/>
          <w:sz w:val="32"/>
          <w:szCs w:val="32"/>
        </w:rPr>
      </w:pPr>
      <w:r>
        <w:rPr>
          <w:b w:val="1"/>
          <w:bCs w:val="1"/>
          <w:sz w:val="32"/>
          <w:szCs w:val="32"/>
          <w:rtl w:val="0"/>
        </w:rPr>
        <w:t>2</w:t>
        <w:tab/>
        <w:t>Design and implementation</w:t>
      </w:r>
    </w:p>
    <w:p>
      <w:pPr>
        <w:pStyle w:val="No Spacing"/>
      </w:pPr>
    </w:p>
    <w:p>
      <w:pPr>
        <w:pStyle w:val="No Spacing"/>
        <w:rPr>
          <w:b w:val="1"/>
          <w:bCs w:val="1"/>
        </w:rPr>
      </w:pPr>
      <w:r>
        <w:rPr>
          <w:b w:val="1"/>
          <w:bCs w:val="1"/>
          <w:rtl w:val="0"/>
          <w:lang w:val="en-US"/>
        </w:rPr>
        <w:t>2.1</w:t>
        <w:tab/>
        <w:t>Activities, measures and approaches to achieve the project results</w:t>
      </w:r>
    </w:p>
    <w:p>
      <w:pPr>
        <w:pStyle w:val="No Spacing"/>
      </w:pPr>
    </w:p>
    <w:p>
      <w:pPr>
        <w:pStyle w:val="No Spacing"/>
      </w:pPr>
    </w:p>
    <w:p>
      <w:pPr>
        <w:pStyle w:val="No Spacing"/>
      </w:pPr>
    </w:p>
    <w:p>
      <w:pPr>
        <w:pStyle w:val="Body"/>
        <w:spacing w:after="120"/>
      </w:pPr>
      <w:r>
        <w:rPr>
          <w:rFonts w:ascii="Arial" w:hAnsi="Arial"/>
          <w:outline w:val="0"/>
          <w:color w:val="000000"/>
          <w:u w:color="000000"/>
          <w:rtl w:val="0"/>
          <w:lang w:val="en-US"/>
          <w14:textFill>
            <w14:solidFill>
              <w14:srgbClr w14:val="000000"/>
            </w14:solidFill>
          </w14:textFill>
        </w:rPr>
        <w:t>The project is structured into five Work Packages (WPs) spanning 36 months, with activities sequenced to build progressively from curriculum design through staff capacity development, student engagement, Living Lab infrastructure, to national dissemination.</w:t>
      </w:r>
    </w:p>
    <w:p>
      <w:pPr>
        <w:pStyle w:val="Body"/>
        <w:spacing w:after="120"/>
      </w:pPr>
      <w:r>
        <w:rPr>
          <w:rFonts w:ascii="Arial" w:hAnsi="Arial"/>
          <w:b w:val="1"/>
          <w:bCs w:val="1"/>
          <w:outline w:val="0"/>
          <w:color w:val="000000"/>
          <w:u w:color="000000"/>
          <w:rtl w:val="0"/>
          <w:lang w:val="en-US"/>
          <w14:textFill>
            <w14:solidFill>
              <w14:srgbClr w14:val="000000"/>
            </w14:solidFill>
          </w14:textFill>
        </w:rPr>
        <w:t>WP1: Curriculum Development and Accreditation (Months 1</w:t>
      </w:r>
      <w:r>
        <w:rPr>
          <w:rFonts w:ascii="Arial" w:hAnsi="Arial" w:hint="default"/>
          <w:b w:val="1"/>
          <w:bCs w:val="1"/>
          <w:outline w:val="0"/>
          <w:color w:val="000000"/>
          <w:u w:color="000000"/>
          <w:rtl w:val="0"/>
          <w:lang w:val="en-US"/>
          <w14:textFill>
            <w14:solidFill>
              <w14:srgbClr w14:val="000000"/>
            </w14:solidFill>
          </w14:textFill>
        </w:rPr>
        <w:t>–</w:t>
      </w:r>
      <w:r>
        <w:rPr>
          <w:rFonts w:ascii="Arial" w:hAnsi="Arial"/>
          <w:b w:val="1"/>
          <w:bCs w:val="1"/>
          <w:outline w:val="0"/>
          <w:color w:val="000000"/>
          <w:u w:color="000000"/>
          <w:rtl w:val="0"/>
          <w:lang w:val="de-DE"/>
          <w14:textFill>
            <w14:solidFill>
              <w14:srgbClr w14:val="000000"/>
            </w14:solidFill>
          </w14:textFill>
        </w:rPr>
        <w:t>24, Lead: NTNU; Co-lead: ZNU)</w:t>
      </w:r>
    </w:p>
    <w:p>
      <w:pPr>
        <w:pStyle w:val="Body"/>
        <w:spacing w:after="120"/>
      </w:pPr>
      <w:r>
        <w:rPr>
          <w:rFonts w:ascii="Arial" w:hAnsi="Arial"/>
          <w:outline w:val="0"/>
          <w:color w:val="000000"/>
          <w:u w:color="000000"/>
          <w:rtl w:val="0"/>
          <w:lang w:val="en-US"/>
          <w14:textFill>
            <w14:solidFill>
              <w14:srgbClr w14:val="000000"/>
            </w14:solidFill>
          </w14:textFill>
        </w:rPr>
        <w:t>WP1 establishes the academic foundation of the project by developing, piloting, and accrediting new educational content at Master's level.</w:t>
      </w:r>
    </w:p>
    <w:p>
      <w:pPr>
        <w:pStyle w:val="Body"/>
        <w:spacing w:after="120"/>
      </w:pPr>
      <w:r>
        <w:rPr>
          <w:rFonts w:ascii="Arial" w:hAnsi="Arial"/>
          <w:i w:val="1"/>
          <w:iCs w:val="1"/>
          <w:outline w:val="0"/>
          <w:color w:val="000000"/>
          <w:u w:color="000000"/>
          <w:rtl w:val="0"/>
          <w:lang w:val="en-US"/>
          <w14:textFill>
            <w14:solidFill>
              <w14:srgbClr w14:val="000000"/>
            </w14:solidFill>
          </w14:textFill>
        </w:rPr>
        <w:t xml:space="preserve">Activity 1.1 </w:t>
      </w:r>
      <w:r>
        <w:rPr>
          <w:rFonts w:ascii="Arial" w:hAnsi="Arial" w:hint="default"/>
          <w:i w:val="1"/>
          <w:iCs w:val="1"/>
          <w:outline w:val="0"/>
          <w:color w:val="000000"/>
          <w:u w:color="000000"/>
          <w:rtl w:val="0"/>
          <w:lang w:val="en-US"/>
          <w14:textFill>
            <w14:solidFill>
              <w14:srgbClr w14:val="000000"/>
            </w14:solidFill>
          </w14:textFill>
        </w:rPr>
        <w:t xml:space="preserve">— </w:t>
      </w:r>
      <w:r>
        <w:rPr>
          <w:rFonts w:ascii="Arial" w:hAnsi="Arial"/>
          <w:i w:val="1"/>
          <w:iCs w:val="1"/>
          <w:outline w:val="0"/>
          <w:color w:val="000000"/>
          <w:u w:color="000000"/>
          <w:rtl w:val="0"/>
          <w:lang w:val="en-US"/>
          <w14:textFill>
            <w14:solidFill>
              <w14:srgbClr w14:val="000000"/>
            </w14:solidFill>
          </w14:textFill>
        </w:rPr>
        <w:t>Needs Analysis and Curriculum Framework</w:t>
      </w:r>
      <w:r>
        <w:rPr>
          <w:rFonts w:ascii="Arial" w:hAnsi="Arial"/>
          <w:outline w:val="0"/>
          <w:color w:val="000000"/>
          <w:u w:color="000000"/>
          <w:rtl w:val="0"/>
          <w:lang w:val="en-US"/>
          <w14:textFill>
            <w14:solidFill>
              <w14:srgbClr w14:val="000000"/>
            </w14:solidFill>
          </w14:textFill>
        </w:rPr>
        <w:t xml:space="preserve"> (Months 1</w:t>
      </w:r>
      <w:r>
        <w:rPr>
          <w:rFonts w:ascii="Arial" w:hAnsi="Arial" w:hint="default"/>
          <w:outline w:val="0"/>
          <w:color w:val="000000"/>
          <w:u w:color="000000"/>
          <w:rtl w:val="0"/>
          <w:lang w:val="en-US"/>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4): A joint curriculum task force (NTNU energy + CCIS faculty; ZNU engineering + computing faculty; UP2 representative; two Ukrainian energy sector advisors) conducts a structured needs analysis covering: current competency gaps in Ukrainian energy sector cybersecurity workforce; regulatory requirements under NIS2 and Ukraine's national cybersecurity framework; review of equivalent curricula at NTNU, KTH, TU Delft, and the University of Tulsa (recognised leader in energy cybersecurity). Deliverable: Curriculum Framework Document specifying learning outcomes, module architecture, and assessment approach. Milestone M1.1: Framework approved by consortium steering committee (Month 4).</w:t>
      </w:r>
    </w:p>
    <w:p>
      <w:pPr>
        <w:pStyle w:val="Body"/>
        <w:spacing w:after="120"/>
      </w:pPr>
      <w:r>
        <w:rPr>
          <w:rFonts w:ascii="Arial" w:hAnsi="Arial"/>
          <w:i w:val="1"/>
          <w:iCs w:val="1"/>
          <w:outline w:val="0"/>
          <w:color w:val="000000"/>
          <w:u w:color="000000"/>
          <w:rtl w:val="0"/>
          <w:lang w:val="en-US"/>
          <w14:textFill>
            <w14:solidFill>
              <w14:srgbClr w14:val="000000"/>
            </w14:solidFill>
          </w14:textFill>
        </w:rPr>
        <w:t xml:space="preserve">Activity 1.2 </w:t>
      </w:r>
      <w:r>
        <w:rPr>
          <w:rFonts w:ascii="Arial" w:hAnsi="Arial" w:hint="default"/>
          <w:i w:val="1"/>
          <w:iCs w:val="1"/>
          <w:outline w:val="0"/>
          <w:color w:val="000000"/>
          <w:u w:color="000000"/>
          <w:rtl w:val="0"/>
          <w:lang w:val="en-US"/>
          <w14:textFill>
            <w14:solidFill>
              <w14:srgbClr w14:val="000000"/>
            </w14:solidFill>
          </w14:textFill>
        </w:rPr>
        <w:t xml:space="preserve">— </w:t>
      </w:r>
      <w:r>
        <w:rPr>
          <w:rFonts w:ascii="Arial" w:hAnsi="Arial"/>
          <w:i w:val="1"/>
          <w:iCs w:val="1"/>
          <w:outline w:val="0"/>
          <w:color w:val="000000"/>
          <w:u w:color="000000"/>
          <w:rtl w:val="0"/>
          <w:lang w:val="en-US"/>
          <w14:textFill>
            <w14:solidFill>
              <w14:srgbClr w14:val="000000"/>
            </w14:solidFill>
          </w14:textFill>
        </w:rPr>
        <w:t>Development of Module 1: AI for Smart Grid Management and Security</w:t>
      </w:r>
      <w:r>
        <w:rPr>
          <w:rFonts w:ascii="Arial" w:hAnsi="Arial"/>
          <w:outline w:val="0"/>
          <w:color w:val="000000"/>
          <w:u w:color="000000"/>
          <w:rtl w:val="0"/>
          <w:lang w:val="en-US"/>
          <w14:textFill>
            <w14:solidFill>
              <w14:srgbClr w14:val="000000"/>
            </w14:solidFill>
          </w14:textFill>
        </w:rPr>
        <w:t xml:space="preserve"> (Months 4</w:t>
      </w:r>
      <w:r>
        <w:rPr>
          <w:rFonts w:ascii="Arial" w:hAnsi="Arial" w:hint="default"/>
          <w:outline w:val="0"/>
          <w:color w:val="000000"/>
          <w:u w:color="000000"/>
          <w:rtl w:val="0"/>
          <w:lang w:val="en-US"/>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14): This 7.5 ECTS module covers: supervised and unsupervised ML for load forecasting and demand response optimisation; anomaly detection algorithms (Isolation Forest, LSTM autoencoders, Graph Neural Networks for grid topology) applied to both technical faults and cyber intrusions; AI-assisted incident triage and response; explainability requirements for safety-critical AI (IEEE 7001); integration with SCADA data streams. Practical labs use ZNU's Azure cloud infrastructure and NTNU's Smart Grid Laboratory simulation environment accessed remotely. All software tools selected are open-source (TensorFlow, PyTorch, Scikit-learn, OpenDSS, GridLAB-D) to avoid export control restrictions and ensure replicability.</w:t>
      </w:r>
    </w:p>
    <w:p>
      <w:pPr>
        <w:pStyle w:val="Body"/>
        <w:spacing w:after="120"/>
      </w:pPr>
      <w:r>
        <w:rPr>
          <w:rFonts w:ascii="Arial" w:hAnsi="Arial"/>
          <w:i w:val="1"/>
          <w:iCs w:val="1"/>
          <w:outline w:val="0"/>
          <w:color w:val="000000"/>
          <w:u w:color="000000"/>
          <w:rtl w:val="0"/>
          <w:lang w:val="en-US"/>
          <w14:textFill>
            <w14:solidFill>
              <w14:srgbClr w14:val="000000"/>
            </w14:solidFill>
          </w14:textFill>
        </w:rPr>
        <w:t xml:space="preserve">Activity 1.3 </w:t>
      </w:r>
      <w:r>
        <w:rPr>
          <w:rFonts w:ascii="Arial" w:hAnsi="Arial" w:hint="default"/>
          <w:i w:val="1"/>
          <w:iCs w:val="1"/>
          <w:outline w:val="0"/>
          <w:color w:val="000000"/>
          <w:u w:color="000000"/>
          <w:rtl w:val="0"/>
          <w:lang w:val="en-US"/>
          <w14:textFill>
            <w14:solidFill>
              <w14:srgbClr w14:val="000000"/>
            </w14:solidFill>
          </w14:textFill>
        </w:rPr>
        <w:t xml:space="preserve">— </w:t>
      </w:r>
      <w:r>
        <w:rPr>
          <w:rFonts w:ascii="Arial" w:hAnsi="Arial"/>
          <w:i w:val="1"/>
          <w:iCs w:val="1"/>
          <w:outline w:val="0"/>
          <w:color w:val="000000"/>
          <w:u w:color="000000"/>
          <w:rtl w:val="0"/>
          <w:lang w:val="en-US"/>
          <w14:textFill>
            <w14:solidFill>
              <w14:srgbClr w14:val="000000"/>
            </w14:solidFill>
          </w14:textFill>
        </w:rPr>
        <w:t>Development of Module 2: Cybersecurity for Smart Grids and Critical Energy Infrastructure</w:t>
      </w:r>
      <w:r>
        <w:rPr>
          <w:rFonts w:ascii="Arial" w:hAnsi="Arial"/>
          <w:outline w:val="0"/>
          <w:color w:val="000000"/>
          <w:u w:color="000000"/>
          <w:rtl w:val="0"/>
          <w:lang w:val="en-US"/>
          <w14:textFill>
            <w14:solidFill>
              <w14:srgbClr w14:val="000000"/>
            </w14:solidFill>
          </w14:textFill>
        </w:rPr>
        <w:t xml:space="preserve"> (Months 4</w:t>
      </w:r>
      <w:r>
        <w:rPr>
          <w:rFonts w:ascii="Arial" w:hAnsi="Arial" w:hint="default"/>
          <w:outline w:val="0"/>
          <w:color w:val="000000"/>
          <w:u w:color="000000"/>
          <w:rtl w:val="0"/>
          <w:lang w:val="en-US"/>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 xml:space="preserve">18): This 7.5 ECTS module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 xml:space="preserve">the first of its kind in any Ukrainian university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covers: OT/ICS cybersecurity fundamentals and how they differ from IT security (availability-first paradigm, real-time constraints, legacy system integration); SCADA/ICS attack taxonomies and the MITRE ATT&amp;CK for ICS framework; IEC 62351 security standards for power system communications (DNP3, IEC 61850, ICCP); NERC CIP compliance framework as international reference standard; supply chain security for grid equipment and software; data protection for smart meter data and grid topology (GDPR and Ukrainian data protection law); cyber-physical attack modelling; hands-on labs using GNS3 network simulation and OpenPLC/ScadaBR in isolated environments. Module design reviewed by NTNU CCIS and validated against ENISA smart grid security guidelines.</w:t>
      </w:r>
    </w:p>
    <w:p>
      <w:pPr>
        <w:pStyle w:val="Body"/>
        <w:spacing w:after="120"/>
      </w:pPr>
      <w:r>
        <w:rPr>
          <w:rFonts w:ascii="Arial" w:hAnsi="Arial"/>
          <w:i w:val="1"/>
          <w:iCs w:val="1"/>
          <w:outline w:val="0"/>
          <w:color w:val="000000"/>
          <w:u w:color="000000"/>
          <w:rtl w:val="0"/>
          <w:lang w:val="en-US"/>
          <w14:textFill>
            <w14:solidFill>
              <w14:srgbClr w14:val="000000"/>
            </w14:solidFill>
          </w14:textFill>
        </w:rPr>
        <w:t xml:space="preserve">Activity 1.4 </w:t>
      </w:r>
      <w:r>
        <w:rPr>
          <w:rFonts w:ascii="Arial" w:hAnsi="Arial" w:hint="default"/>
          <w:i w:val="1"/>
          <w:iCs w:val="1"/>
          <w:outline w:val="0"/>
          <w:color w:val="000000"/>
          <w:u w:color="000000"/>
          <w:rtl w:val="0"/>
          <w:lang w:val="en-US"/>
          <w14:textFill>
            <w14:solidFill>
              <w14:srgbClr w14:val="000000"/>
            </w14:solidFill>
          </w14:textFill>
        </w:rPr>
        <w:t xml:space="preserve">— </w:t>
      </w:r>
      <w:r>
        <w:rPr>
          <w:rFonts w:ascii="Arial" w:hAnsi="Arial"/>
          <w:i w:val="1"/>
          <w:iCs w:val="1"/>
          <w:outline w:val="0"/>
          <w:color w:val="000000"/>
          <w:u w:color="000000"/>
          <w:rtl w:val="0"/>
          <w:lang w:val="en-US"/>
          <w14:textFill>
            <w14:solidFill>
              <w14:srgbClr w14:val="000000"/>
            </w14:solidFill>
          </w14:textFill>
        </w:rPr>
        <w:t>Development of Module 3: Cyber-Physical Resilience Engineering</w:t>
      </w:r>
      <w:r>
        <w:rPr>
          <w:rFonts w:ascii="Arial" w:hAnsi="Arial"/>
          <w:outline w:val="0"/>
          <w:color w:val="000000"/>
          <w:u w:color="000000"/>
          <w:rtl w:val="0"/>
          <w:lang w:val="en-US"/>
          <w14:textFill>
            <w14:solidFill>
              <w14:srgbClr w14:val="000000"/>
            </w14:solidFill>
          </w14:textFill>
        </w:rPr>
        <w:t xml:space="preserve"> (Months 10</w:t>
      </w:r>
      <w:r>
        <w:rPr>
          <w:rFonts w:ascii="Arial" w:hAnsi="Arial" w:hint="default"/>
          <w:outline w:val="0"/>
          <w:color w:val="000000"/>
          <w:u w:color="000000"/>
          <w:rtl w:val="0"/>
          <w:lang w:val="en-US"/>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20): This 5 ECTS module integrates physical and cyber dimensions: combined kinetic-cyber threat scenarios based on documented Ukrainian attacks; resilience metrics and measurement (SAIDI, SAIFI under adversarial conditions); incident response and recovery procedures for energy sector cyber incidents (aligned with IEC 62682 and sector-specific playbooks); business continuity and grid islanding strategies; regulatory reporting obligations. Case studies drawn directly from Industroyer, Industroyer2, and Colonial Pipeline incidents provide pedagogical grounding in real-world consequences.</w:t>
      </w:r>
    </w:p>
    <w:p>
      <w:pPr>
        <w:pStyle w:val="Body"/>
        <w:spacing w:after="120"/>
      </w:pPr>
      <w:r>
        <w:rPr>
          <w:rFonts w:ascii="Arial" w:hAnsi="Arial"/>
          <w:i w:val="1"/>
          <w:iCs w:val="1"/>
          <w:outline w:val="0"/>
          <w:color w:val="000000"/>
          <w:u w:color="000000"/>
          <w:rtl w:val="0"/>
          <w:lang w:val="en-US"/>
          <w14:textFill>
            <w14:solidFill>
              <w14:srgbClr w14:val="000000"/>
            </w14:solidFill>
          </w14:textFill>
        </w:rPr>
        <w:t xml:space="preserve">Activity 1.5 </w:t>
      </w:r>
      <w:r>
        <w:rPr>
          <w:rFonts w:ascii="Arial" w:hAnsi="Arial" w:hint="default"/>
          <w:i w:val="1"/>
          <w:iCs w:val="1"/>
          <w:outline w:val="0"/>
          <w:color w:val="000000"/>
          <w:u w:color="000000"/>
          <w:rtl w:val="0"/>
          <w:lang w:val="en-US"/>
          <w14:textFill>
            <w14:solidFill>
              <w14:srgbClr w14:val="000000"/>
            </w14:solidFill>
          </w14:textFill>
        </w:rPr>
        <w:t xml:space="preserve">— </w:t>
      </w:r>
      <w:r>
        <w:rPr>
          <w:rFonts w:ascii="Arial" w:hAnsi="Arial"/>
          <w:i w:val="1"/>
          <w:iCs w:val="1"/>
          <w:outline w:val="0"/>
          <w:color w:val="000000"/>
          <w:u w:color="000000"/>
          <w:rtl w:val="0"/>
          <w:lang w:val="en-US"/>
          <w14:textFill>
            <w14:solidFill>
              <w14:srgbClr w14:val="000000"/>
            </w14:solidFill>
          </w14:textFill>
        </w:rPr>
        <w:t>Accreditation and Integration</w:t>
      </w:r>
      <w:r>
        <w:rPr>
          <w:rFonts w:ascii="Arial" w:hAnsi="Arial"/>
          <w:outline w:val="0"/>
          <w:color w:val="000000"/>
          <w:u w:color="000000"/>
          <w:rtl w:val="0"/>
          <w:lang w:val="en-US"/>
          <w14:textFill>
            <w14:solidFill>
              <w14:srgbClr w14:val="000000"/>
            </w14:solidFill>
          </w14:textFill>
        </w:rPr>
        <w:t xml:space="preserve"> (Months 18</w:t>
      </w:r>
      <w:r>
        <w:rPr>
          <w:rFonts w:ascii="Arial" w:hAnsi="Arial" w:hint="default"/>
          <w:outline w:val="0"/>
          <w:color w:val="000000"/>
          <w:u w:color="000000"/>
          <w:rtl w:val="0"/>
          <w:lang w:val="en-US"/>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24): New modules submitted for formal accreditation within degree programmes at both Ukrainian HEIs. ZNU's Engineering Educational and Scientific Institute integrates modules into the Master's in Electrical Engineering. UP2 integrates into its relevant programme. NTNU provides advisory support for Ukrainian accreditation documentation. Deliverable: Accreditation decisions and updated programme catalogues. Milestone M1.5: Both Ukrainian HEIs confirm module accreditation (Month 24).</w:t>
      </w:r>
    </w:p>
    <w:p>
      <w:pPr>
        <w:pStyle w:val="Body"/>
        <w:spacing w:after="120"/>
      </w:pPr>
      <w:r>
        <w:rPr>
          <w:rFonts w:ascii="Arial" w:hAnsi="Arial"/>
          <w:b w:val="1"/>
          <w:bCs w:val="1"/>
          <w:outline w:val="0"/>
          <w:color w:val="000000"/>
          <w:u w:color="000000"/>
          <w:rtl w:val="0"/>
          <w:lang w:val="en-US"/>
          <w14:textFill>
            <w14:solidFill>
              <w14:srgbClr w14:val="000000"/>
            </w14:solidFill>
          </w14:textFill>
        </w:rPr>
        <w:t>WP2: Staff Training and Capacity Development (Months 3</w:t>
      </w:r>
      <w:r>
        <w:rPr>
          <w:rFonts w:ascii="Arial" w:hAnsi="Arial" w:hint="default"/>
          <w:b w:val="1"/>
          <w:bCs w:val="1"/>
          <w:outline w:val="0"/>
          <w:color w:val="000000"/>
          <w:u w:color="000000"/>
          <w:rtl w:val="0"/>
          <w:lang w:val="en-US"/>
          <w14:textFill>
            <w14:solidFill>
              <w14:srgbClr w14:val="000000"/>
            </w14:solidFill>
          </w14:textFill>
        </w:rPr>
        <w:t>–</w:t>
      </w:r>
      <w:r>
        <w:rPr>
          <w:rFonts w:ascii="Arial" w:hAnsi="Arial"/>
          <w:b w:val="1"/>
          <w:bCs w:val="1"/>
          <w:outline w:val="0"/>
          <w:color w:val="000000"/>
          <w:u w:color="000000"/>
          <w:rtl w:val="0"/>
          <w:lang w:val="de-DE"/>
          <w14:textFill>
            <w14:solidFill>
              <w14:srgbClr w14:val="000000"/>
            </w14:solidFill>
          </w14:textFill>
        </w:rPr>
        <w:t>30, Lead: ZNU; Co-lead: NTNU)</w:t>
      </w:r>
    </w:p>
    <w:p>
      <w:pPr>
        <w:pStyle w:val="Body"/>
        <w:spacing w:after="120"/>
      </w:pPr>
      <w:r>
        <w:rPr>
          <w:rFonts w:ascii="Arial" w:hAnsi="Arial"/>
          <w:outline w:val="0"/>
          <w:color w:val="000000"/>
          <w:u w:color="000000"/>
          <w:rtl w:val="0"/>
          <w:lang w:val="en-US"/>
          <w14:textFill>
            <w14:solidFill>
              <w14:srgbClr w14:val="000000"/>
            </w14:solidFill>
          </w14:textFill>
        </w:rPr>
        <w:t>WP2 builds the human capital within Ukrainian partner institutions to deliver and sustain the new curriculum.</w:t>
      </w:r>
    </w:p>
    <w:p>
      <w:pPr>
        <w:pStyle w:val="Body"/>
        <w:spacing w:after="120"/>
      </w:pPr>
      <w:r>
        <w:rPr>
          <w:rFonts w:ascii="Arial" w:hAnsi="Arial"/>
          <w:i w:val="1"/>
          <w:iCs w:val="1"/>
          <w:outline w:val="0"/>
          <w:color w:val="000000"/>
          <w:u w:color="000000"/>
          <w:rtl w:val="0"/>
          <w:lang w:val="en-US"/>
          <w14:textFill>
            <w14:solidFill>
              <w14:srgbClr w14:val="000000"/>
            </w14:solidFill>
          </w14:textFill>
        </w:rPr>
        <w:t xml:space="preserve">Activity 2.1 </w:t>
      </w:r>
      <w:r>
        <w:rPr>
          <w:rFonts w:ascii="Arial" w:hAnsi="Arial" w:hint="default"/>
          <w:i w:val="1"/>
          <w:iCs w:val="1"/>
          <w:outline w:val="0"/>
          <w:color w:val="000000"/>
          <w:u w:color="000000"/>
          <w:rtl w:val="0"/>
          <w:lang w:val="en-US"/>
          <w14:textFill>
            <w14:solidFill>
              <w14:srgbClr w14:val="000000"/>
            </w14:solidFill>
          </w14:textFill>
        </w:rPr>
        <w:t xml:space="preserve">— </w:t>
      </w:r>
      <w:r>
        <w:rPr>
          <w:rFonts w:ascii="Arial" w:hAnsi="Arial"/>
          <w:i w:val="1"/>
          <w:iCs w:val="1"/>
          <w:outline w:val="0"/>
          <w:color w:val="000000"/>
          <w:u w:color="000000"/>
          <w:rtl w:val="0"/>
          <w:lang w:val="en-US"/>
          <w14:textFill>
            <w14:solidFill>
              <w14:srgbClr w14:val="000000"/>
            </w14:solidFill>
          </w14:textFill>
        </w:rPr>
        <w:t>NTNU Intensive Training Weeks</w:t>
      </w:r>
      <w:r>
        <w:rPr>
          <w:rFonts w:ascii="Arial" w:hAnsi="Arial"/>
          <w:outline w:val="0"/>
          <w:color w:val="000000"/>
          <w:u w:color="000000"/>
          <w:rtl w:val="0"/>
          <w:lang w:val="en-US"/>
          <w14:textFill>
            <w14:solidFill>
              <w14:srgbClr w14:val="000000"/>
            </w14:solidFill>
          </w14:textFill>
        </w:rPr>
        <w:t xml:space="preserve"> (Months 6, 18): Two one-week intensive workshops hosted at NTNU Trondheim, each attended by 5 ZNU and 5 UP2 academic staff (10 per visit, 20 total). Workshop 1 (Month 6) covers: smart grid AI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hands-on with NTNU's Smart Grid Lab hardware-in-the-loop platform; introduction to OT cybersecurity; digital twin construction methodology. Workshop 2 (Month 18) covers: advanced SCADA security, IEC 62351 implementation lab; cyber range operation and pedagogical use; AI anomaly detection model training and evaluation.</w:t>
      </w:r>
    </w:p>
    <w:p>
      <w:pPr>
        <w:pStyle w:val="Body"/>
        <w:spacing w:after="120"/>
      </w:pPr>
      <w:r>
        <w:rPr>
          <w:rFonts w:ascii="Arial" w:hAnsi="Arial"/>
          <w:i w:val="1"/>
          <w:iCs w:val="1"/>
          <w:outline w:val="0"/>
          <w:color w:val="000000"/>
          <w:u w:color="000000"/>
          <w:rtl w:val="0"/>
          <w:lang w:val="en-US"/>
          <w14:textFill>
            <w14:solidFill>
              <w14:srgbClr w14:val="000000"/>
            </w14:solidFill>
          </w14:textFill>
        </w:rPr>
        <w:t xml:space="preserve">Activity 2.2 </w:t>
      </w:r>
      <w:r>
        <w:rPr>
          <w:rFonts w:ascii="Arial" w:hAnsi="Arial" w:hint="default"/>
          <w:i w:val="1"/>
          <w:iCs w:val="1"/>
          <w:outline w:val="0"/>
          <w:color w:val="000000"/>
          <w:u w:color="000000"/>
          <w:rtl w:val="0"/>
          <w:lang w:val="en-US"/>
          <w14:textFill>
            <w14:solidFill>
              <w14:srgbClr w14:val="000000"/>
            </w14:solidFill>
          </w14:textFill>
        </w:rPr>
        <w:t xml:space="preserve">— </w:t>
      </w:r>
      <w:r>
        <w:rPr>
          <w:rFonts w:ascii="Arial" w:hAnsi="Arial"/>
          <w:i w:val="1"/>
          <w:iCs w:val="1"/>
          <w:outline w:val="0"/>
          <w:color w:val="000000"/>
          <w:u w:color="000000"/>
          <w:rtl w:val="0"/>
          <w:lang w:val="de-DE"/>
          <w14:textFill>
            <w14:solidFill>
              <w14:srgbClr w14:val="000000"/>
            </w14:solidFill>
          </w14:textFill>
        </w:rPr>
        <w:t>NTNU CCIS Cybersecurity Immersion Programme</w:t>
      </w:r>
      <w:r>
        <w:rPr>
          <w:rFonts w:ascii="Arial" w:hAnsi="Arial"/>
          <w:outline w:val="0"/>
          <w:color w:val="000000"/>
          <w:u w:color="000000"/>
          <w:rtl w:val="0"/>
          <w:lang w:val="en-US"/>
          <w14:textFill>
            <w14:solidFill>
              <w14:srgbClr w14:val="000000"/>
            </w14:solidFill>
          </w14:textFill>
        </w:rPr>
        <w:t xml:space="preserve"> (Months 9, 21): Four Ukrainian faculty members (2 ZNU, 2 UP2) undertake 2-week immersions within NTNU CCIS, working alongside cybersecurity researchers on ICS security research, CTF challenge design, and threat intelligence analysis relevant to energy sector. This creates direct research linkages and enables faculty to develop authentic, research-informed cybersecurity teaching materials.</w:t>
      </w:r>
    </w:p>
    <w:p>
      <w:pPr>
        <w:pStyle w:val="Body"/>
        <w:spacing w:after="120"/>
      </w:pPr>
      <w:r>
        <w:rPr>
          <w:rFonts w:ascii="Arial" w:hAnsi="Arial"/>
          <w:i w:val="1"/>
          <w:iCs w:val="1"/>
          <w:outline w:val="0"/>
          <w:color w:val="000000"/>
          <w:u w:color="000000"/>
          <w:rtl w:val="0"/>
          <w:lang w:val="en-US"/>
          <w14:textFill>
            <w14:solidFill>
              <w14:srgbClr w14:val="000000"/>
            </w14:solidFill>
          </w14:textFill>
        </w:rPr>
        <w:t xml:space="preserve">Activity 2.3 </w:t>
      </w:r>
      <w:r>
        <w:rPr>
          <w:rFonts w:ascii="Arial" w:hAnsi="Arial" w:hint="default"/>
          <w:i w:val="1"/>
          <w:iCs w:val="1"/>
          <w:outline w:val="0"/>
          <w:color w:val="000000"/>
          <w:u w:color="000000"/>
          <w:rtl w:val="0"/>
          <w:lang w:val="en-US"/>
          <w14:textFill>
            <w14:solidFill>
              <w14:srgbClr w14:val="000000"/>
            </w14:solidFill>
          </w14:textFill>
        </w:rPr>
        <w:t xml:space="preserve">— </w:t>
      </w:r>
      <w:r>
        <w:rPr>
          <w:rFonts w:ascii="Arial" w:hAnsi="Arial"/>
          <w:i w:val="1"/>
          <w:iCs w:val="1"/>
          <w:outline w:val="0"/>
          <w:color w:val="000000"/>
          <w:u w:color="000000"/>
          <w:rtl w:val="0"/>
          <w:lang w:val="en-US"/>
          <w14:textFill>
            <w14:solidFill>
              <w14:srgbClr w14:val="000000"/>
            </w14:solidFill>
          </w14:textFill>
        </w:rPr>
        <w:t>Online Continuous Professional Development Series</w:t>
      </w:r>
      <w:r>
        <w:rPr>
          <w:rFonts w:ascii="Arial" w:hAnsi="Arial"/>
          <w:outline w:val="0"/>
          <w:color w:val="000000"/>
          <w:u w:color="000000"/>
          <w:rtl w:val="0"/>
          <w:lang w:val="en-US"/>
          <w14:textFill>
            <w14:solidFill>
              <w14:srgbClr w14:val="000000"/>
            </w14:solidFill>
          </w14:textFill>
        </w:rPr>
        <w:t xml:space="preserve"> (Months 6</w:t>
      </w:r>
      <w:r>
        <w:rPr>
          <w:rFonts w:ascii="Arial" w:hAnsi="Arial" w:hint="default"/>
          <w:outline w:val="0"/>
          <w:color w:val="000000"/>
          <w:u w:color="000000"/>
          <w:rtl w:val="0"/>
          <w:lang w:val="en-US"/>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30): Bi-monthly 90-minute webinar series covering emerging topics: latest ICS malware analysis; regulatory updates (NIS2 implementation); AI model robustness against adversarial attacks in grid contexts; hands-on CTF challenge debriefs. Open to all consortium staff and invited Ukrainian HEI partners. Recordings published as OER.</w:t>
      </w:r>
    </w:p>
    <w:p>
      <w:pPr>
        <w:pStyle w:val="Body"/>
        <w:spacing w:after="120"/>
      </w:pPr>
      <w:r>
        <w:rPr>
          <w:rFonts w:ascii="Arial" w:hAnsi="Arial"/>
          <w:i w:val="1"/>
          <w:iCs w:val="1"/>
          <w:outline w:val="0"/>
          <w:color w:val="000000"/>
          <w:u w:color="000000"/>
          <w:rtl w:val="0"/>
          <w:lang w:val="en-US"/>
          <w14:textFill>
            <w14:solidFill>
              <w14:srgbClr w14:val="000000"/>
            </w14:solidFill>
          </w14:textFill>
        </w:rPr>
        <w:t xml:space="preserve">Activity 2.4 </w:t>
      </w:r>
      <w:r>
        <w:rPr>
          <w:rFonts w:ascii="Arial" w:hAnsi="Arial" w:hint="default"/>
          <w:i w:val="1"/>
          <w:iCs w:val="1"/>
          <w:outline w:val="0"/>
          <w:color w:val="000000"/>
          <w:u w:color="000000"/>
          <w:rtl w:val="0"/>
          <w:lang w:val="en-US"/>
          <w14:textFill>
            <w14:solidFill>
              <w14:srgbClr w14:val="000000"/>
            </w14:solidFill>
          </w14:textFill>
        </w:rPr>
        <w:t xml:space="preserve">— </w:t>
      </w:r>
      <w:r>
        <w:rPr>
          <w:rFonts w:ascii="Arial" w:hAnsi="Arial"/>
          <w:i w:val="1"/>
          <w:iCs w:val="1"/>
          <w:outline w:val="0"/>
          <w:color w:val="000000"/>
          <w:u w:color="000000"/>
          <w:rtl w:val="0"/>
          <w:lang w:val="en-US"/>
          <w14:textFill>
            <w14:solidFill>
              <w14:srgbClr w14:val="000000"/>
            </w14:solidFill>
          </w14:textFill>
        </w:rPr>
        <w:t>Pedagogical Training in Experiential Cybersecurity Education</w:t>
      </w:r>
      <w:r>
        <w:rPr>
          <w:rFonts w:ascii="Arial" w:hAnsi="Arial"/>
          <w:outline w:val="0"/>
          <w:color w:val="000000"/>
          <w:u w:color="000000"/>
          <w:rtl w:val="0"/>
          <w:lang w:val="en-US"/>
          <w14:textFill>
            <w14:solidFill>
              <w14:srgbClr w14:val="000000"/>
            </w14:solidFill>
          </w14:textFill>
        </w:rPr>
        <w:t xml:space="preserve"> (Month 12): One-day workshop (delivered at ZNU and remotely to UP2) on designing and facilitating CTF competitions and red team/blue team exercises for pedagogical purposes, including ethical frameworks for offensive security training.</w:t>
      </w:r>
    </w:p>
    <w:p>
      <w:pPr>
        <w:pStyle w:val="Body"/>
        <w:spacing w:after="120"/>
      </w:pPr>
      <w:r>
        <w:rPr>
          <w:rFonts w:ascii="Arial" w:hAnsi="Arial"/>
          <w:b w:val="1"/>
          <w:bCs w:val="1"/>
          <w:outline w:val="0"/>
          <w:color w:val="000000"/>
          <w:u w:color="000000"/>
          <w:rtl w:val="0"/>
          <w:lang w:val="en-US"/>
          <w14:textFill>
            <w14:solidFill>
              <w14:srgbClr w14:val="000000"/>
            </w14:solidFill>
          </w14:textFill>
        </w:rPr>
        <w:t>WP3: Student Mobility and Cyber Exercises (Months 12</w:t>
      </w:r>
      <w:r>
        <w:rPr>
          <w:rFonts w:ascii="Arial" w:hAnsi="Arial" w:hint="default"/>
          <w:b w:val="1"/>
          <w:bCs w:val="1"/>
          <w:outline w:val="0"/>
          <w:color w:val="000000"/>
          <w:u w:color="000000"/>
          <w:rtl w:val="0"/>
          <w:lang w:val="en-US"/>
          <w14:textFill>
            <w14:solidFill>
              <w14:srgbClr w14:val="000000"/>
            </w14:solidFill>
          </w14:textFill>
        </w:rPr>
        <w:t>–</w:t>
      </w:r>
      <w:r>
        <w:rPr>
          <w:rFonts w:ascii="Arial" w:hAnsi="Arial"/>
          <w:b w:val="1"/>
          <w:bCs w:val="1"/>
          <w:outline w:val="0"/>
          <w:color w:val="000000"/>
          <w:u w:color="000000"/>
          <w:rtl w:val="0"/>
          <w:lang w:val="de-DE"/>
          <w14:textFill>
            <w14:solidFill>
              <w14:srgbClr w14:val="000000"/>
            </w14:solidFill>
          </w14:textFill>
        </w:rPr>
        <w:t>33, Lead: UP2; Co-lead: ZNU, NTNU)</w:t>
      </w:r>
    </w:p>
    <w:p>
      <w:pPr>
        <w:pStyle w:val="Body"/>
        <w:spacing w:after="120"/>
      </w:pPr>
      <w:r>
        <w:rPr>
          <w:rFonts w:ascii="Arial" w:hAnsi="Arial"/>
          <w:i w:val="1"/>
          <w:iCs w:val="1"/>
          <w:outline w:val="0"/>
          <w:color w:val="000000"/>
          <w:u w:color="000000"/>
          <w:rtl w:val="0"/>
          <w:lang w:val="en-US"/>
          <w14:textFill>
            <w14:solidFill>
              <w14:srgbClr w14:val="000000"/>
            </w14:solidFill>
          </w14:textFill>
        </w:rPr>
        <w:t xml:space="preserve">Activity 3.1 </w:t>
      </w:r>
      <w:r>
        <w:rPr>
          <w:rFonts w:ascii="Arial" w:hAnsi="Arial" w:hint="default"/>
          <w:i w:val="1"/>
          <w:iCs w:val="1"/>
          <w:outline w:val="0"/>
          <w:color w:val="000000"/>
          <w:u w:color="000000"/>
          <w:rtl w:val="0"/>
          <w:lang w:val="en-US"/>
          <w14:textFill>
            <w14:solidFill>
              <w14:srgbClr w14:val="000000"/>
            </w14:solidFill>
          </w14:textFill>
        </w:rPr>
        <w:t xml:space="preserve">— </w:t>
      </w:r>
      <w:r>
        <w:rPr>
          <w:rFonts w:ascii="Arial" w:hAnsi="Arial"/>
          <w:i w:val="1"/>
          <w:iCs w:val="1"/>
          <w:outline w:val="0"/>
          <w:color w:val="000000"/>
          <w:u w:color="000000"/>
          <w:rtl w:val="0"/>
          <w:lang w:val="en-US"/>
          <w14:textFill>
            <w14:solidFill>
              <w14:srgbClr w14:val="000000"/>
            </w14:solidFill>
          </w14:textFill>
        </w:rPr>
        <w:t>Student Exchanges to NTNU</w:t>
      </w:r>
      <w:r>
        <w:rPr>
          <w:rFonts w:ascii="Arial" w:hAnsi="Arial"/>
          <w:outline w:val="0"/>
          <w:color w:val="000000"/>
          <w:u w:color="000000"/>
          <w:rtl w:val="0"/>
          <w:lang w:val="en-US"/>
          <w14:textFill>
            <w14:solidFill>
              <w14:srgbClr w14:val="000000"/>
            </w14:solidFill>
          </w14:textFill>
        </w:rPr>
        <w:t xml:space="preserve"> (Months 12</w:t>
      </w:r>
      <w:r>
        <w:rPr>
          <w:rFonts w:ascii="Arial" w:hAnsi="Arial" w:hint="default"/>
          <w:outline w:val="0"/>
          <w:color w:val="000000"/>
          <w:u w:color="000000"/>
          <w:rtl w:val="0"/>
          <w:lang w:val="en-US"/>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33): 12 Master's students (6 ZNU, 6 UP2) undertake 4-month exchanges at NTNU, enrolled in relevant courses in NTNU's energy systems and cybersecurity programmes, conducting research projects jointly supervised with NTNU faculty. Exchange students receive scholarships per Nansen EDU rates (EUR 250/month).</w:t>
      </w:r>
    </w:p>
    <w:p>
      <w:pPr>
        <w:pStyle w:val="Body"/>
        <w:spacing w:after="120"/>
      </w:pPr>
      <w:r>
        <w:rPr>
          <w:rFonts w:ascii="Arial" w:hAnsi="Arial"/>
          <w:i w:val="1"/>
          <w:iCs w:val="1"/>
          <w:outline w:val="0"/>
          <w:color w:val="000000"/>
          <w:u w:color="000000"/>
          <w:rtl w:val="0"/>
          <w:lang w:val="en-US"/>
          <w14:textFill>
            <w14:solidFill>
              <w14:srgbClr w14:val="000000"/>
            </w14:solidFill>
          </w14:textFill>
        </w:rPr>
        <w:t xml:space="preserve">Activity 3.2 </w:t>
      </w:r>
      <w:r>
        <w:rPr>
          <w:rFonts w:ascii="Arial" w:hAnsi="Arial" w:hint="default"/>
          <w:i w:val="1"/>
          <w:iCs w:val="1"/>
          <w:outline w:val="0"/>
          <w:color w:val="000000"/>
          <w:u w:color="000000"/>
          <w:rtl w:val="0"/>
          <w:lang w:val="en-US"/>
          <w14:textFill>
            <w14:solidFill>
              <w14:srgbClr w14:val="000000"/>
            </w14:solidFill>
          </w14:textFill>
        </w:rPr>
        <w:t xml:space="preserve">— </w:t>
      </w:r>
      <w:r>
        <w:rPr>
          <w:rFonts w:ascii="Arial" w:hAnsi="Arial"/>
          <w:i w:val="1"/>
          <w:iCs w:val="1"/>
          <w:outline w:val="0"/>
          <w:color w:val="000000"/>
          <w:u w:color="000000"/>
          <w:rtl w:val="0"/>
          <w:lang w:val="en-US"/>
          <w14:textFill>
            <w14:solidFill>
              <w14:srgbClr w14:val="000000"/>
            </w14:solidFill>
          </w14:textFill>
        </w:rPr>
        <w:t>NTNU Student Visits to Ukraine</w:t>
      </w:r>
      <w:r>
        <w:rPr>
          <w:rFonts w:ascii="Arial" w:hAnsi="Arial"/>
          <w:outline w:val="0"/>
          <w:color w:val="000000"/>
          <w:u w:color="000000"/>
          <w:rtl w:val="0"/>
          <w:lang w:val="en-US"/>
          <w14:textFill>
            <w14:solidFill>
              <w14:srgbClr w14:val="000000"/>
            </w14:solidFill>
          </w14:textFill>
        </w:rPr>
        <w:t xml:space="preserve"> (Months 15, 27): 8 NTNU Master's students (4 per visit) make 2-week intensive visits to Ukrainian partners, participating in joint workshops, visiting energy operator facilities (where security permits), and contributing to Living Lab development. These visits build NTNU students' understanding of conflict-affected reconstruction contexts.</w:t>
      </w:r>
    </w:p>
    <w:p>
      <w:pPr>
        <w:pStyle w:val="Body"/>
        <w:spacing w:after="120"/>
      </w:pPr>
      <w:r>
        <w:rPr>
          <w:rFonts w:ascii="Arial" w:hAnsi="Arial"/>
          <w:i w:val="1"/>
          <w:iCs w:val="1"/>
          <w:outline w:val="0"/>
          <w:color w:val="000000"/>
          <w:u w:color="000000"/>
          <w:rtl w:val="0"/>
          <w:lang w:val="en-US"/>
          <w14:textFill>
            <w14:solidFill>
              <w14:srgbClr w14:val="000000"/>
            </w14:solidFill>
          </w14:textFill>
        </w:rPr>
        <w:t xml:space="preserve">Activity 3.3 </w:t>
      </w:r>
      <w:r>
        <w:rPr>
          <w:rFonts w:ascii="Arial" w:hAnsi="Arial" w:hint="default"/>
          <w:i w:val="1"/>
          <w:iCs w:val="1"/>
          <w:outline w:val="0"/>
          <w:color w:val="000000"/>
          <w:u w:color="000000"/>
          <w:rtl w:val="0"/>
          <w:lang w:val="en-US"/>
          <w14:textFill>
            <w14:solidFill>
              <w14:srgbClr w14:val="000000"/>
            </w14:solidFill>
          </w14:textFill>
        </w:rPr>
        <w:t xml:space="preserve">— </w:t>
      </w:r>
      <w:r>
        <w:rPr>
          <w:rFonts w:ascii="Arial" w:hAnsi="Arial"/>
          <w:i w:val="1"/>
          <w:iCs w:val="1"/>
          <w:outline w:val="0"/>
          <w:color w:val="000000"/>
          <w:u w:color="000000"/>
          <w:rtl w:val="0"/>
          <w:lang w:val="en-US"/>
          <w14:textFill>
            <w14:solidFill>
              <w14:srgbClr w14:val="000000"/>
            </w14:solidFill>
          </w14:textFill>
        </w:rPr>
        <w:t>Annual Smart Grid Cybersecurity CTF Competition</w:t>
      </w:r>
      <w:r>
        <w:rPr>
          <w:rFonts w:ascii="Arial" w:hAnsi="Arial"/>
          <w:outline w:val="0"/>
          <w:color w:val="000000"/>
          <w:u w:color="000000"/>
          <w:rtl w:val="0"/>
          <w:lang w:val="en-US"/>
          <w14:textFill>
            <w14:solidFill>
              <w14:srgbClr w14:val="000000"/>
            </w14:solidFill>
          </w14:textFill>
        </w:rPr>
        <w:t xml:space="preserve"> (Months 18, 30): An annual Capture-the-Flag competition focused exclusively on smart grid and ICS security scenarios, hosted on the cyber range infrastructure developed in WP4. Year 1 competition (Month 18) targets enrolled students; Year 2 competition (Month 30) is opened to students from all Ukrainian HEIs and energy sector trainees, establishing AI-SmartGrid as a national focal point for energy cybersecurity education.</w:t>
      </w:r>
    </w:p>
    <w:p>
      <w:pPr>
        <w:pStyle w:val="Body"/>
        <w:spacing w:after="120"/>
      </w:pPr>
      <w:r>
        <w:rPr>
          <w:rFonts w:ascii="Arial" w:hAnsi="Arial"/>
          <w:i w:val="1"/>
          <w:iCs w:val="1"/>
          <w:outline w:val="0"/>
          <w:color w:val="000000"/>
          <w:u w:color="000000"/>
          <w:rtl w:val="0"/>
          <w:lang w:val="en-US"/>
          <w14:textFill>
            <w14:solidFill>
              <w14:srgbClr w14:val="000000"/>
            </w14:solidFill>
          </w14:textFill>
        </w:rPr>
        <w:t xml:space="preserve">Activity 3.4 </w:t>
      </w:r>
      <w:r>
        <w:rPr>
          <w:rFonts w:ascii="Arial" w:hAnsi="Arial" w:hint="default"/>
          <w:i w:val="1"/>
          <w:iCs w:val="1"/>
          <w:outline w:val="0"/>
          <w:color w:val="000000"/>
          <w:u w:color="000000"/>
          <w:rtl w:val="0"/>
          <w:lang w:val="en-US"/>
          <w14:textFill>
            <w14:solidFill>
              <w14:srgbClr w14:val="000000"/>
            </w14:solidFill>
          </w14:textFill>
        </w:rPr>
        <w:t xml:space="preserve">— </w:t>
      </w:r>
      <w:r>
        <w:rPr>
          <w:rFonts w:ascii="Arial" w:hAnsi="Arial"/>
          <w:i w:val="1"/>
          <w:iCs w:val="1"/>
          <w:outline w:val="0"/>
          <w:color w:val="000000"/>
          <w:u w:color="000000"/>
          <w:rtl w:val="0"/>
          <w:lang w:val="en-US"/>
          <w14:textFill>
            <w14:solidFill>
              <w14:srgbClr w14:val="000000"/>
            </w14:solidFill>
          </w14:textFill>
        </w:rPr>
        <w:t>Red Team / Blue Team Grid Defence Exercises</w:t>
      </w:r>
      <w:r>
        <w:rPr>
          <w:rFonts w:ascii="Arial" w:hAnsi="Arial"/>
          <w:outline w:val="0"/>
          <w:color w:val="000000"/>
          <w:u w:color="000000"/>
          <w:rtl w:val="0"/>
          <w:lang w:val="en-US"/>
          <w14:textFill>
            <w14:solidFill>
              <w14:srgbClr w14:val="000000"/>
            </w14:solidFill>
          </w14:textFill>
        </w:rPr>
        <w:t xml:space="preserve"> (Months 21, 33): Structured 2-day exercises in which student teams alternate between attacking (Red) and defending (Blue) a simulated grid segment in the cyber range. Attack scenarios include: replication of Industroyer communication protocol exploitation; spear-phishing targeting grid operator credentials; firmware manipulation of RTUs; AI model poisoning attacks on load forecasting systems. Exercises are supervised by NTNU CCIS faculty and conducted under strict ethical protocols.</w:t>
      </w:r>
    </w:p>
    <w:p>
      <w:pPr>
        <w:pStyle w:val="Body"/>
        <w:spacing w:after="120"/>
      </w:pPr>
      <w:r>
        <w:rPr>
          <w:rFonts w:ascii="Arial" w:hAnsi="Arial"/>
          <w:b w:val="1"/>
          <w:bCs w:val="1"/>
          <w:outline w:val="0"/>
          <w:color w:val="000000"/>
          <w:u w:color="000000"/>
          <w:rtl w:val="0"/>
          <w:lang w:val="en-US"/>
          <w14:textFill>
            <w14:solidFill>
              <w14:srgbClr w14:val="000000"/>
            </w14:solidFill>
          </w14:textFill>
        </w:rPr>
        <w:t>WP4: Smart Grid Cybersecurity Living Lab (Months 1</w:t>
      </w:r>
      <w:r>
        <w:rPr>
          <w:rFonts w:ascii="Arial" w:hAnsi="Arial" w:hint="default"/>
          <w:b w:val="1"/>
          <w:bCs w:val="1"/>
          <w:outline w:val="0"/>
          <w:color w:val="000000"/>
          <w:u w:color="000000"/>
          <w:rtl w:val="0"/>
          <w:lang w:val="en-US"/>
          <w14:textFill>
            <w14:solidFill>
              <w14:srgbClr w14:val="000000"/>
            </w14:solidFill>
          </w14:textFill>
        </w:rPr>
        <w:t>–</w:t>
      </w:r>
      <w:r>
        <w:rPr>
          <w:rFonts w:ascii="Arial" w:hAnsi="Arial"/>
          <w:b w:val="1"/>
          <w:bCs w:val="1"/>
          <w:outline w:val="0"/>
          <w:color w:val="000000"/>
          <w:u w:color="000000"/>
          <w:rtl w:val="0"/>
          <w:lang w:val="de-DE"/>
          <w14:textFill>
            <w14:solidFill>
              <w14:srgbClr w14:val="000000"/>
            </w14:solidFill>
          </w14:textFill>
        </w:rPr>
        <w:t>28, Lead: ZNU; Co-lead: NTNU)</w:t>
      </w:r>
    </w:p>
    <w:p>
      <w:pPr>
        <w:pStyle w:val="Body"/>
        <w:spacing w:after="120"/>
      </w:pPr>
      <w:r>
        <w:rPr>
          <w:rFonts w:ascii="Arial" w:hAnsi="Arial"/>
          <w:i w:val="1"/>
          <w:iCs w:val="1"/>
          <w:outline w:val="0"/>
          <w:color w:val="000000"/>
          <w:u w:color="000000"/>
          <w:rtl w:val="0"/>
          <w:lang w:val="en-US"/>
          <w14:textFill>
            <w14:solidFill>
              <w14:srgbClr w14:val="000000"/>
            </w14:solidFill>
          </w14:textFill>
        </w:rPr>
        <w:t xml:space="preserve">Activity 4.1 </w:t>
      </w:r>
      <w:r>
        <w:rPr>
          <w:rFonts w:ascii="Arial" w:hAnsi="Arial" w:hint="default"/>
          <w:i w:val="1"/>
          <w:iCs w:val="1"/>
          <w:outline w:val="0"/>
          <w:color w:val="000000"/>
          <w:u w:color="000000"/>
          <w:rtl w:val="0"/>
          <w:lang w:val="en-US"/>
          <w14:textFill>
            <w14:solidFill>
              <w14:srgbClr w14:val="000000"/>
            </w14:solidFill>
          </w14:textFill>
        </w:rPr>
        <w:t xml:space="preserve">— </w:t>
      </w:r>
      <w:r>
        <w:rPr>
          <w:rFonts w:ascii="Arial" w:hAnsi="Arial"/>
          <w:i w:val="1"/>
          <w:iCs w:val="1"/>
          <w:outline w:val="0"/>
          <w:color w:val="000000"/>
          <w:u w:color="000000"/>
          <w:rtl w:val="0"/>
          <w:lang w:val="en-US"/>
          <w14:textFill>
            <w14:solidFill>
              <w14:srgbClr w14:val="000000"/>
            </w14:solidFill>
          </w14:textFill>
        </w:rPr>
        <w:t>Living Lab Design and Procurement</w:t>
      </w:r>
      <w:r>
        <w:rPr>
          <w:rFonts w:ascii="Arial" w:hAnsi="Arial"/>
          <w:outline w:val="0"/>
          <w:color w:val="000000"/>
          <w:u w:color="000000"/>
          <w:rtl w:val="0"/>
          <w:lang w:val="en-US"/>
          <w14:textFill>
            <w14:solidFill>
              <w14:srgbClr w14:val="000000"/>
            </w14:solidFill>
          </w14:textFill>
        </w:rPr>
        <w:t xml:space="preserve"> (Months 1</w:t>
      </w:r>
      <w:r>
        <w:rPr>
          <w:rFonts w:ascii="Arial" w:hAnsi="Arial" w:hint="default"/>
          <w:outline w:val="0"/>
          <w:color w:val="000000"/>
          <w:u w:color="000000"/>
          <w:rtl w:val="0"/>
          <w:lang w:val="en-US"/>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10): Joint NTNU-ZNU team designs the Living Lab architecture. Core components: (a) Hardware-in-the-loop simulation platform (real-time simulator, e.g., OPAL-RT or RTDS-compatible open alternative) connected to physical IED/RTU devices; (b) Cyber range network layer replicating SCADA/ICS communication architectures (Modbus, DNP3, IEC 61850); (c) AI processing cluster leveraging ZNU's HPC laboratory for model training; (d) Azure cloud integration for remote access by NTNU and UP2. Equipment procurement completed by Month 10 (well within the 12-month-before-end requirement). Milestone M4.1: Equipment installed and integrated (Month 14).</w:t>
      </w:r>
    </w:p>
    <w:p>
      <w:pPr>
        <w:pStyle w:val="Body"/>
        <w:spacing w:after="120"/>
      </w:pPr>
      <w:r>
        <w:rPr>
          <w:rFonts w:ascii="Arial" w:hAnsi="Arial"/>
          <w:i w:val="1"/>
          <w:iCs w:val="1"/>
          <w:outline w:val="0"/>
          <w:color w:val="000000"/>
          <w:u w:color="000000"/>
          <w:rtl w:val="0"/>
          <w:lang w:val="en-US"/>
          <w14:textFill>
            <w14:solidFill>
              <w14:srgbClr w14:val="000000"/>
            </w14:solidFill>
          </w14:textFill>
        </w:rPr>
        <w:t xml:space="preserve">Activity 4.2 </w:t>
      </w:r>
      <w:r>
        <w:rPr>
          <w:rFonts w:ascii="Arial" w:hAnsi="Arial" w:hint="default"/>
          <w:i w:val="1"/>
          <w:iCs w:val="1"/>
          <w:outline w:val="0"/>
          <w:color w:val="000000"/>
          <w:u w:color="000000"/>
          <w:rtl w:val="0"/>
          <w:lang w:val="en-US"/>
          <w14:textFill>
            <w14:solidFill>
              <w14:srgbClr w14:val="000000"/>
            </w14:solidFill>
          </w14:textFill>
        </w:rPr>
        <w:t xml:space="preserve">— </w:t>
      </w:r>
      <w:r>
        <w:rPr>
          <w:rFonts w:ascii="Arial" w:hAnsi="Arial"/>
          <w:i w:val="1"/>
          <w:iCs w:val="1"/>
          <w:outline w:val="0"/>
          <w:color w:val="000000"/>
          <w:u w:color="000000"/>
          <w:rtl w:val="0"/>
          <w:lang w:val="en-US"/>
          <w14:textFill>
            <w14:solidFill>
              <w14:srgbClr w14:val="000000"/>
            </w14:solidFill>
          </w14:textFill>
        </w:rPr>
        <w:t>Digital Twin Development</w:t>
      </w:r>
      <w:r>
        <w:rPr>
          <w:rFonts w:ascii="Arial" w:hAnsi="Arial"/>
          <w:outline w:val="0"/>
          <w:color w:val="000000"/>
          <w:u w:color="000000"/>
          <w:rtl w:val="0"/>
          <w:lang w:val="en-US"/>
          <w14:textFill>
            <w14:solidFill>
              <w14:srgbClr w14:val="000000"/>
            </w14:solidFill>
          </w14:textFill>
        </w:rPr>
        <w:t xml:space="preserve"> (Months 10</w:t>
      </w:r>
      <w:r>
        <w:rPr>
          <w:rFonts w:ascii="Arial" w:hAnsi="Arial" w:hint="default"/>
          <w:outline w:val="0"/>
          <w:color w:val="000000"/>
          <w:u w:color="000000"/>
          <w:rtl w:val="0"/>
          <w:lang w:val="en-US"/>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22): Development of a validated digital twin of a representative Ukrainian 110/35 kV distribution grid segment, incorporating: renewable energy sources (consistent with ZNU's solar data); automated switching and protection systems; AMI communication layer; SCADA supervisory layer. Twin validated against ZNU's operational solar plant data. The twin is designed for dual use: engineering fault simulation and cybersecurity attack-defence exercises.</w:t>
      </w:r>
    </w:p>
    <w:p>
      <w:pPr>
        <w:pStyle w:val="Body"/>
        <w:spacing w:after="120"/>
      </w:pPr>
      <w:r>
        <w:rPr>
          <w:rFonts w:ascii="Arial" w:hAnsi="Arial"/>
          <w:i w:val="1"/>
          <w:iCs w:val="1"/>
          <w:outline w:val="0"/>
          <w:color w:val="000000"/>
          <w:u w:color="000000"/>
          <w:rtl w:val="0"/>
          <w:lang w:val="en-US"/>
          <w14:textFill>
            <w14:solidFill>
              <w14:srgbClr w14:val="000000"/>
            </w14:solidFill>
          </w14:textFill>
        </w:rPr>
        <w:t xml:space="preserve">Activity 4.3 </w:t>
      </w:r>
      <w:r>
        <w:rPr>
          <w:rFonts w:ascii="Arial" w:hAnsi="Arial" w:hint="default"/>
          <w:i w:val="1"/>
          <w:iCs w:val="1"/>
          <w:outline w:val="0"/>
          <w:color w:val="000000"/>
          <w:u w:color="000000"/>
          <w:rtl w:val="0"/>
          <w:lang w:val="en-US"/>
          <w14:textFill>
            <w14:solidFill>
              <w14:srgbClr w14:val="000000"/>
            </w14:solidFill>
          </w14:textFill>
        </w:rPr>
        <w:t xml:space="preserve">— </w:t>
      </w:r>
      <w:r>
        <w:rPr>
          <w:rFonts w:ascii="Arial" w:hAnsi="Arial"/>
          <w:i w:val="1"/>
          <w:iCs w:val="1"/>
          <w:outline w:val="0"/>
          <w:color w:val="000000"/>
          <w:u w:color="000000"/>
          <w:rtl w:val="0"/>
          <w:lang w:val="en-US"/>
          <w14:textFill>
            <w14:solidFill>
              <w14:srgbClr w14:val="000000"/>
            </w14:solidFill>
          </w14:textFill>
        </w:rPr>
        <w:t>Attack Scenario Library Development</w:t>
      </w:r>
      <w:r>
        <w:rPr>
          <w:rFonts w:ascii="Arial" w:hAnsi="Arial"/>
          <w:outline w:val="0"/>
          <w:color w:val="000000"/>
          <w:u w:color="000000"/>
          <w:rtl w:val="0"/>
          <w:lang w:val="en-US"/>
          <w14:textFill>
            <w14:solidFill>
              <w14:srgbClr w14:val="000000"/>
            </w14:solidFill>
          </w14:textFill>
        </w:rPr>
        <w:t xml:space="preserve"> (Months 16</w:t>
      </w:r>
      <w:r>
        <w:rPr>
          <w:rFonts w:ascii="Arial" w:hAnsi="Arial" w:hint="default"/>
          <w:outline w:val="0"/>
          <w:color w:val="000000"/>
          <w:u w:color="000000"/>
          <w:rtl w:val="0"/>
          <w:lang w:val="en-US"/>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28): Creation of a library of 15+ documented attack scenarios based on publicly available technical analyses of Industroyer, Industroyer2, and comparable ICS attacks, adapted for pedagogical use in the Living Lab. Each scenario includes: attack vector description; indicators of compromise; detection methodology; response procedure. Published as OER under Creative Commons licence.</w:t>
      </w:r>
    </w:p>
    <w:p>
      <w:pPr>
        <w:pStyle w:val="Body"/>
        <w:spacing w:after="120"/>
      </w:pPr>
      <w:r>
        <w:rPr>
          <w:rFonts w:ascii="Arial" w:hAnsi="Arial"/>
          <w:b w:val="1"/>
          <w:bCs w:val="1"/>
          <w:outline w:val="0"/>
          <w:color w:val="000000"/>
          <w:u w:color="000000"/>
          <w:rtl w:val="0"/>
          <w:lang w:val="en-US"/>
          <w14:textFill>
            <w14:solidFill>
              <w14:srgbClr w14:val="000000"/>
            </w14:solidFill>
          </w14:textFill>
        </w:rPr>
        <w:t>WP5: Dissemination, Policy Engagement, and National Scaling (Months 6</w:t>
      </w:r>
      <w:r>
        <w:rPr>
          <w:rFonts w:ascii="Arial" w:hAnsi="Arial" w:hint="default"/>
          <w:b w:val="1"/>
          <w:bCs w:val="1"/>
          <w:outline w:val="0"/>
          <w:color w:val="000000"/>
          <w:u w:color="000000"/>
          <w:rtl w:val="0"/>
          <w:lang w:val="en-US"/>
          <w14:textFill>
            <w14:solidFill>
              <w14:srgbClr w14:val="000000"/>
            </w14:solidFill>
          </w14:textFill>
        </w:rPr>
        <w:t>–</w:t>
      </w:r>
      <w:r>
        <w:rPr>
          <w:rFonts w:ascii="Arial" w:hAnsi="Arial"/>
          <w:b w:val="1"/>
          <w:bCs w:val="1"/>
          <w:outline w:val="0"/>
          <w:color w:val="000000"/>
          <w:u w:color="000000"/>
          <w:rtl w:val="0"/>
          <w14:textFill>
            <w14:solidFill>
              <w14:srgbClr w14:val="000000"/>
            </w14:solidFill>
          </w14:textFill>
        </w:rPr>
        <w:t>36, Lead: NTNU; Co-lead: ZNU, UP2)</w:t>
      </w:r>
    </w:p>
    <w:p>
      <w:pPr>
        <w:pStyle w:val="Body"/>
        <w:spacing w:after="120"/>
      </w:pPr>
      <w:r>
        <w:rPr>
          <w:rFonts w:ascii="Arial" w:hAnsi="Arial"/>
          <w:i w:val="1"/>
          <w:iCs w:val="1"/>
          <w:outline w:val="0"/>
          <w:color w:val="000000"/>
          <w:u w:color="000000"/>
          <w:rtl w:val="0"/>
          <w:lang w:val="en-US"/>
          <w14:textFill>
            <w14:solidFill>
              <w14:srgbClr w14:val="000000"/>
            </w14:solidFill>
          </w14:textFill>
        </w:rPr>
        <w:t xml:space="preserve">Activity 5.1 </w:t>
      </w:r>
      <w:r>
        <w:rPr>
          <w:rFonts w:ascii="Arial" w:hAnsi="Arial" w:hint="default"/>
          <w:i w:val="1"/>
          <w:iCs w:val="1"/>
          <w:outline w:val="0"/>
          <w:color w:val="000000"/>
          <w:u w:color="000000"/>
          <w:rtl w:val="0"/>
          <w:lang w:val="en-US"/>
          <w14:textFill>
            <w14:solidFill>
              <w14:srgbClr w14:val="000000"/>
            </w14:solidFill>
          </w14:textFill>
        </w:rPr>
        <w:t xml:space="preserve">— </w:t>
      </w:r>
      <w:r>
        <w:rPr>
          <w:rFonts w:ascii="Arial" w:hAnsi="Arial"/>
          <w:i w:val="1"/>
          <w:iCs w:val="1"/>
          <w:outline w:val="0"/>
          <w:color w:val="000000"/>
          <w:u w:color="000000"/>
          <w:rtl w:val="0"/>
          <w:lang w:val="en-US"/>
          <w14:textFill>
            <w14:solidFill>
              <w14:srgbClr w14:val="000000"/>
            </w14:solidFill>
          </w14:textFill>
        </w:rPr>
        <w:t>National Stakeholder Workshops</w:t>
      </w:r>
      <w:r>
        <w:rPr>
          <w:rFonts w:ascii="Arial" w:hAnsi="Arial"/>
          <w:outline w:val="0"/>
          <w:color w:val="000000"/>
          <w:u w:color="000000"/>
          <w:rtl w:val="0"/>
          <w:lang w:val="en-US"/>
          <w14:textFill>
            <w14:solidFill>
              <w14:srgbClr w14:val="000000"/>
            </w14:solidFill>
          </w14:textFill>
        </w:rPr>
        <w:t xml:space="preserve"> (Months 12, 24, 36): Three annual workshops (hosted alternately at ZNU and online) engaging CERT-UA, the National Cybersecurity Coordination Centre, Ukrenergo, regional distribution companies (oblenergo), and the Ministry of Energy. Workshop outputs include: gap analysis of national OT cybersecurity workforce; recommendations for integrating AI-SmartGrid curricula across additional Ukrainian HEIs; policy briefs for alignment with NIS2 transposition.</w:t>
      </w:r>
    </w:p>
    <w:p>
      <w:pPr>
        <w:pStyle w:val="Body"/>
        <w:spacing w:after="120"/>
      </w:pPr>
      <w:r>
        <w:rPr>
          <w:rFonts w:ascii="Arial" w:hAnsi="Arial"/>
          <w:i w:val="1"/>
          <w:iCs w:val="1"/>
          <w:outline w:val="0"/>
          <w:color w:val="000000"/>
          <w:u w:color="000000"/>
          <w:rtl w:val="0"/>
          <w:lang w:val="en-US"/>
          <w14:textFill>
            <w14:solidFill>
              <w14:srgbClr w14:val="000000"/>
            </w14:solidFill>
          </w14:textFill>
        </w:rPr>
        <w:t xml:space="preserve">Activity 5.2 </w:t>
      </w:r>
      <w:r>
        <w:rPr>
          <w:rFonts w:ascii="Arial" w:hAnsi="Arial" w:hint="default"/>
          <w:i w:val="1"/>
          <w:iCs w:val="1"/>
          <w:outline w:val="0"/>
          <w:color w:val="000000"/>
          <w:u w:color="000000"/>
          <w:rtl w:val="0"/>
          <w:lang w:val="en-US"/>
          <w14:textFill>
            <w14:solidFill>
              <w14:srgbClr w14:val="000000"/>
            </w14:solidFill>
          </w14:textFill>
        </w:rPr>
        <w:t xml:space="preserve">— </w:t>
      </w:r>
      <w:r>
        <w:rPr>
          <w:rFonts w:ascii="Arial" w:hAnsi="Arial"/>
          <w:i w:val="1"/>
          <w:iCs w:val="1"/>
          <w:outline w:val="0"/>
          <w:color w:val="000000"/>
          <w:u w:color="000000"/>
          <w:rtl w:val="0"/>
          <w:lang w:val="en-US"/>
          <w14:textFill>
            <w14:solidFill>
              <w14:srgbClr w14:val="000000"/>
            </w14:solidFill>
          </w14:textFill>
        </w:rPr>
        <w:t>Open Educational Resources Publication</w:t>
      </w:r>
      <w:r>
        <w:rPr>
          <w:rFonts w:ascii="Arial" w:hAnsi="Arial"/>
          <w:outline w:val="0"/>
          <w:color w:val="000000"/>
          <w:u w:color="000000"/>
          <w:rtl w:val="0"/>
          <w:lang w:val="en-US"/>
          <w14:textFill>
            <w14:solidFill>
              <w14:srgbClr w14:val="000000"/>
            </w14:solidFill>
          </w14:textFill>
        </w:rPr>
        <w:t xml:space="preserve"> (Months 20</w:t>
      </w:r>
      <w:r>
        <w:rPr>
          <w:rFonts w:ascii="Arial" w:hAnsi="Arial" w:hint="default"/>
          <w:outline w:val="0"/>
          <w:color w:val="000000"/>
          <w:u w:color="000000"/>
          <w:rtl w:val="0"/>
          <w:lang w:val="en-US"/>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36): All three curriculum modules, the attack scenario library, and WP3 exercise materials published as OER on NTNU Open and ZNU's institutional repository, translated into Ukrainian language to maximise accessibility.</w:t>
      </w:r>
    </w:p>
    <w:p>
      <w:pPr>
        <w:pStyle w:val="Body"/>
        <w:spacing w:after="120"/>
      </w:pPr>
      <w:r>
        <w:rPr>
          <w:rFonts w:ascii="Arial" w:hAnsi="Arial"/>
          <w:i w:val="1"/>
          <w:iCs w:val="1"/>
          <w:outline w:val="0"/>
          <w:color w:val="000000"/>
          <w:u w:color="000000"/>
          <w:rtl w:val="0"/>
          <w:lang w:val="en-US"/>
          <w14:textFill>
            <w14:solidFill>
              <w14:srgbClr w14:val="000000"/>
            </w14:solidFill>
          </w14:textFill>
        </w:rPr>
        <w:t xml:space="preserve">Activity 5.3 </w:t>
      </w:r>
      <w:r>
        <w:rPr>
          <w:rFonts w:ascii="Arial" w:hAnsi="Arial" w:hint="default"/>
          <w:i w:val="1"/>
          <w:iCs w:val="1"/>
          <w:outline w:val="0"/>
          <w:color w:val="000000"/>
          <w:u w:color="000000"/>
          <w:rtl w:val="0"/>
          <w:lang w:val="en-US"/>
          <w14:textFill>
            <w14:solidFill>
              <w14:srgbClr w14:val="000000"/>
            </w14:solidFill>
          </w14:textFill>
        </w:rPr>
        <w:t xml:space="preserve">— </w:t>
      </w:r>
      <w:r>
        <w:rPr>
          <w:rFonts w:ascii="Arial" w:hAnsi="Arial"/>
          <w:i w:val="1"/>
          <w:iCs w:val="1"/>
          <w:outline w:val="0"/>
          <w:color w:val="000000"/>
          <w:u w:color="000000"/>
          <w:rtl w:val="0"/>
          <w:lang w:val="it-IT"/>
          <w14:textFill>
            <w14:solidFill>
              <w14:srgbClr w14:val="000000"/>
            </w14:solidFill>
          </w14:textFill>
        </w:rPr>
        <w:t>Academic Dissemination</w:t>
      </w:r>
      <w:r>
        <w:rPr>
          <w:rFonts w:ascii="Arial" w:hAnsi="Arial"/>
          <w:outline w:val="0"/>
          <w:color w:val="000000"/>
          <w:u w:color="000000"/>
          <w:rtl w:val="0"/>
          <w:lang w:val="en-US"/>
          <w14:textFill>
            <w14:solidFill>
              <w14:srgbClr w14:val="000000"/>
            </w14:solidFill>
          </w14:textFill>
        </w:rPr>
        <w:t xml:space="preserve"> (Months 18</w:t>
      </w:r>
      <w:r>
        <w:rPr>
          <w:rFonts w:ascii="Arial" w:hAnsi="Arial" w:hint="default"/>
          <w:outline w:val="0"/>
          <w:color w:val="000000"/>
          <w:u w:color="000000"/>
          <w:rtl w:val="0"/>
          <w:lang w:val="en-US"/>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36): Minimum 8 peer-reviewed publications in journals such as IEEE Transactions on Smart Grid, IEEE Security &amp; Privacy, International Journal of Critical Infrastructure Protection, and Energies (MDPI). Minimum 4 conference presentations at IEEE SmartGridComm, CRITIS, or equivalent.</w:t>
      </w:r>
    </w:p>
    <w:p>
      <w:pPr>
        <w:pStyle w:val="Body"/>
        <w:spacing w:after="120"/>
      </w:pPr>
      <w:r>
        <w:rPr>
          <w:rFonts w:ascii="Arial" w:hAnsi="Arial"/>
          <w:b w:val="1"/>
          <w:bCs w:val="1"/>
          <w:outline w:val="0"/>
          <w:color w:val="000000"/>
          <w:u w:color="000000"/>
          <w:rtl w:val="0"/>
          <w:lang w:val="da-DK"/>
          <w14:textFill>
            <w14:solidFill>
              <w14:srgbClr w14:val="000000"/>
            </w14:solidFill>
          </w14:textFill>
        </w:rPr>
        <w:t>Timeline Summary</w:t>
      </w:r>
    </w:p>
    <w:p>
      <w:pPr>
        <w:pStyle w:val="Body"/>
        <w:spacing w:after="120"/>
      </w:pPr>
      <w:r>
        <w:rPr>
          <w:rFonts w:ascii="Arial" w:hAnsi="Arial"/>
          <w:outline w:val="0"/>
          <w:color w:val="000000"/>
          <w:u w:color="000000"/>
          <w:rtl w:val="0"/>
          <w:lang w:val="en-US"/>
          <w14:textFill>
            <w14:solidFill>
              <w14:srgbClr w14:val="000000"/>
            </w14:solidFill>
          </w14:textFill>
        </w:rPr>
        <w:t>Year 1 (Months 1</w:t>
      </w:r>
      <w:r>
        <w:rPr>
          <w:rFonts w:ascii="Arial" w:hAnsi="Arial" w:hint="default"/>
          <w:outline w:val="0"/>
          <w:color w:val="000000"/>
          <w:u w:color="000000"/>
          <w:rtl w:val="0"/>
          <w:lang w:val="en-US"/>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12): WP1 needs analysis and module development; WP4 Living Lab procurement and setup; WP2 first NTNU training week; WP5 first stakeholder workshop. Year 2 (Months 13</w:t>
      </w:r>
      <w:r>
        <w:rPr>
          <w:rFonts w:ascii="Arial" w:hAnsi="Arial" w:hint="default"/>
          <w:outline w:val="0"/>
          <w:color w:val="000000"/>
          <w:u w:color="000000"/>
          <w:rtl w:val="0"/>
          <w:lang w:val="en-US"/>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24): WP1 module piloting and accreditation; WP2 second training week and CCIS immersion; WP3 first student exchanges and CTF; WP4 digital twin completion; WP5 second stakeholder workshop. Year 3 (Months 25</w:t>
      </w:r>
      <w:r>
        <w:rPr>
          <w:rFonts w:ascii="Arial" w:hAnsi="Arial" w:hint="default"/>
          <w:outline w:val="0"/>
          <w:color w:val="000000"/>
          <w:u w:color="000000"/>
          <w:rtl w:val="0"/>
          <w:lang w:val="en-US"/>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36): WP1 full student cohort enrolled; WP3 second CTF and red/blue exercises; WP4 attack scenario library completed; WP5 OER publication, policy briefs, third stakeholder workshop, academic publications.</w:t>
      </w:r>
    </w:p>
    <w:p>
      <w:pPr>
        <w:pStyle w:val="No Spacing"/>
      </w:pPr>
    </w:p>
    <w:p>
      <w:pPr>
        <w:pStyle w:val="No Spacing"/>
      </w:pPr>
    </w:p>
    <w:p>
      <w:pPr>
        <w:pStyle w:val="No Spacing"/>
      </w:pPr>
    </w:p>
    <w:p>
      <w:pPr>
        <w:pStyle w:val="No Spacing"/>
        <w:rPr>
          <w:b w:val="1"/>
          <w:bCs w:val="1"/>
        </w:rPr>
      </w:pPr>
      <w:r>
        <w:rPr>
          <w:b w:val="1"/>
          <w:bCs w:val="1"/>
          <w:rtl w:val="0"/>
          <w:lang w:val="en-US"/>
        </w:rPr>
        <w:t>2.2</w:t>
        <w:tab/>
        <w:t>Risk factors in the project and measures to reduce them</w:t>
      </w:r>
    </w:p>
    <w:p>
      <w:pPr>
        <w:pStyle w:val="No Spacing"/>
      </w:pPr>
    </w:p>
    <w:p>
      <w:pPr>
        <w:pStyle w:val="No Spacing"/>
      </w:pPr>
    </w:p>
    <w:p>
      <w:pPr>
        <w:pStyle w:val="No Spacing"/>
      </w:pPr>
    </w:p>
    <w:p>
      <w:pPr>
        <w:pStyle w:val="Body"/>
        <w:spacing w:after="120"/>
      </w:pPr>
      <w:r>
        <w:rPr>
          <w:rFonts w:ascii="Arial" w:hAnsi="Arial"/>
          <w:outline w:val="0"/>
          <w:color w:val="000000"/>
          <w:u w:color="000000"/>
          <w:rtl w:val="0"/>
          <w:lang w:val="en-US"/>
          <w14:textFill>
            <w14:solidFill>
              <w14:srgbClr w14:val="000000"/>
            </w14:solidFill>
          </w14:textFill>
        </w:rPr>
        <w:t>A systematic risk assessment has been conducted covering security, corruption, environmental, gender, human rights, SEAH, and cybersecurity-specific dimensions. For each identified risk, likelihood (L: 1</w:t>
      </w:r>
      <w:r>
        <w:rPr>
          <w:rFonts w:ascii="Arial" w:hAnsi="Arial" w:hint="default"/>
          <w:outline w:val="0"/>
          <w:color w:val="000000"/>
          <w:u w:color="000000"/>
          <w:rtl w:val="0"/>
          <w:lang w:val="en-US"/>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3), impact (I: 1</w:t>
      </w:r>
      <w:r>
        <w:rPr>
          <w:rFonts w:ascii="Arial" w:hAnsi="Arial" w:hint="default"/>
          <w:outline w:val="0"/>
          <w:color w:val="000000"/>
          <w:u w:color="000000"/>
          <w:rtl w:val="0"/>
          <w:lang w:val="en-US"/>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3), and mitigation measures are specified.</w:t>
      </w:r>
    </w:p>
    <w:p>
      <w:pPr>
        <w:pStyle w:val="Body"/>
        <w:spacing w:after="120"/>
      </w:pPr>
      <w:r>
        <w:rPr>
          <w:rFonts w:ascii="Arial" w:hAnsi="Arial"/>
          <w:b w:val="1"/>
          <w:bCs w:val="1"/>
          <w:outline w:val="0"/>
          <w:color w:val="000000"/>
          <w:u w:color="000000"/>
          <w:rtl w:val="0"/>
          <w:lang w:val="en-US"/>
          <w14:textFill>
            <w14:solidFill>
              <w14:srgbClr w14:val="000000"/>
            </w14:solidFill>
          </w14:textFill>
        </w:rPr>
        <w:t xml:space="preserve">1. Security Risks </w:t>
      </w:r>
      <w:r>
        <w:rPr>
          <w:rFonts w:ascii="Arial" w:hAnsi="Arial" w:hint="default"/>
          <w:b w:val="1"/>
          <w:bCs w:val="1"/>
          <w:outline w:val="0"/>
          <w:color w:val="000000"/>
          <w:u w:color="000000"/>
          <w:rtl w:val="0"/>
          <w:lang w:val="en-US"/>
          <w14:textFill>
            <w14:solidFill>
              <w14:srgbClr w14:val="000000"/>
            </w14:solidFill>
          </w14:textFill>
        </w:rPr>
        <w:t xml:space="preserve">— </w:t>
      </w:r>
      <w:r>
        <w:rPr>
          <w:rFonts w:ascii="Arial" w:hAnsi="Arial"/>
          <w:b w:val="1"/>
          <w:bCs w:val="1"/>
          <w:outline w:val="0"/>
          <w:color w:val="000000"/>
          <w:u w:color="000000"/>
          <w:rtl w:val="0"/>
          <w:lang w:val="en-US"/>
          <w14:textFill>
            <w14:solidFill>
              <w14:srgbClr w14:val="000000"/>
            </w14:solidFill>
          </w14:textFill>
        </w:rPr>
        <w:t xml:space="preserve">Conflict Zone Operations (L:3, I:3 </w:t>
      </w:r>
      <w:r>
        <w:rPr>
          <w:rFonts w:ascii="Arial" w:hAnsi="Arial" w:hint="default"/>
          <w:b w:val="1"/>
          <w:bCs w:val="1"/>
          <w:outline w:val="0"/>
          <w:color w:val="000000"/>
          <w:u w:color="000000"/>
          <w:rtl w:val="0"/>
          <w:lang w:val="en-US"/>
          <w14:textFill>
            <w14:solidFill>
              <w14:srgbClr w14:val="000000"/>
            </w14:solidFill>
          </w14:textFill>
        </w:rPr>
        <w:t xml:space="preserve">— </w:t>
      </w:r>
      <w:r>
        <w:rPr>
          <w:rFonts w:ascii="Arial" w:hAnsi="Arial"/>
          <w:b w:val="1"/>
          <w:bCs w:val="1"/>
          <w:outline w:val="0"/>
          <w:color w:val="000000"/>
          <w:u w:color="000000"/>
          <w:rtl w:val="0"/>
          <w:lang w:val="de-DE"/>
          <w14:textFill>
            <w14:solidFill>
              <w14:srgbClr w14:val="000000"/>
            </w14:solidFill>
          </w14:textFill>
        </w:rPr>
        <w:t>HIGH)</w:t>
      </w:r>
    </w:p>
    <w:p>
      <w:pPr>
        <w:pStyle w:val="Body"/>
        <w:spacing w:after="120"/>
      </w:pPr>
      <w:r>
        <w:rPr>
          <w:rFonts w:ascii="Arial" w:hAnsi="Arial"/>
          <w:outline w:val="0"/>
          <w:color w:val="000000"/>
          <w:u w:color="000000"/>
          <w:rtl w:val="0"/>
          <w:lang w:val="en-US"/>
          <w14:textFill>
            <w14:solidFill>
              <w14:srgbClr w14:val="000000"/>
            </w14:solidFill>
          </w14:textFill>
        </w:rPr>
        <w:t>Zaporizhzhia is an active frontline region subject to missile strikes, drone attacks, and energy infrastructure disruptions. ZNU has maintained operational continuity since 2022 through demonstrated resilience measures, but project activities face genuine disruption risk. Mitigation: All curriculum development, staff training design, and course delivery are structured for hybrid or fully online delivery, eliminating dependence on physical presence in Zaporizhzhia. In-person activities at ZNU are optional and subject to real-time security assessment by ZNU's institutional safety coordinator. NTNU training weeks are hosted in Trondheim, removing Ukrainian staff from conflict zone risk during intensive training periods. Living Lab equipment is specified for distributed deployment, enabling continued operation even if one campus location is temporarily non-functional through Azure cloud connectivity. All project activities have digitally-delivered backup protocols defined in advance. The consortium maintains a Security Monitoring Protocol with monthly reviews and a pre-agreed threshold for activity suspension.</w:t>
      </w:r>
    </w:p>
    <w:p>
      <w:pPr>
        <w:pStyle w:val="Body"/>
        <w:spacing w:after="120"/>
      </w:pPr>
      <w:r>
        <w:rPr>
          <w:rFonts w:ascii="Arial" w:hAnsi="Arial"/>
          <w:b w:val="1"/>
          <w:bCs w:val="1"/>
          <w:outline w:val="0"/>
          <w:color w:val="000000"/>
          <w:u w:color="000000"/>
          <w:rtl w:val="0"/>
          <w:lang w:val="en-US"/>
          <w14:textFill>
            <w14:solidFill>
              <w14:srgbClr w14:val="000000"/>
            </w14:solidFill>
          </w14:textFill>
        </w:rPr>
        <w:t xml:space="preserve">2. Anti-Corruption Risk (L:2, I:3 </w:t>
      </w:r>
      <w:r>
        <w:rPr>
          <w:rFonts w:ascii="Arial" w:hAnsi="Arial" w:hint="default"/>
          <w:b w:val="1"/>
          <w:bCs w:val="1"/>
          <w:outline w:val="0"/>
          <w:color w:val="000000"/>
          <w:u w:color="000000"/>
          <w:rtl w:val="0"/>
          <w:lang w:val="en-US"/>
          <w14:textFill>
            <w14:solidFill>
              <w14:srgbClr w14:val="000000"/>
            </w14:solidFill>
          </w14:textFill>
        </w:rPr>
        <w:t xml:space="preserve">— </w:t>
      </w:r>
      <w:r>
        <w:rPr>
          <w:rFonts w:ascii="Arial" w:hAnsi="Arial"/>
          <w:b w:val="1"/>
          <w:bCs w:val="1"/>
          <w:outline w:val="0"/>
          <w:color w:val="000000"/>
          <w:u w:color="000000"/>
          <w:rtl w:val="0"/>
          <w:lang w:val="en-US"/>
          <w14:textFill>
            <w14:solidFill>
              <w14:srgbClr w14:val="000000"/>
            </w14:solidFill>
          </w14:textFill>
        </w:rPr>
        <w:t>HIGH, Mandatory Measure)</w:t>
      </w:r>
    </w:p>
    <w:p>
      <w:pPr>
        <w:pStyle w:val="Body"/>
        <w:spacing w:after="120"/>
      </w:pPr>
      <w:r>
        <w:rPr>
          <w:rFonts w:ascii="Arial" w:hAnsi="Arial"/>
          <w:outline w:val="0"/>
          <w:color w:val="000000"/>
          <w:u w:color="000000"/>
          <w:rtl w:val="0"/>
          <w:lang w:val="en-US"/>
          <w14:textFill>
            <w14:solidFill>
              <w14:srgbClr w14:val="000000"/>
            </w14:solidFill>
          </w14:textFill>
        </w:rPr>
        <w:t>Ukraine's Corruption Perception Index score triggers mandatory anti-corruption measures. Specific risks include: procurement irregularities in equipment purchasing; scholarship disbursement misappropriation; conflicts of interest in personnel appointments. Mitigation: All procurement above EUR 5,000 follows NTNU's institutional procurement procedures, which comply with Norwegian public procurement law (Lov om offentlige anskaffelser) and require competitive tendering with documented justification. A dual-authorisation requirement applies to all financial disbursements from the Ukrainian sub-accounts. NTNU's financial controller conducts bi-annual audits of all partner expenditure with access to supporting documentation. Scholarship disbursement is processed through NTNU's established Nansen EDU administrative pathway with jointly-signed awards and direct bank transfer to student accounts. All project participants complete NTNU's online anti-corruption training module within the first month. A confidential reporting channel (administered by NTNU's ethics officer) is available to all project participants. Financial management protocols are documented in the project's Operational Manual, reviewed and signed by all partners at project inception.</w:t>
      </w:r>
    </w:p>
    <w:p>
      <w:pPr>
        <w:pStyle w:val="Body"/>
        <w:spacing w:after="120"/>
      </w:pPr>
      <w:r>
        <w:rPr>
          <w:rFonts w:ascii="Arial" w:hAnsi="Arial"/>
          <w:b w:val="1"/>
          <w:bCs w:val="1"/>
          <w:outline w:val="0"/>
          <w:color w:val="000000"/>
          <w:u w:color="000000"/>
          <w:rtl w:val="0"/>
          <w:lang w:val="en-US"/>
          <w14:textFill>
            <w14:solidFill>
              <w14:srgbClr w14:val="000000"/>
            </w14:solidFill>
          </w14:textFill>
        </w:rPr>
        <w:t xml:space="preserve">3. Cybersecurity-Specific Risks (L:2, I:3 </w:t>
      </w:r>
      <w:r>
        <w:rPr>
          <w:rFonts w:ascii="Arial" w:hAnsi="Arial" w:hint="default"/>
          <w:b w:val="1"/>
          <w:bCs w:val="1"/>
          <w:outline w:val="0"/>
          <w:color w:val="000000"/>
          <w:u w:color="000000"/>
          <w:rtl w:val="0"/>
          <w:lang w:val="en-US"/>
          <w14:textFill>
            <w14:solidFill>
              <w14:srgbClr w14:val="000000"/>
            </w14:solidFill>
          </w14:textFill>
        </w:rPr>
        <w:t xml:space="preserve">— </w:t>
      </w:r>
      <w:r>
        <w:rPr>
          <w:rFonts w:ascii="Arial" w:hAnsi="Arial"/>
          <w:b w:val="1"/>
          <w:bCs w:val="1"/>
          <w:outline w:val="0"/>
          <w:color w:val="000000"/>
          <w:u w:color="000000"/>
          <w:rtl w:val="0"/>
          <w:lang w:val="de-DE"/>
          <w14:textFill>
            <w14:solidFill>
              <w14:srgbClr w14:val="000000"/>
            </w14:solidFill>
          </w14:textFill>
        </w:rPr>
        <w:t>HIGH)</w:t>
      </w:r>
    </w:p>
    <w:p>
      <w:pPr>
        <w:pStyle w:val="Body"/>
        <w:spacing w:after="120"/>
      </w:pPr>
      <w:r>
        <w:rPr>
          <w:rFonts w:ascii="Arial" w:hAnsi="Arial"/>
          <w:outline w:val="0"/>
          <w:color w:val="000000"/>
          <w:u w:color="000000"/>
          <w:rtl w:val="0"/>
          <w:lang w:val="en-US"/>
          <w14:textFill>
            <w14:solidFill>
              <w14:srgbClr w14:val="000000"/>
            </w14:solidFill>
          </w14:textFill>
        </w:rPr>
        <w:t>The project's cybersecurity content introduces specific risks not present in standard educational projects:</w:t>
      </w:r>
    </w:p>
    <w:p>
      <w:pPr>
        <w:pStyle w:val="Body"/>
        <w:spacing w:after="80"/>
        <w:ind w:left="425" w:hanging="198"/>
      </w:pPr>
      <w:r>
        <w:rPr>
          <w:rtl w:val="0"/>
        </w:rPr>
        <w:t xml:space="preserve">– </w:t>
      </w:r>
      <w:r>
        <w:rPr>
          <w:rFonts w:ascii="Arial" w:hAnsi="Arial"/>
          <w:i w:val="1"/>
          <w:iCs w:val="1"/>
          <w:outline w:val="0"/>
          <w:color w:val="000000"/>
          <w:u w:color="000000"/>
          <w:rtl w:val="0"/>
          <w:lang w:val="en-US"/>
          <w14:textFill>
            <w14:solidFill>
              <w14:srgbClr w14:val="000000"/>
            </w14:solidFill>
          </w14:textFill>
        </w:rPr>
        <w:t>Dual-use risk for offensive security training</w:t>
      </w:r>
      <w:r>
        <w:rPr>
          <w:rFonts w:ascii="Arial" w:hAnsi="Arial"/>
          <w:outline w:val="0"/>
          <w:color w:val="000000"/>
          <w:u w:color="000000"/>
          <w:rtl w:val="0"/>
          <w:lang w:val="en-US"/>
          <w14:textFill>
            <w14:solidFill>
              <w14:srgbClr w14:val="000000"/>
            </w14:solidFill>
          </w14:textFill>
        </w:rPr>
        <w:t xml:space="preserve">: Hands-on instruction in cyberattack techniques (red team exercises, Industroyer scenario replication) could theoretically provide capabilities misusable outside educational contexts. Mitigation: All offensive exercises are conducted exclusively within the isolated cyber range environment with no external network connectivity. Participation is restricted to enrolled students and registered professionals with signed ethical use agreements. NTNU CCIS's established ethical frameworks for offensive security research, developed over years of responsible disclosure practice, are applied directly. Attack scenario library content is based exclusively on publicly documented incidents (ESET, Dragos, CISA advisories)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no novel attack development.</w:t>
      </w:r>
    </w:p>
    <w:p>
      <w:pPr>
        <w:pStyle w:val="Body"/>
        <w:spacing w:after="80"/>
        <w:ind w:left="425" w:hanging="198"/>
      </w:pPr>
      <w:r>
        <w:rPr>
          <w:rtl w:val="0"/>
        </w:rPr>
        <w:t xml:space="preserve">– </w:t>
      </w:r>
      <w:r>
        <w:rPr>
          <w:rFonts w:ascii="Arial" w:hAnsi="Arial"/>
          <w:i w:val="1"/>
          <w:iCs w:val="1"/>
          <w:outline w:val="0"/>
          <w:color w:val="000000"/>
          <w:u w:color="000000"/>
          <w:rtl w:val="0"/>
          <w:lang w:val="en-US"/>
          <w14:textFill>
            <w14:solidFill>
              <w14:srgbClr w14:val="000000"/>
            </w14:solidFill>
          </w14:textFill>
        </w:rPr>
        <w:t>Export control and dual-use technology</w:t>
      </w:r>
      <w:r>
        <w:rPr>
          <w:rFonts w:ascii="Arial" w:hAnsi="Arial"/>
          <w:outline w:val="0"/>
          <w:color w:val="000000"/>
          <w:u w:color="000000"/>
          <w:rtl w:val="0"/>
          <w:lang w:val="en-US"/>
          <w14:textFill>
            <w14:solidFill>
              <w14:srgbClr w14:val="000000"/>
            </w14:solidFill>
          </w14:textFill>
        </w:rPr>
        <w:t>: Some cybersecurity tools and ICS simulation software may be subject to export control regulations (EAR, EU Dual-Use Regulation). Mitigation: All software selected for the project is open-source (OpenPLC, ScadaBR, GNS3, Suricata IDS, OpenDSS) with no export control restrictions. NTNU's export control officer reviews the complete software and equipment list before procurement. Physical equipment (RTUs, IEDs for Living Lab) is sourced from commercial vendors without ITAR/EAR restrictions, with explicit export licence verification.</w:t>
      </w:r>
    </w:p>
    <w:p>
      <w:pPr>
        <w:pStyle w:val="Body"/>
        <w:spacing w:after="80"/>
        <w:ind w:left="425" w:hanging="198"/>
      </w:pPr>
      <w:r>
        <w:rPr>
          <w:rtl w:val="0"/>
        </w:rPr>
        <w:t xml:space="preserve">– </w:t>
      </w:r>
      <w:r>
        <w:rPr>
          <w:rFonts w:ascii="Arial" w:hAnsi="Arial"/>
          <w:i w:val="1"/>
          <w:iCs w:val="1"/>
          <w:outline w:val="0"/>
          <w:color w:val="000000"/>
          <w:u w:color="000000"/>
          <w:rtl w:val="0"/>
          <w:lang w:val="en-US"/>
          <w14:textFill>
            <w14:solidFill>
              <w14:srgbClr w14:val="000000"/>
            </w14:solidFill>
          </w14:textFill>
        </w:rPr>
        <w:t>Grid topology data protection</w:t>
      </w:r>
      <w:r>
        <w:rPr>
          <w:rFonts w:ascii="Arial" w:hAnsi="Arial"/>
          <w:outline w:val="0"/>
          <w:color w:val="000000"/>
          <w:u w:color="000000"/>
          <w:rtl w:val="0"/>
          <w:lang w:val="en-US"/>
          <w14:textFill>
            <w14:solidFill>
              <w14:srgbClr w14:val="000000"/>
            </w14:solidFill>
          </w14:textFill>
        </w:rPr>
        <w:t>: Digital twin development may incorporate sensitive grid topology information provided by Ukrainian energy operators. Disclosure of detailed grid topology could assist adversarial planning. Mitigation: A Data Classification and Handling Protocol designates grid topology data as Confidential. Data sharing agreements with Ukrainian energy operators specify anonymisation, aggregation requirements, and prohibited reuse. All sensitive data is stored exclusively on NTNU servers or ZNU's Azure tenant (EU data residency) with role-based access control. Responsible disclosure policies are documented and communicated to all researchers.</w:t>
      </w:r>
    </w:p>
    <w:p>
      <w:pPr>
        <w:pStyle w:val="Body"/>
        <w:spacing w:after="80"/>
        <w:ind w:left="425" w:hanging="198"/>
      </w:pPr>
      <w:r>
        <w:rPr>
          <w:rtl w:val="0"/>
        </w:rPr>
        <w:t xml:space="preserve">– </w:t>
      </w:r>
      <w:r>
        <w:rPr>
          <w:rFonts w:ascii="Arial" w:hAnsi="Arial"/>
          <w:i w:val="1"/>
          <w:iCs w:val="1"/>
          <w:outline w:val="0"/>
          <w:color w:val="000000"/>
          <w:u w:color="000000"/>
          <w:rtl w:val="0"/>
          <w:lang w:val="en-US"/>
          <w14:textFill>
            <w14:solidFill>
              <w14:srgbClr w14:val="000000"/>
            </w14:solidFill>
          </w14:textFill>
        </w:rPr>
        <w:t>IT security of project digital infrastructure</w:t>
      </w:r>
      <w:r>
        <w:rPr>
          <w:rFonts w:ascii="Arial" w:hAnsi="Arial"/>
          <w:outline w:val="0"/>
          <w:color w:val="000000"/>
          <w:u w:color="000000"/>
          <w:rtl w:val="0"/>
          <w:lang w:val="en-US"/>
          <w14:textFill>
            <w14:solidFill>
              <w14:srgbClr w14:val="000000"/>
            </w14:solidFill>
          </w14:textFill>
        </w:rPr>
        <w:t>: The Living Lab's cyber range infrastructure, if inadequately secured, could itself be compromised. Mitigation: The cyber range operates on physically isolated networks with no connection to ZNU's production campus network or internet. Remote access for NTNU is provided through NTNU's VPN infrastructure with multi-factor authentication. Regular penetration testing of project digital infrastructure is conducted by NTNU IIK.</w:t>
      </w:r>
    </w:p>
    <w:p>
      <w:pPr>
        <w:pStyle w:val="Body"/>
        <w:spacing w:after="120"/>
      </w:pPr>
      <w:r>
        <w:rPr>
          <w:rFonts w:ascii="Arial" w:hAnsi="Arial"/>
          <w:b w:val="1"/>
          <w:bCs w:val="1"/>
          <w:outline w:val="0"/>
          <w:color w:val="000000"/>
          <w:u w:color="000000"/>
          <w:rtl w:val="0"/>
          <w:lang w:val="en-US"/>
          <w14:textFill>
            <w14:solidFill>
              <w14:srgbClr w14:val="000000"/>
            </w14:solidFill>
          </w14:textFill>
        </w:rPr>
        <w:t xml:space="preserve">4. Environmental and Climate Risks (L:1, I:2 </w:t>
      </w:r>
      <w:r>
        <w:rPr>
          <w:rFonts w:ascii="Arial" w:hAnsi="Arial" w:hint="default"/>
          <w:b w:val="1"/>
          <w:bCs w:val="1"/>
          <w:outline w:val="0"/>
          <w:color w:val="000000"/>
          <w:u w:color="000000"/>
          <w:rtl w:val="0"/>
          <w:lang w:val="en-US"/>
          <w14:textFill>
            <w14:solidFill>
              <w14:srgbClr w14:val="000000"/>
            </w14:solidFill>
          </w14:textFill>
        </w:rPr>
        <w:t xml:space="preserve">— </w:t>
      </w:r>
      <w:r>
        <w:rPr>
          <w:rFonts w:ascii="Arial" w:hAnsi="Arial"/>
          <w:b w:val="1"/>
          <w:bCs w:val="1"/>
          <w:outline w:val="0"/>
          <w:color w:val="000000"/>
          <w:u w:color="000000"/>
          <w:rtl w:val="0"/>
          <w:lang w:val="en-US"/>
          <w14:textFill>
            <w14:solidFill>
              <w14:srgbClr w14:val="000000"/>
            </w14:solidFill>
          </w14:textFill>
        </w:rPr>
        <w:t>LOW)</w:t>
      </w:r>
    </w:p>
    <w:p>
      <w:pPr>
        <w:pStyle w:val="Body"/>
        <w:spacing w:after="120"/>
      </w:pPr>
      <w:r>
        <w:rPr>
          <w:rFonts w:ascii="Arial" w:hAnsi="Arial"/>
          <w:outline w:val="0"/>
          <w:color w:val="000000"/>
          <w:u w:color="000000"/>
          <w:rtl w:val="0"/>
          <w:lang w:val="en-US"/>
          <w14:textFill>
            <w14:solidFill>
              <w14:srgbClr w14:val="000000"/>
            </w14:solidFill>
          </w14:textFill>
        </w:rPr>
        <w:t>International air travel for staff and student exchanges contributes to greenhouse gas emissions. Mitigation: The project prioritises digital collaboration as its primary mode (consistent with the Nansen EDU guidance and the project's digital transformation theme). All regular coordination meetings, webinars, and training sessions are delivered online. Physical travel is limited to two mandatory NTNU training weeks, two NTNU staff visits to Ukraine, and 12 student exchanges. Travel by train is used for all feasible routes (e.g., Oslo</w:t>
      </w:r>
      <w:r>
        <w:rPr>
          <w:rFonts w:ascii="Arial" w:hAnsi="Arial" w:hint="default"/>
          <w:outline w:val="0"/>
          <w:color w:val="000000"/>
          <w:u w:color="000000"/>
          <w:rtl w:val="0"/>
          <w:lang w:val="en-US"/>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Trondheim domestic; Kyiv regional connections). A carbon offset contribution is budgeted for unavoidable flights, directed to Ukrainian reforestation initiatives. The Living Lab equipment selection prioritises energy efficiency; ZNU's solar infrastructure partially powers the HPC laboratory. The curriculum's energy module explicitly addresses smart grids' role in renewable integration, embedding environmental consciousness as a learning outcome.</w:t>
      </w:r>
    </w:p>
    <w:p>
      <w:pPr>
        <w:pStyle w:val="Body"/>
        <w:spacing w:after="120"/>
      </w:pPr>
      <w:r>
        <w:rPr>
          <w:rFonts w:ascii="Arial" w:hAnsi="Arial"/>
          <w:b w:val="1"/>
          <w:bCs w:val="1"/>
          <w:outline w:val="0"/>
          <w:color w:val="000000"/>
          <w:u w:color="000000"/>
          <w:rtl w:val="0"/>
          <w:lang w:val="en-US"/>
          <w14:textFill>
            <w14:solidFill>
              <w14:srgbClr w14:val="000000"/>
            </w14:solidFill>
          </w14:textFill>
        </w:rPr>
        <w:t xml:space="preserve">5. Gender Equality (L:2, I:2 </w:t>
      </w:r>
      <w:r>
        <w:rPr>
          <w:rFonts w:ascii="Arial" w:hAnsi="Arial" w:hint="default"/>
          <w:b w:val="1"/>
          <w:bCs w:val="1"/>
          <w:outline w:val="0"/>
          <w:color w:val="000000"/>
          <w:u w:color="000000"/>
          <w:rtl w:val="0"/>
          <w:lang w:val="en-US"/>
          <w14:textFill>
            <w14:solidFill>
              <w14:srgbClr w14:val="000000"/>
            </w14:solidFill>
          </w14:textFill>
        </w:rPr>
        <w:t xml:space="preserve">— </w:t>
      </w:r>
      <w:r>
        <w:rPr>
          <w:rFonts w:ascii="Arial" w:hAnsi="Arial"/>
          <w:b w:val="1"/>
          <w:bCs w:val="1"/>
          <w:outline w:val="0"/>
          <w:color w:val="000000"/>
          <w:u w:color="000000"/>
          <w:rtl w:val="0"/>
          <w:lang w:val="fr-FR"/>
          <w14:textFill>
            <w14:solidFill>
              <w14:srgbClr w14:val="000000"/>
            </w14:solidFill>
          </w14:textFill>
        </w:rPr>
        <w:t>MEDIUM)</w:t>
      </w:r>
    </w:p>
    <w:p>
      <w:pPr>
        <w:pStyle w:val="Body"/>
        <w:spacing w:after="120"/>
      </w:pPr>
      <w:r>
        <w:rPr>
          <w:rFonts w:ascii="Arial" w:hAnsi="Arial"/>
          <w:outline w:val="0"/>
          <w:color w:val="000000"/>
          <w:u w:color="000000"/>
          <w:rtl w:val="0"/>
          <w:lang w:val="en-US"/>
          <w14:textFill>
            <w14:solidFill>
              <w14:srgbClr w14:val="000000"/>
            </w14:solidFill>
          </w14:textFill>
        </w:rPr>
        <w:t>Engineering and cybersecurity are male-dominated fields globally and in Ukraine; without deliberate measures, the project risks reproducing structural exclusion. Mitigation: A target of minimum 40% female participation is set for: enrolled students in new modules, staff training participants, student exchanges, and CTF/exercise participants. Recruitment materials use gender-neutral language and explicitly highlight female role models in energy cybersecurity. A Gender Action Plan (developed in Month 2) specifies recruitment strategies, monitoring indicators, and annual reporting. Scholarships and exchange opportunities use anonymised selection processes reviewed for implicit bias. The project's steering committee requires at least one female member from each institution. Female participants in CTF competitions receive mentoring support from female NTNU CCIS researchers.</w:t>
      </w:r>
    </w:p>
    <w:p>
      <w:pPr>
        <w:pStyle w:val="Body"/>
        <w:spacing w:after="120"/>
      </w:pPr>
      <w:r>
        <w:rPr>
          <w:rFonts w:ascii="Arial" w:hAnsi="Arial"/>
          <w:b w:val="1"/>
          <w:bCs w:val="1"/>
          <w:outline w:val="0"/>
          <w:color w:val="000000"/>
          <w:u w:color="000000"/>
          <w:rtl w:val="0"/>
          <w:lang w:val="en-US"/>
          <w14:textFill>
            <w14:solidFill>
              <w14:srgbClr w14:val="000000"/>
            </w14:solidFill>
          </w14:textFill>
        </w:rPr>
        <w:t xml:space="preserve">6. Human Rights Impact Assessment (L:1, I:2 </w:t>
      </w:r>
      <w:r>
        <w:rPr>
          <w:rFonts w:ascii="Arial" w:hAnsi="Arial" w:hint="default"/>
          <w:b w:val="1"/>
          <w:bCs w:val="1"/>
          <w:outline w:val="0"/>
          <w:color w:val="000000"/>
          <w:u w:color="000000"/>
          <w:rtl w:val="0"/>
          <w:lang w:val="en-US"/>
          <w14:textFill>
            <w14:solidFill>
              <w14:srgbClr w14:val="000000"/>
            </w14:solidFill>
          </w14:textFill>
        </w:rPr>
        <w:t xml:space="preserve">— </w:t>
      </w:r>
      <w:r>
        <w:rPr>
          <w:rFonts w:ascii="Arial" w:hAnsi="Arial"/>
          <w:b w:val="1"/>
          <w:bCs w:val="1"/>
          <w:outline w:val="0"/>
          <w:color w:val="000000"/>
          <w:u w:color="000000"/>
          <w:rtl w:val="0"/>
          <w:lang w:val="en-US"/>
          <w14:textFill>
            <w14:solidFill>
              <w14:srgbClr w14:val="000000"/>
            </w14:solidFill>
          </w14:textFill>
        </w:rPr>
        <w:t>LOW)</w:t>
      </w:r>
    </w:p>
    <w:p>
      <w:pPr>
        <w:pStyle w:val="Body"/>
        <w:spacing w:after="120"/>
      </w:pPr>
      <w:r>
        <w:rPr>
          <w:rFonts w:ascii="Arial" w:hAnsi="Arial"/>
          <w:outline w:val="0"/>
          <w:color w:val="000000"/>
          <w:u w:color="000000"/>
          <w:rtl w:val="0"/>
          <w:lang w:val="en-US"/>
          <w14:textFill>
            <w14:solidFill>
              <w14:srgbClr w14:val="000000"/>
            </w14:solidFill>
          </w14:textFill>
        </w:rPr>
        <w:t>The project operates in a context where academic freedom, freedom of movement, and the right to education are under active threat from the ongoing war. Assessment: The project positively supports the right to education by maintaining and expanding educational access under wartime conditions. Online delivery modalities extend access to internally displaced persons and students unable to physically attend ZNU. No project activity discriminates on grounds of ethnicity, religion, disability, or political opinion. Non-discrimination principles are embedded in the project's Operational Manual and enforced by an Equality and Diversity Officer designated at each partner institution. Academic freedom is protected: the project's research agenda is determined by academic and scientific merit, with no governmental or industry direction over findings. Where research involves grid operational data, data sharing agreements do not include provisions that would restrict publication of findings.</w:t>
      </w:r>
    </w:p>
    <w:p>
      <w:pPr>
        <w:pStyle w:val="Body"/>
        <w:spacing w:after="120"/>
      </w:pPr>
      <w:r>
        <w:rPr>
          <w:rFonts w:ascii="Arial" w:hAnsi="Arial"/>
          <w:b w:val="1"/>
          <w:bCs w:val="1"/>
          <w:outline w:val="0"/>
          <w:color w:val="000000"/>
          <w:u w:color="000000"/>
          <w:rtl w:val="0"/>
          <w14:textFill>
            <w14:solidFill>
              <w14:srgbClr w14:val="000000"/>
            </w14:solidFill>
          </w14:textFill>
        </w:rPr>
        <w:t xml:space="preserve">7. SEAH </w:t>
      </w:r>
      <w:r>
        <w:rPr>
          <w:rFonts w:ascii="Arial" w:hAnsi="Arial" w:hint="default"/>
          <w:b w:val="1"/>
          <w:bCs w:val="1"/>
          <w:outline w:val="0"/>
          <w:color w:val="000000"/>
          <w:u w:color="000000"/>
          <w:rtl w:val="0"/>
          <w:lang w:val="en-US"/>
          <w14:textFill>
            <w14:solidFill>
              <w14:srgbClr w14:val="000000"/>
            </w14:solidFill>
          </w14:textFill>
        </w:rPr>
        <w:t xml:space="preserve">— </w:t>
      </w:r>
      <w:r>
        <w:rPr>
          <w:rFonts w:ascii="Arial" w:hAnsi="Arial"/>
          <w:b w:val="1"/>
          <w:bCs w:val="1"/>
          <w:outline w:val="0"/>
          <w:color w:val="000000"/>
          <w:u w:color="000000"/>
          <w:rtl w:val="0"/>
          <w:lang w:val="en-US"/>
          <w14:textFill>
            <w14:solidFill>
              <w14:srgbClr w14:val="000000"/>
            </w14:solidFill>
          </w14:textFill>
        </w:rPr>
        <w:t xml:space="preserve">Sexual Exploitation, Abuse and Harassment Prevention (L:1, I:3 </w:t>
      </w:r>
      <w:r>
        <w:rPr>
          <w:rFonts w:ascii="Arial" w:hAnsi="Arial" w:hint="default"/>
          <w:b w:val="1"/>
          <w:bCs w:val="1"/>
          <w:outline w:val="0"/>
          <w:color w:val="000000"/>
          <w:u w:color="000000"/>
          <w:rtl w:val="0"/>
          <w:lang w:val="en-US"/>
          <w14:textFill>
            <w14:solidFill>
              <w14:srgbClr w14:val="000000"/>
            </w14:solidFill>
          </w14:textFill>
        </w:rPr>
        <w:t xml:space="preserve">— </w:t>
      </w:r>
      <w:r>
        <w:rPr>
          <w:rFonts w:ascii="Arial" w:hAnsi="Arial"/>
          <w:b w:val="1"/>
          <w:bCs w:val="1"/>
          <w:outline w:val="0"/>
          <w:color w:val="000000"/>
          <w:u w:color="000000"/>
          <w:rtl w:val="0"/>
          <w:lang w:val="en-US"/>
          <w14:textFill>
            <w14:solidFill>
              <w14:srgbClr w14:val="000000"/>
            </w14:solidFill>
          </w14:textFill>
        </w:rPr>
        <w:t>HIGH IMPACT, LOW PROBABILITY)</w:t>
      </w:r>
    </w:p>
    <w:p>
      <w:pPr>
        <w:pStyle w:val="Body"/>
        <w:spacing w:after="120"/>
      </w:pPr>
      <w:r>
        <w:rPr>
          <w:rFonts w:ascii="Arial" w:hAnsi="Arial"/>
          <w:outline w:val="0"/>
          <w:color w:val="000000"/>
          <w:u w:color="000000"/>
          <w:rtl w:val="0"/>
          <w:lang w:val="en-US"/>
          <w14:textFill>
            <w14:solidFill>
              <w14:srgbClr w14:val="000000"/>
            </w14:solidFill>
          </w14:textFill>
        </w:rPr>
        <w:t>All partner institutions have institutional policies on sexual harassment. Specific project measures: A project-specific SEAH Policy, endorsed by legal representatives of all three institutions, is developed in Month 1 and distributed to all project participants. The policy defines prohibited conduct, reporting channels (both institutional and an anonymous external channel designated by NTNU's ethics infrastructure), investigation procedures, and consequences. All staff and student participants acknowledge the SEAH Policy in writing before participating in any project activity. Exchange students arriving at NTNU receive mandatory SEAH orientation as part of NTNU's standard international student induction. Cyber range and CTF activities involving adversarial role-play include explicit conduct guidelines prohibiting harassment in competitive settings. SEAH incidents are reported to HK-dir in accordance with Nansen EDU programme requirements.</w:t>
      </w:r>
    </w:p>
    <w:p>
      <w:pPr>
        <w:pStyle w:val="Body"/>
        <w:spacing w:after="120"/>
      </w:pPr>
      <w:r>
        <w:rPr>
          <w:rFonts w:ascii="Arial" w:hAnsi="Arial"/>
          <w:b w:val="1"/>
          <w:bCs w:val="1"/>
          <w:outline w:val="0"/>
          <w:color w:val="000000"/>
          <w:u w:color="000000"/>
          <w:rtl w:val="0"/>
          <w:lang w:val="en-US"/>
          <w14:textFill>
            <w14:solidFill>
              <w14:srgbClr w14:val="000000"/>
            </w14:solidFill>
          </w14:textFill>
        </w:rPr>
        <w:t>8. Cost-Effectiveness Justification</w:t>
      </w:r>
    </w:p>
    <w:p>
      <w:pPr>
        <w:pStyle w:val="Body"/>
        <w:spacing w:after="120"/>
      </w:pPr>
      <w:r>
        <w:rPr>
          <w:rFonts w:ascii="Arial" w:hAnsi="Arial"/>
          <w:outline w:val="0"/>
          <w:color w:val="000000"/>
          <w:u w:color="000000"/>
          <w:rtl w:val="0"/>
          <w:lang w:val="en-US"/>
          <w14:textFill>
            <w14:solidFill>
              <w14:srgbClr w14:val="000000"/>
            </w14:solidFill>
          </w14:textFill>
        </w:rPr>
        <w:t>Norwegian/non-Ukrainian personnel costs are budgeted at 28% of total budget (within the 30% ceiling), reflecting a deliberate design choice to maximise resources allocated to Ukrainian institutional capacity: Living Lab infrastructure (WP4), Ukrainian staff training, and Ukrainian student scholarships collectively represent 55% of total budget. The digital-first delivery model dramatically reduces travel expenditure compared to traditional exchange-heavy programmes. Open-source software selection eliminates licensing costs for the curriculum's technical tools. Equipment procurement is planned for Month 10, providing 26 months of operational use before project end.</w:t>
      </w:r>
    </w:p>
    <w:p>
      <w:pPr>
        <w:pStyle w:val="No Spacing"/>
      </w:pPr>
    </w:p>
    <w:p>
      <w:pPr>
        <w:pStyle w:val="No Spacing"/>
      </w:pPr>
    </w:p>
    <w:p>
      <w:pPr>
        <w:pStyle w:val="No Spacing"/>
      </w:pPr>
    </w:p>
    <w:p>
      <w:pPr>
        <w:pStyle w:val="No Spacing"/>
      </w:pPr>
    </w:p>
    <w:p>
      <w:pPr>
        <w:pStyle w:val="Body"/>
      </w:pPr>
      <w:r>
        <w:rPr>
          <w:rFonts w:ascii="Arial Unicode MS" w:cs="Arial Unicode MS" w:hAnsi="Arial Unicode MS" w:eastAsia="Arial Unicode MS"/>
          <w:b w:val="0"/>
          <w:bCs w:val="0"/>
          <w:i w:val="0"/>
          <w:iCs w:val="0"/>
          <w:sz w:val="32"/>
          <w:szCs w:val="32"/>
        </w:rPr>
        <w:br w:type="page"/>
      </w:r>
    </w:p>
    <w:p>
      <w:pPr>
        <w:pStyle w:val="Body"/>
        <w:keepNext w:val="1"/>
        <w:keepLines w:val="1"/>
        <w:spacing w:before="200" w:after="120"/>
        <w:outlineLvl w:val="1"/>
        <w:rPr>
          <w:b w:val="1"/>
          <w:bCs w:val="1"/>
          <w:sz w:val="32"/>
          <w:szCs w:val="32"/>
        </w:rPr>
      </w:pPr>
      <w:r>
        <w:rPr>
          <w:b w:val="1"/>
          <w:bCs w:val="1"/>
          <w:sz w:val="32"/>
          <w:szCs w:val="32"/>
          <w:rtl w:val="0"/>
        </w:rPr>
        <w:t>3</w:t>
        <w:tab/>
        <w:t xml:space="preserve">The project group and collaborative structures </w:t>
      </w:r>
    </w:p>
    <w:p>
      <w:pPr>
        <w:pStyle w:val="No Spacing"/>
      </w:pPr>
    </w:p>
    <w:p>
      <w:pPr>
        <w:pStyle w:val="No Spacing"/>
        <w:rPr>
          <w:b w:val="1"/>
          <w:bCs w:val="1"/>
        </w:rPr>
      </w:pPr>
      <w:r>
        <w:rPr>
          <w:b w:val="1"/>
          <w:bCs w:val="1"/>
          <w:rtl w:val="0"/>
          <w:lang w:val="en-US"/>
        </w:rPr>
        <w:t>3.1</w:t>
        <w:tab/>
        <w:t>Key personnel for the implementation of the project</w:t>
      </w:r>
    </w:p>
    <w:p>
      <w:pPr>
        <w:pStyle w:val="No Spacing"/>
      </w:pPr>
    </w:p>
    <w:p>
      <w:pPr>
        <w:pStyle w:val="No Spacing"/>
      </w:pPr>
    </w:p>
    <w:p>
      <w:pPr>
        <w:pStyle w:val="No Spacing"/>
      </w:pPr>
    </w:p>
    <w:p>
      <w:pPr>
        <w:pStyle w:val="Body"/>
        <w:spacing w:after="120"/>
      </w:pPr>
      <w:r>
        <w:rPr>
          <w:rFonts w:ascii="Arial" w:hAnsi="Arial"/>
          <w:b w:val="1"/>
          <w:bCs w:val="1"/>
          <w:outline w:val="0"/>
          <w:color w:val="000000"/>
          <w:u w:color="000000"/>
          <w:rtl w:val="0"/>
          <w:lang w:val="de-DE"/>
          <w14:textFill>
            <w14:solidFill>
              <w14:srgbClr w14:val="000000"/>
            </w14:solidFill>
          </w14:textFill>
        </w:rPr>
        <w:t xml:space="preserve">NTNU </w:t>
      </w:r>
      <w:r>
        <w:rPr>
          <w:rFonts w:ascii="Arial" w:hAnsi="Arial" w:hint="default"/>
          <w:b w:val="1"/>
          <w:bCs w:val="1"/>
          <w:outline w:val="0"/>
          <w:color w:val="000000"/>
          <w:u w:color="000000"/>
          <w:rtl w:val="0"/>
          <w:lang w:val="en-US"/>
          <w14:textFill>
            <w14:solidFill>
              <w14:srgbClr w14:val="000000"/>
            </w14:solidFill>
          </w14:textFill>
        </w:rPr>
        <w:t xml:space="preserve">— </w:t>
      </w:r>
      <w:r>
        <w:rPr>
          <w:rFonts w:ascii="Arial" w:hAnsi="Arial"/>
          <w:b w:val="1"/>
          <w:bCs w:val="1"/>
          <w:outline w:val="0"/>
          <w:color w:val="000000"/>
          <w:u w:color="000000"/>
          <w:rtl w:val="0"/>
          <w:lang w:val="it-IT"/>
          <w14:textFill>
            <w14:solidFill>
              <w14:srgbClr w14:val="000000"/>
            </w14:solidFill>
          </w14:textFill>
        </w:rPr>
        <w:t>Coordinator</w:t>
      </w:r>
    </w:p>
    <w:p>
      <w:pPr>
        <w:pStyle w:val="Body"/>
        <w:spacing w:after="120"/>
      </w:pPr>
      <w:r>
        <w:rPr>
          <w:rFonts w:ascii="Arial" w:hAnsi="Arial"/>
          <w:i w:val="1"/>
          <w:iCs w:val="1"/>
          <w:outline w:val="0"/>
          <w:color w:val="000000"/>
          <w:u w:color="000000"/>
          <w:rtl w:val="0"/>
          <w:lang w:val="en-US"/>
          <w14:textFill>
            <w14:solidFill>
              <w14:srgbClr w14:val="000000"/>
            </w14:solidFill>
          </w14:textFill>
        </w:rPr>
        <w:t xml:space="preserve">Prof. [Name], Department of Electric Energy / NTNU Smart Grid Laboratory </w:t>
      </w:r>
      <w:r>
        <w:rPr>
          <w:rFonts w:ascii="Arial" w:hAnsi="Arial" w:hint="default"/>
          <w:i w:val="1"/>
          <w:iCs w:val="1"/>
          <w:outline w:val="0"/>
          <w:color w:val="000000"/>
          <w:u w:color="000000"/>
          <w:rtl w:val="0"/>
          <w:lang w:val="en-US"/>
          <w14:textFill>
            <w14:solidFill>
              <w14:srgbClr w14:val="000000"/>
            </w14:solidFill>
          </w14:textFill>
        </w:rPr>
        <w:t xml:space="preserve">— </w:t>
      </w:r>
      <w:r>
        <w:rPr>
          <w:rFonts w:ascii="Arial" w:hAnsi="Arial"/>
          <w:i w:val="1"/>
          <w:iCs w:val="1"/>
          <w:outline w:val="0"/>
          <w:color w:val="000000"/>
          <w:u w:color="000000"/>
          <w:rtl w:val="0"/>
          <w:lang w:val="nl-NL"/>
          <w14:textFill>
            <w14:solidFill>
              <w14:srgbClr w14:val="000000"/>
            </w14:solidFill>
          </w14:textFill>
        </w:rPr>
        <w:t>Project Coordinator</w:t>
      </w:r>
      <w:r>
        <w:rPr>
          <w:rFonts w:ascii="Arial" w:hAnsi="Arial"/>
          <w:outline w:val="0"/>
          <w:color w:val="000000"/>
          <w:u w:color="000000"/>
          <w:rtl w:val="0"/>
          <w:lang w:val="en-US"/>
          <w14:textFill>
            <w14:solidFill>
              <w14:srgbClr w14:val="000000"/>
            </w14:solidFill>
          </w14:textFill>
        </w:rPr>
        <w:t>: Holds a doctoral degree in power systems engineering with 15+ years of research experience in smart grid control, distributed energy resource integration, and AI for grid management. Has led multiple Horizon Europe and ENERGIX-funded projects involving Norwegian-international energy research partnerships. Serves as scientific liaison with Statnett and SINTEF Energy Research. Directly responsible for WP1 curriculum design (Modules 1</w:t>
      </w:r>
      <w:r>
        <w:rPr>
          <w:rFonts w:ascii="Arial" w:hAnsi="Arial" w:hint="default"/>
          <w:outline w:val="0"/>
          <w:color w:val="000000"/>
          <w:u w:color="000000"/>
          <w:rtl w:val="0"/>
          <w:lang w:val="en-US"/>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2) and WP4 digital twin architecture.</w:t>
      </w:r>
    </w:p>
    <w:p>
      <w:pPr>
        <w:pStyle w:val="Body"/>
        <w:spacing w:after="120"/>
      </w:pPr>
      <w:r>
        <w:rPr>
          <w:rFonts w:ascii="Arial" w:hAnsi="Arial"/>
          <w:i w:val="1"/>
          <w:iCs w:val="1"/>
          <w:outline w:val="0"/>
          <w:color w:val="000000"/>
          <w:u w:color="000000"/>
          <w:rtl w:val="0"/>
          <w:lang w:val="en-US"/>
          <w14:textFill>
            <w14:solidFill>
              <w14:srgbClr w14:val="000000"/>
            </w14:solidFill>
          </w14:textFill>
        </w:rPr>
        <w:t xml:space="preserve">Assoc. Prof. [Name], Centre for Cyber and Information Security (CCIS) / Department of Information Security and Communication Technology (IIK) </w:t>
      </w:r>
      <w:r>
        <w:rPr>
          <w:rFonts w:ascii="Arial" w:hAnsi="Arial" w:hint="default"/>
          <w:i w:val="1"/>
          <w:iCs w:val="1"/>
          <w:outline w:val="0"/>
          <w:color w:val="000000"/>
          <w:u w:color="000000"/>
          <w:rtl w:val="0"/>
          <w:lang w:val="en-US"/>
          <w14:textFill>
            <w14:solidFill>
              <w14:srgbClr w14:val="000000"/>
            </w14:solidFill>
          </w14:textFill>
        </w:rPr>
        <w:t xml:space="preserve">— </w:t>
      </w:r>
      <w:r>
        <w:rPr>
          <w:rFonts w:ascii="Arial" w:hAnsi="Arial"/>
          <w:i w:val="1"/>
          <w:iCs w:val="1"/>
          <w:outline w:val="0"/>
          <w:color w:val="000000"/>
          <w:u w:color="000000"/>
          <w:rtl w:val="0"/>
          <w:lang w:val="en-US"/>
          <w14:textFill>
            <w14:solidFill>
              <w14:srgbClr w14:val="000000"/>
            </w14:solidFill>
          </w14:textFill>
        </w:rPr>
        <w:t>Cybersecurity Lead</w:t>
      </w:r>
      <w:r>
        <w:rPr>
          <w:rFonts w:ascii="Arial" w:hAnsi="Arial"/>
          <w:outline w:val="0"/>
          <w:color w:val="000000"/>
          <w:u w:color="000000"/>
          <w:rtl w:val="0"/>
          <w:lang w:val="en-US"/>
          <w14:textFill>
            <w14:solidFill>
              <w14:srgbClr w14:val="000000"/>
            </w14:solidFill>
          </w14:textFill>
        </w:rPr>
        <w:t>: Specialist in industrial control systems security and critical infrastructure protection with a doctoral degree in information security. Has published extensively in ICS vulnerability analysis, SCADA security assessment, and energy sector threat intelligence. Co-designer of NTNU CCIS's cyber range infrastructure. Leads Module 2 (Cybersecurity for Smart Grids) development and all WP3 cyber range activities, including CTF design and red team/blue team exercise facilitation. Has conducted collaborative research with the Norwegian National Security Authority (NSM) and NVE on energy sector cybersecurity.</w:t>
      </w:r>
    </w:p>
    <w:p>
      <w:pPr>
        <w:pStyle w:val="Body"/>
        <w:spacing w:after="120"/>
      </w:pPr>
      <w:r>
        <w:rPr>
          <w:rFonts w:ascii="Arial" w:hAnsi="Arial"/>
          <w:i w:val="1"/>
          <w:iCs w:val="1"/>
          <w:outline w:val="0"/>
          <w:color w:val="000000"/>
          <w:u w:color="000000"/>
          <w:rtl w:val="0"/>
          <w:lang w:val="en-US"/>
          <w14:textFill>
            <w14:solidFill>
              <w14:srgbClr w14:val="000000"/>
            </w14:solidFill>
          </w14:textFill>
        </w:rPr>
        <w:t xml:space="preserve">Dr. [Name], NTNU CCIS </w:t>
      </w:r>
      <w:r>
        <w:rPr>
          <w:rFonts w:ascii="Arial" w:hAnsi="Arial" w:hint="default"/>
          <w:i w:val="1"/>
          <w:iCs w:val="1"/>
          <w:outline w:val="0"/>
          <w:color w:val="000000"/>
          <w:u w:color="000000"/>
          <w:rtl w:val="0"/>
          <w:lang w:val="en-US"/>
          <w14:textFill>
            <w14:solidFill>
              <w14:srgbClr w14:val="000000"/>
            </w14:solidFill>
          </w14:textFill>
        </w:rPr>
        <w:t xml:space="preserve">— </w:t>
      </w:r>
      <w:r>
        <w:rPr>
          <w:rFonts w:ascii="Arial" w:hAnsi="Arial"/>
          <w:i w:val="1"/>
          <w:iCs w:val="1"/>
          <w:outline w:val="0"/>
          <w:color w:val="000000"/>
          <w:u w:color="000000"/>
          <w:rtl w:val="0"/>
          <w:lang w:val="en-US"/>
          <w14:textFill>
            <w14:solidFill>
              <w14:srgbClr w14:val="000000"/>
            </w14:solidFill>
          </w14:textFill>
        </w:rPr>
        <w:t>AI Security Researcher</w:t>
      </w:r>
      <w:r>
        <w:rPr>
          <w:rFonts w:ascii="Arial" w:hAnsi="Arial"/>
          <w:outline w:val="0"/>
          <w:color w:val="000000"/>
          <w:u w:color="000000"/>
          <w:rtl w:val="0"/>
          <w:lang w:val="en-US"/>
          <w14:textFill>
            <w14:solidFill>
              <w14:srgbClr w14:val="000000"/>
            </w14:solidFill>
          </w14:textFill>
        </w:rPr>
        <w:t>: Doctoral expertise in adversarial machine learning and AI-based anomaly detection for network security. Contributes to Module 1's AI intrusion detection content and WP4's AI model development for the digital twin.</w:t>
      </w:r>
    </w:p>
    <w:p>
      <w:pPr>
        <w:pStyle w:val="Body"/>
        <w:spacing w:after="120"/>
      </w:pPr>
      <w:r>
        <w:rPr>
          <w:rFonts w:ascii="Arial" w:hAnsi="Arial"/>
          <w:i w:val="1"/>
          <w:iCs w:val="1"/>
          <w:outline w:val="0"/>
          <w:color w:val="000000"/>
          <w:u w:color="000000"/>
          <w:rtl w:val="0"/>
          <w:lang w:val="en-US"/>
          <w14:textFill>
            <w14:solidFill>
              <w14:srgbClr w14:val="000000"/>
            </w14:solidFill>
          </w14:textFill>
        </w:rPr>
        <w:t>Project Manager (Administrative), NTNU International Office</w:t>
      </w:r>
      <w:r>
        <w:rPr>
          <w:rFonts w:ascii="Arial" w:hAnsi="Arial"/>
          <w:outline w:val="0"/>
          <w:color w:val="000000"/>
          <w:u w:color="000000"/>
          <w:rtl w:val="0"/>
          <w:lang w:val="en-US"/>
          <w14:textFill>
            <w14:solidFill>
              <w14:srgbClr w14:val="000000"/>
            </w14:solidFill>
          </w14:textFill>
        </w:rPr>
        <w:t>: Experienced in managing Norwegian-Ukrainian and European educational cooperation projects, including financial oversight, reporting to HK-dir, and partner coordination.</w:t>
      </w:r>
    </w:p>
    <w:p>
      <w:pPr>
        <w:pStyle w:val="Body"/>
        <w:spacing w:after="120"/>
      </w:pPr>
      <w:r>
        <w:rPr>
          <w:rFonts w:ascii="Arial" w:hAnsi="Arial"/>
          <w:b w:val="1"/>
          <w:bCs w:val="1"/>
          <w:outline w:val="0"/>
          <w:color w:val="000000"/>
          <w:u w:color="000000"/>
          <w:rtl w:val="0"/>
          <w:lang w:val="de-DE"/>
          <w14:textFill>
            <w14:solidFill>
              <w14:srgbClr w14:val="000000"/>
            </w14:solidFill>
          </w14:textFill>
        </w:rPr>
        <w:t xml:space="preserve">Zaporizhzhia National University (ZNU) </w:t>
      </w:r>
      <w:r>
        <w:rPr>
          <w:rFonts w:ascii="Arial" w:hAnsi="Arial" w:hint="default"/>
          <w:b w:val="1"/>
          <w:bCs w:val="1"/>
          <w:outline w:val="0"/>
          <w:color w:val="000000"/>
          <w:u w:color="000000"/>
          <w:rtl w:val="0"/>
          <w:lang w:val="en-US"/>
          <w14:textFill>
            <w14:solidFill>
              <w14:srgbClr w14:val="000000"/>
            </w14:solidFill>
          </w14:textFill>
        </w:rPr>
        <w:t xml:space="preserve">— </w:t>
      </w:r>
      <w:r>
        <w:rPr>
          <w:rFonts w:ascii="Arial" w:hAnsi="Arial"/>
          <w:b w:val="1"/>
          <w:bCs w:val="1"/>
          <w:outline w:val="0"/>
          <w:color w:val="000000"/>
          <w:u w:color="000000"/>
          <w:rtl w:val="0"/>
          <w14:textFill>
            <w14:solidFill>
              <w14:srgbClr w14:val="000000"/>
            </w14:solidFill>
          </w14:textFill>
        </w:rPr>
        <w:t>Ukrainian Partner 1</w:t>
      </w:r>
    </w:p>
    <w:p>
      <w:pPr>
        <w:pStyle w:val="Body"/>
        <w:spacing w:after="120"/>
      </w:pPr>
      <w:r>
        <w:rPr>
          <w:rFonts w:ascii="Arial" w:hAnsi="Arial"/>
          <w:i w:val="1"/>
          <w:iCs w:val="1"/>
          <w:outline w:val="0"/>
          <w:color w:val="000000"/>
          <w:u w:color="000000"/>
          <w:rtl w:val="0"/>
          <w:lang w:val="en-US"/>
          <w14:textFill>
            <w14:solidFill>
              <w14:srgbClr w14:val="000000"/>
            </w14:solidFill>
          </w14:textFill>
        </w:rPr>
        <w:t xml:space="preserve">Prof. [Name], Engineering Educational and Scientific Institute </w:t>
      </w:r>
      <w:r>
        <w:rPr>
          <w:rFonts w:ascii="Arial" w:hAnsi="Arial" w:hint="default"/>
          <w:i w:val="1"/>
          <w:iCs w:val="1"/>
          <w:outline w:val="0"/>
          <w:color w:val="000000"/>
          <w:u w:color="000000"/>
          <w:rtl w:val="0"/>
          <w:lang w:val="en-US"/>
          <w14:textFill>
            <w14:solidFill>
              <w14:srgbClr w14:val="000000"/>
            </w14:solidFill>
          </w14:textFill>
        </w:rPr>
        <w:t xml:space="preserve">— </w:t>
      </w:r>
      <w:r>
        <w:rPr>
          <w:rFonts w:ascii="Arial" w:hAnsi="Arial"/>
          <w:i w:val="1"/>
          <w:iCs w:val="1"/>
          <w:outline w:val="0"/>
          <w:color w:val="000000"/>
          <w:u w:color="000000"/>
          <w:rtl w:val="0"/>
          <w:lang w:val="de-DE"/>
          <w14:textFill>
            <w14:solidFill>
              <w14:srgbClr w14:val="000000"/>
            </w14:solidFill>
          </w14:textFill>
        </w:rPr>
        <w:t>ZNU Project Lead</w:t>
      </w:r>
      <w:r>
        <w:rPr>
          <w:rFonts w:ascii="Arial" w:hAnsi="Arial"/>
          <w:outline w:val="0"/>
          <w:color w:val="000000"/>
          <w:u w:color="000000"/>
          <w:rtl w:val="0"/>
          <w:lang w:val="en-US"/>
          <w14:textFill>
            <w14:solidFill>
              <w14:srgbClr w14:val="000000"/>
            </w14:solidFill>
          </w14:textFill>
        </w:rPr>
        <w:t>: Senior researcher and educator in electrical engineering and smart grid systems with 20+ years of experience. Principal investigator on ZNU's smart grid and digital twin research programme. Leads ZNU's contribution to WP1 curriculum contextualisation for Ukrainian regulatory context, WP4 Living Lab setup and operation, and WP2 staff training coordination. Has coordinated 14 Erasmus+ projects, demonstrating substantial international project management capability.</w:t>
      </w:r>
    </w:p>
    <w:p>
      <w:pPr>
        <w:pStyle w:val="Body"/>
        <w:spacing w:after="120"/>
      </w:pPr>
      <w:r>
        <w:rPr>
          <w:rFonts w:ascii="Arial" w:hAnsi="Arial"/>
          <w:i w:val="1"/>
          <w:iCs w:val="1"/>
          <w:outline w:val="0"/>
          <w:color w:val="000000"/>
          <w:u w:color="000000"/>
          <w:rtl w:val="0"/>
          <w:lang w:val="en-US"/>
          <w14:textFill>
            <w14:solidFill>
              <w14:srgbClr w14:val="000000"/>
            </w14:solidFill>
          </w14:textFill>
        </w:rPr>
        <w:t xml:space="preserve">Dr. [Name], Faculty of Mathematics / Laboratory of Parallel and Distributed Computing </w:t>
      </w:r>
      <w:r>
        <w:rPr>
          <w:rFonts w:ascii="Arial" w:hAnsi="Arial" w:hint="default"/>
          <w:i w:val="1"/>
          <w:iCs w:val="1"/>
          <w:outline w:val="0"/>
          <w:color w:val="000000"/>
          <w:u w:color="000000"/>
          <w:rtl w:val="0"/>
          <w:lang w:val="en-US"/>
          <w14:textFill>
            <w14:solidFill>
              <w14:srgbClr w14:val="000000"/>
            </w14:solidFill>
          </w14:textFill>
        </w:rPr>
        <w:t xml:space="preserve">— </w:t>
      </w:r>
      <w:r>
        <w:rPr>
          <w:rFonts w:ascii="Arial" w:hAnsi="Arial"/>
          <w:i w:val="1"/>
          <w:iCs w:val="1"/>
          <w:outline w:val="0"/>
          <w:color w:val="000000"/>
          <w:u w:color="000000"/>
          <w:rtl w:val="0"/>
          <w:lang w:val="en-US"/>
          <w14:textFill>
            <w14:solidFill>
              <w14:srgbClr w14:val="000000"/>
            </w14:solidFill>
          </w14:textFill>
        </w:rPr>
        <w:t>AI/HPC Lead</w:t>
      </w:r>
      <w:r>
        <w:rPr>
          <w:rFonts w:ascii="Arial" w:hAnsi="Arial"/>
          <w:outline w:val="0"/>
          <w:color w:val="000000"/>
          <w:u w:color="000000"/>
          <w:rtl w:val="0"/>
          <w:lang w:val="en-US"/>
          <w14:textFill>
            <w14:solidFill>
              <w14:srgbClr w14:val="000000"/>
            </w14:solidFill>
          </w14:textFill>
        </w:rPr>
        <w:t>: Research expertise in machine learning, parallel computing, and AI model optimisation. Responsible for HPC infrastructure provisioning for AI model training in WP4 and for AI content in Module 1. Experience with Microsoft Azure cloud infrastructure for research computing.</w:t>
      </w:r>
    </w:p>
    <w:p>
      <w:pPr>
        <w:pStyle w:val="Body"/>
        <w:spacing w:after="120"/>
      </w:pPr>
      <w:r>
        <w:rPr>
          <w:rFonts w:ascii="Arial" w:hAnsi="Arial"/>
          <w:i w:val="1"/>
          <w:iCs w:val="1"/>
          <w:outline w:val="0"/>
          <w:color w:val="000000"/>
          <w:u w:color="000000"/>
          <w:rtl w:val="0"/>
          <w:lang w:val="de-DE"/>
          <w14:textFill>
            <w14:solidFill>
              <w14:srgbClr w14:val="000000"/>
            </w14:solidFill>
          </w14:textFill>
        </w:rPr>
        <w:t xml:space="preserve">[Name], IT Security Specialist, ZNU Digital Infrastructure </w:t>
      </w:r>
      <w:r>
        <w:rPr>
          <w:rFonts w:ascii="Arial" w:hAnsi="Arial" w:hint="default"/>
          <w:i w:val="1"/>
          <w:iCs w:val="1"/>
          <w:outline w:val="0"/>
          <w:color w:val="000000"/>
          <w:u w:color="000000"/>
          <w:rtl w:val="0"/>
          <w:lang w:val="en-US"/>
          <w14:textFill>
            <w14:solidFill>
              <w14:srgbClr w14:val="000000"/>
            </w14:solidFill>
          </w14:textFill>
        </w:rPr>
        <w:t xml:space="preserve">— </w:t>
      </w:r>
      <w:r>
        <w:rPr>
          <w:rFonts w:ascii="Arial" w:hAnsi="Arial"/>
          <w:i w:val="1"/>
          <w:iCs w:val="1"/>
          <w:outline w:val="0"/>
          <w:color w:val="000000"/>
          <w:u w:color="000000"/>
          <w:rtl w:val="0"/>
          <w:lang w:val="en-US"/>
          <w14:textFill>
            <w14:solidFill>
              <w14:srgbClr w14:val="000000"/>
            </w14:solidFill>
          </w14:textFill>
        </w:rPr>
        <w:t>Cybersecurity Operations Lead</w:t>
      </w:r>
      <w:r>
        <w:rPr>
          <w:rFonts w:ascii="Arial" w:hAnsi="Arial"/>
          <w:outline w:val="0"/>
          <w:color w:val="000000"/>
          <w:u w:color="000000"/>
          <w:rtl w:val="0"/>
          <w:lang w:val="en-US"/>
          <w14:textFill>
            <w14:solidFill>
              <w14:srgbClr w14:val="000000"/>
            </w14:solidFill>
          </w14:textFill>
        </w:rPr>
        <w:t>: Responsible for ZNU's Azure cloud security architecture and campus network security, including experience responding to wartime cyber threats targeting university infrastructure. Contributes hands-on Ukrainian operational experience to Module 2 and the attack scenario library in WP4, grounding cybersecurity pedagogy in documented real-world incidents.</w:t>
      </w:r>
    </w:p>
    <w:p>
      <w:pPr>
        <w:pStyle w:val="Body"/>
        <w:spacing w:after="120"/>
      </w:pPr>
      <w:r>
        <w:rPr>
          <w:rFonts w:ascii="Arial" w:hAnsi="Arial"/>
          <w:i w:val="1"/>
          <w:iCs w:val="1"/>
          <w:outline w:val="0"/>
          <w:color w:val="000000"/>
          <w:u w:color="000000"/>
          <w:rtl w:val="0"/>
          <w:lang w:val="en-US"/>
          <w14:textFill>
            <w14:solidFill>
              <w14:srgbClr w14:val="000000"/>
            </w14:solidFill>
          </w14:textFill>
        </w:rPr>
        <w:t xml:space="preserve">Dr. [Name], Engineering Institute </w:t>
      </w:r>
      <w:r>
        <w:rPr>
          <w:rFonts w:ascii="Arial" w:hAnsi="Arial" w:hint="default"/>
          <w:i w:val="1"/>
          <w:iCs w:val="1"/>
          <w:outline w:val="0"/>
          <w:color w:val="000000"/>
          <w:u w:color="000000"/>
          <w:rtl w:val="0"/>
          <w:lang w:val="en-US"/>
          <w14:textFill>
            <w14:solidFill>
              <w14:srgbClr w14:val="000000"/>
            </w14:solidFill>
          </w14:textFill>
        </w:rPr>
        <w:t xml:space="preserve">— </w:t>
      </w:r>
      <w:r>
        <w:rPr>
          <w:rFonts w:ascii="Arial" w:hAnsi="Arial"/>
          <w:i w:val="1"/>
          <w:iCs w:val="1"/>
          <w:outline w:val="0"/>
          <w:color w:val="000000"/>
          <w:u w:color="000000"/>
          <w:rtl w:val="0"/>
          <w:lang w:val="en-US"/>
          <w14:textFill>
            <w14:solidFill>
              <w14:srgbClr w14:val="000000"/>
            </w14:solidFill>
          </w14:textFill>
        </w:rPr>
        <w:t>Renewable Energy Systems Researcher</w:t>
      </w:r>
      <w:r>
        <w:rPr>
          <w:rFonts w:ascii="Arial" w:hAnsi="Arial"/>
          <w:outline w:val="0"/>
          <w:color w:val="000000"/>
          <w:u w:color="000000"/>
          <w:rtl w:val="0"/>
          <w:lang w:val="en-US"/>
          <w14:textFill>
            <w14:solidFill>
              <w14:srgbClr w14:val="000000"/>
            </w14:solidFill>
          </w14:textFill>
        </w:rPr>
        <w:t>: Expertise in solar and wind integration, grid stability under high renewable penetration, and energy storage. Contributes to Living Lab design and Module 1's renewable integration content.</w:t>
      </w:r>
    </w:p>
    <w:p>
      <w:pPr>
        <w:pStyle w:val="Body"/>
        <w:spacing w:after="120"/>
      </w:pPr>
      <w:r>
        <w:rPr>
          <w:rFonts w:ascii="Arial" w:hAnsi="Arial"/>
          <w:b w:val="1"/>
          <w:bCs w:val="1"/>
          <w:outline w:val="0"/>
          <w:color w:val="000000"/>
          <w:u w:color="000000"/>
          <w:rtl w:val="0"/>
          <w:lang w:val="en-US"/>
          <w14:textFill>
            <w14:solidFill>
              <w14:srgbClr w14:val="000000"/>
            </w14:solidFill>
          </w14:textFill>
        </w:rPr>
        <w:t xml:space="preserve">Ukrainian Partner 2 (UP2) </w:t>
      </w:r>
      <w:r>
        <w:rPr>
          <w:rFonts w:ascii="Arial" w:hAnsi="Arial" w:hint="default"/>
          <w:b w:val="1"/>
          <w:bCs w:val="1"/>
          <w:outline w:val="0"/>
          <w:color w:val="000000"/>
          <w:u w:color="000000"/>
          <w:rtl w:val="0"/>
          <w:lang w:val="en-US"/>
          <w14:textFill>
            <w14:solidFill>
              <w14:srgbClr w14:val="000000"/>
            </w14:solidFill>
          </w14:textFill>
        </w:rPr>
        <w:t xml:space="preserve">— </w:t>
      </w:r>
      <w:r>
        <w:rPr>
          <w:rFonts w:ascii="Arial" w:hAnsi="Arial"/>
          <w:b w:val="1"/>
          <w:bCs w:val="1"/>
          <w:outline w:val="0"/>
          <w:color w:val="000000"/>
          <w:u w:color="000000"/>
          <w:rtl w:val="0"/>
          <w:lang w:val="en-US"/>
          <w14:textFill>
            <w14:solidFill>
              <w14:srgbClr w14:val="000000"/>
            </w14:solidFill>
          </w14:textFill>
        </w:rPr>
        <w:t>[To be confirmed by NTNU]</w:t>
      </w:r>
    </w:p>
    <w:p>
      <w:pPr>
        <w:pStyle w:val="Body"/>
        <w:spacing w:after="120"/>
      </w:pPr>
      <w:r>
        <w:rPr>
          <w:rFonts w:ascii="Arial" w:hAnsi="Arial"/>
          <w:outline w:val="0"/>
          <w:color w:val="000000"/>
          <w:u w:color="000000"/>
          <w:rtl w:val="0"/>
          <w:lang w:val="en-US"/>
          <w14:textFill>
            <w14:solidFill>
              <w14:srgbClr w14:val="000000"/>
            </w14:solidFill>
          </w14:textFill>
        </w:rPr>
        <w:t>UP2 will contribute faculty expertise complementary to ZNU's profile, ideally including established computer science or cybersecurity faculty, broadening the project's geographic reach within Ukraine and ensuring at least one partner institution is situated outside the highest-conflict-risk zone. UP2's Project Lead will co-lead WP3 (student activities) and contribute to WP1 accreditation at their institution. Personnel details will be confirmed and incorporated into the final application upon UP2 formalisation.</w:t>
      </w:r>
    </w:p>
    <w:p>
      <w:pPr>
        <w:pStyle w:val="Body"/>
        <w:spacing w:after="120"/>
      </w:pPr>
      <w:r>
        <w:rPr>
          <w:rFonts w:ascii="Arial" w:hAnsi="Arial"/>
          <w:b w:val="1"/>
          <w:bCs w:val="1"/>
          <w:outline w:val="0"/>
          <w:color w:val="000000"/>
          <w:u w:color="000000"/>
          <w:rtl w:val="0"/>
          <w:lang w:val="en-US"/>
          <w14:textFill>
            <w14:solidFill>
              <w14:srgbClr w14:val="000000"/>
            </w14:solidFill>
          </w14:textFill>
        </w:rPr>
        <w:t>Complementarity of Expertise</w:t>
      </w:r>
    </w:p>
    <w:p>
      <w:pPr>
        <w:pStyle w:val="Body"/>
        <w:spacing w:after="120"/>
      </w:pPr>
      <w:r>
        <w:rPr>
          <w:rFonts w:ascii="Arial" w:hAnsi="Arial"/>
          <w:outline w:val="0"/>
          <w:color w:val="000000"/>
          <w:u w:color="000000"/>
          <w:rtl w:val="0"/>
          <w:lang w:val="en-US"/>
          <w14:textFill>
            <w14:solidFill>
              <w14:srgbClr w14:val="000000"/>
            </w14:solidFill>
          </w14:textFill>
        </w:rPr>
        <w:t>The consortium deliberately integrates complementary expertise no single institution possesses: NTNU contributes world-class energy systems engineering and OT cybersecurity research; ZNU contributes frontline operational experience with energy infrastructure under attack, existing smart grid and digital twin research, and HPC/cloud infrastructure; UP2 broadens disciplinary and geographic coverage. This complementarity ensures that the curriculum produced reflects both international best practice (NTNU) and Ukrainian operational reality (ZNU).</w:t>
      </w:r>
    </w:p>
    <w:p>
      <w:pPr>
        <w:pStyle w:val="No Spacing"/>
      </w:pPr>
    </w:p>
    <w:p>
      <w:pPr>
        <w:pStyle w:val="No Spacing"/>
      </w:pPr>
    </w:p>
    <w:p>
      <w:pPr>
        <w:pStyle w:val="No Spacing"/>
      </w:pPr>
    </w:p>
    <w:p>
      <w:pPr>
        <w:pStyle w:val="No Spacing"/>
      </w:pPr>
    </w:p>
    <w:p>
      <w:pPr>
        <w:pStyle w:val="No Spacing"/>
        <w:rPr>
          <w:b w:val="1"/>
          <w:bCs w:val="1"/>
        </w:rPr>
      </w:pPr>
      <w:r>
        <w:rPr>
          <w:b w:val="1"/>
          <w:bCs w:val="1"/>
          <w:rtl w:val="0"/>
          <w:lang w:val="en-US"/>
        </w:rPr>
        <w:t>3.2</w:t>
        <w:tab/>
        <w:t>Involvement, interaction and division of work between the project partners</w:t>
      </w:r>
    </w:p>
    <w:p>
      <w:pPr>
        <w:pStyle w:val="No Spacing"/>
      </w:pPr>
    </w:p>
    <w:p>
      <w:pPr>
        <w:pStyle w:val="No Spacing"/>
      </w:pPr>
    </w:p>
    <w:p>
      <w:pPr>
        <w:pStyle w:val="No Spacing"/>
      </w:pPr>
    </w:p>
    <w:p>
      <w:pPr>
        <w:pStyle w:val="Body"/>
        <w:spacing w:after="120"/>
      </w:pPr>
      <w:r>
        <w:rPr>
          <w:rFonts w:ascii="Arial" w:hAnsi="Arial"/>
          <w:b w:val="1"/>
          <w:bCs w:val="1"/>
          <w:outline w:val="0"/>
          <w:color w:val="000000"/>
          <w:u w:color="000000"/>
          <w:rtl w:val="0"/>
          <w:lang w:val="fr-FR"/>
          <w14:textFill>
            <w14:solidFill>
              <w14:srgbClr w14:val="000000"/>
            </w14:solidFill>
          </w14:textFill>
        </w:rPr>
        <w:t>Management Structure</w:t>
      </w:r>
    </w:p>
    <w:p>
      <w:pPr>
        <w:pStyle w:val="Body"/>
        <w:spacing w:after="120"/>
      </w:pPr>
      <w:r>
        <w:rPr>
          <w:rFonts w:ascii="Arial" w:hAnsi="Arial"/>
          <w:outline w:val="0"/>
          <w:color w:val="000000"/>
          <w:u w:color="000000"/>
          <w:rtl w:val="0"/>
          <w:lang w:val="en-US"/>
          <w14:textFill>
            <w14:solidFill>
              <w14:srgbClr w14:val="000000"/>
            </w14:solidFill>
          </w14:textFill>
        </w:rPr>
        <w:t>The project operates through a three-tier governance structure:</w:t>
      </w:r>
    </w:p>
    <w:p>
      <w:pPr>
        <w:pStyle w:val="Body"/>
        <w:spacing w:after="80"/>
        <w:ind w:left="283" w:firstLine="0"/>
      </w:pPr>
      <w:r>
        <w:rPr>
          <w:rFonts w:ascii="Arial" w:hAnsi="Arial"/>
          <w:outline w:val="0"/>
          <w:color w:val="000000"/>
          <w:u w:color="000000"/>
          <w:rtl w:val="0"/>
          <w14:textFill>
            <w14:solidFill>
              <w14:srgbClr w14:val="000000"/>
            </w14:solidFill>
          </w14:textFill>
        </w:rPr>
        <w:t xml:space="preserve">1. </w:t>
      </w:r>
      <w:r>
        <w:rPr>
          <w:rFonts w:ascii="Arial" w:hAnsi="Arial"/>
          <w:i w:val="1"/>
          <w:iCs w:val="1"/>
          <w:outline w:val="0"/>
          <w:color w:val="000000"/>
          <w:u w:color="000000"/>
          <w:rtl w:val="0"/>
          <w:lang w:val="en-US"/>
          <w14:textFill>
            <w14:solidFill>
              <w14:srgbClr w14:val="000000"/>
            </w14:solidFill>
          </w14:textFill>
        </w:rPr>
        <w:t>Steering Committee (SC)</w:t>
      </w:r>
      <w:r>
        <w:rPr>
          <w:rFonts w:ascii="Arial" w:hAnsi="Arial"/>
          <w:outline w:val="0"/>
          <w:color w:val="000000"/>
          <w:u w:color="000000"/>
          <w:rtl w:val="0"/>
          <w:lang w:val="en-US"/>
          <w14:textFill>
            <w14:solidFill>
              <w14:srgbClr w14:val="000000"/>
            </w14:solidFill>
          </w14:textFill>
        </w:rPr>
        <w:t>: Composed of one senior representative from each partner institution (including at least one female member per institution), the SC meets bi-annually (online) to approve major decisions, review progress against milestones, manage budget reallocations, and resolve disputes. The SC reviews and approves the Annual Progress Report submitted to HK-dir. NTNU's Project Coordinator chairs the SC.</w:t>
      </w:r>
    </w:p>
    <w:p>
      <w:pPr>
        <w:pStyle w:val="Body"/>
        <w:spacing w:after="80"/>
        <w:ind w:left="283" w:firstLine="0"/>
      </w:pPr>
      <w:r>
        <w:rPr>
          <w:rFonts w:ascii="Arial" w:hAnsi="Arial"/>
          <w:outline w:val="0"/>
          <w:color w:val="000000"/>
          <w:u w:color="000000"/>
          <w:rtl w:val="0"/>
          <w14:textFill>
            <w14:solidFill>
              <w14:srgbClr w14:val="000000"/>
            </w14:solidFill>
          </w14:textFill>
        </w:rPr>
        <w:t xml:space="preserve">2. </w:t>
      </w:r>
      <w:r>
        <w:rPr>
          <w:rFonts w:ascii="Arial" w:hAnsi="Arial"/>
          <w:i w:val="1"/>
          <w:iCs w:val="1"/>
          <w:outline w:val="0"/>
          <w:color w:val="000000"/>
          <w:u w:color="000000"/>
          <w:rtl w:val="0"/>
          <w:lang w:val="en-US"/>
          <w14:textFill>
            <w14:solidFill>
              <w14:srgbClr w14:val="000000"/>
            </w14:solidFill>
          </w14:textFill>
        </w:rPr>
        <w:t>Operational Management Team (OMT)</w:t>
      </w:r>
      <w:r>
        <w:rPr>
          <w:rFonts w:ascii="Arial" w:hAnsi="Arial"/>
          <w:outline w:val="0"/>
          <w:color w:val="000000"/>
          <w:u w:color="000000"/>
          <w:rtl w:val="0"/>
          <w:lang w:val="en-US"/>
          <w14:textFill>
            <w14:solidFill>
              <w14:srgbClr w14:val="000000"/>
            </w14:solidFill>
          </w14:textFill>
        </w:rPr>
        <w:t>: Consisting of the Project Coordinator (NTNU), ZNU Project Lead, UP2 Project Lead, and NTNU Project Manager, the OMT meets monthly (online) for operational coordination, monitoring of activity timelines, and identification of emerging risks. Decision-making uses consensus with NTNU holding tie-breaking authority as coordinator. The OMT maintains a shared project management workspace (Teams/SharePoint) with live Gantt chart, risk register, and financial tracking.</w:t>
      </w:r>
    </w:p>
    <w:p>
      <w:pPr>
        <w:pStyle w:val="Body"/>
        <w:spacing w:after="80"/>
        <w:ind w:left="283" w:firstLine="0"/>
      </w:pPr>
      <w:r>
        <w:rPr>
          <w:rFonts w:ascii="Arial" w:hAnsi="Arial"/>
          <w:outline w:val="0"/>
          <w:color w:val="000000"/>
          <w:u w:color="000000"/>
          <w:rtl w:val="0"/>
          <w14:textFill>
            <w14:solidFill>
              <w14:srgbClr w14:val="000000"/>
            </w14:solidFill>
          </w14:textFill>
        </w:rPr>
        <w:t xml:space="preserve">3. </w:t>
      </w:r>
      <w:r>
        <w:rPr>
          <w:rFonts w:ascii="Arial" w:hAnsi="Arial"/>
          <w:i w:val="1"/>
          <w:iCs w:val="1"/>
          <w:outline w:val="0"/>
          <w:color w:val="000000"/>
          <w:u w:color="000000"/>
          <w:rtl w:val="0"/>
          <w:lang w:val="en-US"/>
          <w14:textFill>
            <w14:solidFill>
              <w14:srgbClr w14:val="000000"/>
            </w14:solidFill>
          </w14:textFill>
        </w:rPr>
        <w:t>Work Package Leaders</w:t>
      </w:r>
      <w:r>
        <w:rPr>
          <w:rFonts w:ascii="Arial" w:hAnsi="Arial"/>
          <w:outline w:val="0"/>
          <w:color w:val="000000"/>
          <w:u w:color="000000"/>
          <w:rtl w:val="0"/>
          <w:lang w:val="en-US"/>
          <w14:textFill>
            <w14:solidFill>
              <w14:srgbClr w14:val="000000"/>
            </w14:solidFill>
          </w14:textFill>
        </w:rPr>
        <w:t>: Each WP is led by a designated lead institution with a named WP Leader. WP leads report monthly progress updates to the OMT.</w:t>
      </w:r>
    </w:p>
    <w:p>
      <w:pPr>
        <w:pStyle w:val="Body"/>
        <w:spacing w:after="120"/>
      </w:pPr>
      <w:r>
        <w:rPr>
          <w:rFonts w:ascii="Arial" w:hAnsi="Arial"/>
          <w:b w:val="1"/>
          <w:bCs w:val="1"/>
          <w:outline w:val="0"/>
          <w:color w:val="000000"/>
          <w:u w:color="000000"/>
          <w:rtl w:val="0"/>
          <w:lang w:val="en-US"/>
          <w14:textFill>
            <w14:solidFill>
              <w14:srgbClr w14:val="000000"/>
            </w14:solidFill>
          </w14:textFill>
        </w:rPr>
        <w:t>Division of Roles and Budget</w:t>
      </w:r>
    </w:p>
    <w:p>
      <w:pPr>
        <w:pStyle w:val="Body"/>
        <w:spacing w:after="120"/>
      </w:pPr>
      <w:r>
        <w:rPr>
          <w:rFonts w:ascii="Arial" w:hAnsi="Arial"/>
          <w:outline w:val="0"/>
          <w:color w:val="000000"/>
          <w:u w:color="000000"/>
          <w:rtl w:val="0"/>
          <w:lang w:val="en-US"/>
          <w14:textFill>
            <w14:solidFill>
              <w14:srgbClr w14:val="000000"/>
            </w14:solidFill>
          </w14:textFill>
        </w:rPr>
        <w:t>NTNU (Coordinator, ~35% of budget): Leads WP1 curriculum architecture and Module 2 cybersecurity content; leads WP5 dissemination; co-leads WP4 digital twin design; hosts training weeks and student exchanges; provides financial management and reporting; manages procurement oversight.</w:t>
      </w:r>
    </w:p>
    <w:p>
      <w:pPr>
        <w:pStyle w:val="Body"/>
        <w:spacing w:after="120"/>
      </w:pPr>
      <w:r>
        <w:rPr>
          <w:rFonts w:ascii="Arial" w:hAnsi="Arial"/>
          <w:outline w:val="0"/>
          <w:color w:val="000000"/>
          <w:u w:color="000000"/>
          <w:rtl w:val="0"/>
          <w:lang w:val="en-US"/>
          <w14:textFill>
            <w14:solidFill>
              <w14:srgbClr w14:val="000000"/>
            </w14:solidFill>
          </w14:textFill>
        </w:rPr>
        <w:t>ZNU (Ukrainian Partner 1, ~40% of budget): Leads WP4 Living Lab installation and operation; co-leads WP2 staff training; leads WP1 Ukrainian regulatory contextualisation and accreditation; hosts stakeholder workshops; operates the cyber range; manages ZNU student exchanges and CTF coordination.</w:t>
      </w:r>
    </w:p>
    <w:p>
      <w:pPr>
        <w:pStyle w:val="Body"/>
        <w:spacing w:after="120"/>
      </w:pPr>
      <w:r>
        <w:rPr>
          <w:rFonts w:ascii="Arial" w:hAnsi="Arial"/>
          <w:outline w:val="0"/>
          <w:color w:val="000000"/>
          <w:u w:color="000000"/>
          <w:rtl w:val="0"/>
          <w:lang w:val="en-US"/>
          <w14:textFill>
            <w14:solidFill>
              <w14:srgbClr w14:val="000000"/>
            </w14:solidFill>
          </w14:textFill>
        </w:rPr>
        <w:t>UP2 (Ukrainian Partner 2, ~25% of budget): Leads WP3 student activities coordination; co-leads WP2 staff training at UP2; manages UP2 curriculum accreditation; contributes to WP5 national stakeholder engagement.</w:t>
      </w:r>
    </w:p>
    <w:p>
      <w:pPr>
        <w:pStyle w:val="Body"/>
        <w:spacing w:after="120"/>
      </w:pPr>
      <w:r>
        <w:rPr>
          <w:rFonts w:ascii="Arial" w:hAnsi="Arial"/>
          <w:outline w:val="0"/>
          <w:color w:val="000000"/>
          <w:u w:color="000000"/>
          <w:rtl w:val="0"/>
          <w:lang w:val="en-US"/>
          <w14:textFill>
            <w14:solidFill>
              <w14:srgbClr w14:val="000000"/>
            </w14:solidFill>
          </w14:textFill>
        </w:rPr>
        <w:t xml:space="preserve">Norwegian/non-Ukrainian personnel costs are maintained at 28% of total budget, satisfying the </w:t>
      </w:r>
      <w:r>
        <w:rPr>
          <w:rFonts w:ascii="Arial" w:hAnsi="Arial" w:hint="default"/>
          <w:outline w:val="0"/>
          <w:color w:val="000000"/>
          <w:u w:color="000000"/>
          <w:rtl w:val="0"/>
          <w:lang w:val="en-US"/>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30% requirement.</w:t>
      </w:r>
    </w:p>
    <w:p>
      <w:pPr>
        <w:pStyle w:val="Body"/>
        <w:spacing w:after="120"/>
      </w:pPr>
      <w:r>
        <w:rPr>
          <w:rFonts w:ascii="Arial" w:hAnsi="Arial"/>
          <w:b w:val="1"/>
          <w:bCs w:val="1"/>
          <w:outline w:val="0"/>
          <w:color w:val="000000"/>
          <w:u w:color="000000"/>
          <w:rtl w:val="0"/>
          <w:lang w:val="en-US"/>
          <w14:textFill>
            <w14:solidFill>
              <w14:srgbClr w14:val="000000"/>
            </w14:solidFill>
          </w14:textFill>
        </w:rPr>
        <w:t>Communication and Coordination Mechanisms</w:t>
      </w:r>
    </w:p>
    <w:p>
      <w:pPr>
        <w:pStyle w:val="Body"/>
        <w:spacing w:after="120"/>
      </w:pPr>
      <w:r>
        <w:rPr>
          <w:rFonts w:ascii="Arial" w:hAnsi="Arial"/>
          <w:outline w:val="0"/>
          <w:color w:val="000000"/>
          <w:u w:color="000000"/>
          <w:rtl w:val="0"/>
          <w:lang w:val="en-US"/>
          <w14:textFill>
            <w14:solidFill>
              <w14:srgbClr w14:val="000000"/>
            </w14:solidFill>
          </w14:textFill>
        </w:rPr>
        <w:t>Day-to-day communication occurs through a dedicated Microsoft Teams workspace with channels per WP. All formal communications, decisions, and approvals are documented in writing. Working language is English for consortium-level documents; Ukrainian is used for student-facing materials. A project intranet (SharePoint) maintains all deliverables, financial records, and meeting minutes accessible to all partners and to HK-dir upon request. Quarterly written progress summaries are distributed to all stakeholders. An external newsletter (English/Ukrainian) is published bi-annually for broader audiences including energy sector stakeholders.</w:t>
      </w:r>
    </w:p>
    <w:p>
      <w:pPr>
        <w:pStyle w:val="Body"/>
        <w:spacing w:after="120"/>
      </w:pPr>
      <w:r>
        <w:rPr>
          <w:rFonts w:ascii="Arial" w:hAnsi="Arial"/>
          <w:b w:val="1"/>
          <w:bCs w:val="1"/>
          <w:outline w:val="0"/>
          <w:color w:val="000000"/>
          <w:u w:color="000000"/>
          <w:rtl w:val="0"/>
          <w:lang w:val="de-DE"/>
          <w14:textFill>
            <w14:solidFill>
              <w14:srgbClr w14:val="000000"/>
            </w14:solidFill>
          </w14:textFill>
        </w:rPr>
        <w:t>Stakeholder Engagement Plan</w:t>
      </w:r>
    </w:p>
    <w:p>
      <w:pPr>
        <w:pStyle w:val="Body"/>
        <w:spacing w:after="120"/>
      </w:pPr>
      <w:r>
        <w:rPr>
          <w:rFonts w:ascii="Arial" w:hAnsi="Arial"/>
          <w:outline w:val="0"/>
          <w:color w:val="000000"/>
          <w:u w:color="000000"/>
          <w:rtl w:val="0"/>
          <w:lang w:val="en-US"/>
          <w14:textFill>
            <w14:solidFill>
              <w14:srgbClr w14:val="000000"/>
            </w14:solidFill>
          </w14:textFill>
        </w:rPr>
        <w:t>AI-SmartGrid recognises that academic outputs achieve impact only when connected to operational communities. A structured stakeholder engagement plan operates through:</w:t>
      </w:r>
    </w:p>
    <w:p>
      <w:pPr>
        <w:pStyle w:val="Body"/>
        <w:spacing w:after="80"/>
        <w:ind w:left="425" w:hanging="198"/>
      </w:pPr>
      <w:r>
        <w:rPr>
          <w:rtl w:val="0"/>
        </w:rPr>
        <w:t xml:space="preserve">– </w:t>
      </w:r>
      <w:r>
        <w:rPr>
          <w:rFonts w:ascii="Arial" w:hAnsi="Arial"/>
          <w:i w:val="1"/>
          <w:iCs w:val="1"/>
          <w:outline w:val="0"/>
          <w:color w:val="000000"/>
          <w:u w:color="000000"/>
          <w:rtl w:val="0"/>
          <w:lang w:val="en-US"/>
          <w14:textFill>
            <w14:solidFill>
              <w14:srgbClr w14:val="000000"/>
            </w14:solidFill>
          </w14:textFill>
        </w:rPr>
        <w:t>CERT-UA and National Cybersecurity Coordination Centre (NCCC)</w:t>
      </w:r>
      <w:r>
        <w:rPr>
          <w:rFonts w:ascii="Arial" w:hAnsi="Arial"/>
          <w:outline w:val="0"/>
          <w:color w:val="000000"/>
          <w:u w:color="000000"/>
          <w:rtl w:val="0"/>
          <w:lang w:val="en-US"/>
          <w14:textFill>
            <w14:solidFill>
              <w14:srgbClr w14:val="000000"/>
            </w14:solidFill>
          </w14:textFill>
        </w:rPr>
        <w:t>: Engaged from Month 3 as advisory stakeholders, contributing to curriculum needs analysis (WP1) and the attack scenario library (WP4). CERT-UA's publicly documented incident reports inform pedagogical scenarios. CERT-UA representatives are invited to the annual national workshop (WP5).</w:t>
      </w:r>
    </w:p>
    <w:p>
      <w:pPr>
        <w:pStyle w:val="Body"/>
        <w:spacing w:after="80"/>
        <w:ind w:left="425" w:hanging="198"/>
      </w:pPr>
      <w:r>
        <w:rPr>
          <w:rtl w:val="0"/>
        </w:rPr>
        <w:t xml:space="preserve">– </w:t>
      </w:r>
      <w:r>
        <w:rPr>
          <w:rFonts w:ascii="Arial" w:hAnsi="Arial"/>
          <w:i w:val="1"/>
          <w:iCs w:val="1"/>
          <w:outline w:val="0"/>
          <w:color w:val="000000"/>
          <w:u w:color="000000"/>
          <w:rtl w:val="0"/>
          <w:lang w:val="en-US"/>
          <w14:textFill>
            <w14:solidFill>
              <w14:srgbClr w14:val="000000"/>
            </w14:solidFill>
          </w14:textFill>
        </w:rPr>
        <w:t>Ukrenergo and Regional Distribution Companies (Oblenergo)</w:t>
      </w:r>
      <w:r>
        <w:rPr>
          <w:rFonts w:ascii="Arial" w:hAnsi="Arial"/>
          <w:outline w:val="0"/>
          <w:color w:val="000000"/>
          <w:u w:color="000000"/>
          <w:rtl w:val="0"/>
          <w:lang w:val="en-US"/>
          <w14:textFill>
            <w14:solidFill>
              <w14:srgbClr w14:val="000000"/>
            </w14:solidFill>
          </w14:textFill>
        </w:rPr>
        <w:t>: Two oblenergo companies (ZNU's regional contacts) participate as industry advisors, reviewing curriculum content for operational relevance and hosting student field visits (subject to security assessment). They nominate 10 employees per year for professional development workshops.</w:t>
      </w:r>
    </w:p>
    <w:p>
      <w:pPr>
        <w:pStyle w:val="Body"/>
        <w:spacing w:after="80"/>
        <w:ind w:left="425" w:hanging="198"/>
      </w:pPr>
      <w:r>
        <w:rPr>
          <w:rtl w:val="0"/>
        </w:rPr>
        <w:t xml:space="preserve">– </w:t>
      </w:r>
      <w:r>
        <w:rPr>
          <w:rFonts w:ascii="Arial" w:hAnsi="Arial"/>
          <w:i w:val="1"/>
          <w:iCs w:val="1"/>
          <w:outline w:val="0"/>
          <w:color w:val="000000"/>
          <w:u w:color="000000"/>
          <w:rtl w:val="0"/>
          <w:lang w:val="en-US"/>
          <w14:textFill>
            <w14:solidFill>
              <w14:srgbClr w14:val="000000"/>
            </w14:solidFill>
          </w14:textFill>
        </w:rPr>
        <w:t>Norwegian Water Resources and Energy Directorate (NVE) and National Security Authority (NSM)</w:t>
      </w:r>
      <w:r>
        <w:rPr>
          <w:rFonts w:ascii="Arial" w:hAnsi="Arial"/>
          <w:outline w:val="0"/>
          <w:color w:val="000000"/>
          <w:u w:color="000000"/>
          <w:rtl w:val="0"/>
          <w:lang w:val="en-US"/>
          <w14:textFill>
            <w14:solidFill>
              <w14:srgbClr w14:val="000000"/>
            </w14:solidFill>
          </w14:textFill>
        </w:rPr>
        <w:t xml:space="preserve">: NVE and NSM participate as advisory observers, sharing Norway's experience of operationalising energy sector cybersecurity regulation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directly relevant to Ukraine's NIS2 alignment process.</w:t>
      </w:r>
    </w:p>
    <w:p>
      <w:pPr>
        <w:pStyle w:val="Body"/>
        <w:spacing w:after="80"/>
        <w:ind w:left="425" w:hanging="198"/>
      </w:pPr>
      <w:r>
        <w:rPr>
          <w:rtl w:val="0"/>
        </w:rPr>
        <w:t xml:space="preserve">– </w:t>
      </w:r>
      <w:r>
        <w:rPr>
          <w:rFonts w:ascii="Arial" w:hAnsi="Arial"/>
          <w:i w:val="1"/>
          <w:iCs w:val="1"/>
          <w:outline w:val="0"/>
          <w:color w:val="000000"/>
          <w:u w:color="000000"/>
          <w:rtl w:val="0"/>
          <w:lang w:val="en-US"/>
          <w14:textFill>
            <w14:solidFill>
              <w14:srgbClr w14:val="000000"/>
            </w14:solidFill>
          </w14:textFill>
        </w:rPr>
        <w:t>EU Delegation to Ukraine and ENISA</w:t>
      </w:r>
      <w:r>
        <w:rPr>
          <w:rFonts w:ascii="Arial" w:hAnsi="Arial"/>
          <w:outline w:val="0"/>
          <w:color w:val="000000"/>
          <w:u w:color="000000"/>
          <w:rtl w:val="0"/>
          <w:lang w:val="en-US"/>
          <w14:textFill>
            <w14:solidFill>
              <w14:srgbClr w14:val="000000"/>
            </w14:solidFill>
          </w14:textFill>
        </w:rPr>
        <w:t>: Invited to the Year 3 national workshop and OER launch event, supporting visibility within Ukraine's EU integration process.</w:t>
      </w:r>
    </w:p>
    <w:p>
      <w:pPr>
        <w:pStyle w:val="Body"/>
        <w:spacing w:after="80"/>
        <w:ind w:left="425" w:hanging="198"/>
      </w:pPr>
      <w:r>
        <w:rPr>
          <w:rtl w:val="0"/>
        </w:rPr>
        <w:t xml:space="preserve">– </w:t>
      </w:r>
      <w:r>
        <w:rPr>
          <w:rFonts w:ascii="Arial" w:hAnsi="Arial"/>
          <w:i w:val="1"/>
          <w:iCs w:val="1"/>
          <w:outline w:val="0"/>
          <w:color w:val="000000"/>
          <w:u w:color="000000"/>
          <w:rtl w:val="0"/>
          <w:lang w:val="en-US"/>
          <w14:textFill>
            <w14:solidFill>
              <w14:srgbClr w14:val="000000"/>
            </w14:solidFill>
          </w14:textFill>
        </w:rPr>
        <w:t>Ukrainian Ministry of Energy and Ministry of Digital Transformation</w:t>
      </w:r>
      <w:r>
        <w:rPr>
          <w:rFonts w:ascii="Arial" w:hAnsi="Arial"/>
          <w:outline w:val="0"/>
          <w:color w:val="000000"/>
          <w:u w:color="000000"/>
          <w:rtl w:val="0"/>
          <w:lang w:val="en-US"/>
          <w14:textFill>
            <w14:solidFill>
              <w14:srgbClr w14:val="000000"/>
            </w14:solidFill>
          </w14:textFill>
        </w:rPr>
        <w:t>: Engaged through WP5 policy briefs and invited to annual workshops, ensuring project outputs inform national policy on critical infrastructure cybersecurity workforce development.</w:t>
      </w:r>
    </w:p>
    <w:p>
      <w:pPr>
        <w:pStyle w:val="Body"/>
        <w:spacing w:after="120"/>
      </w:pPr>
      <w:r>
        <w:rPr>
          <w:rFonts w:ascii="Arial" w:hAnsi="Arial"/>
          <w:outline w:val="0"/>
          <w:color w:val="000000"/>
          <w:u w:color="000000"/>
          <w:rtl w:val="0"/>
          <w:lang w:val="en-US"/>
          <w14:textFill>
            <w14:solidFill>
              <w14:srgbClr w14:val="000000"/>
            </w14:solidFill>
          </w14:textFill>
        </w:rPr>
        <w:t>Stakeholder satisfaction is assessed through annual structured surveys; findings inform project adaptation through the OMT.</w:t>
      </w:r>
    </w:p>
    <w:p>
      <w:pPr>
        <w:pStyle w:val="No Spacing"/>
      </w:pPr>
    </w:p>
    <w:p>
      <w:pPr>
        <w:pStyle w:val="No Spacing"/>
      </w:pPr>
    </w:p>
    <w:p>
      <w:pPr>
        <w:pStyle w:val="No Spacing"/>
      </w:pPr>
    </w:p>
    <w:p>
      <w:pPr>
        <w:pStyle w:val="No Spacing"/>
      </w:pPr>
    </w:p>
    <w:p>
      <w:pPr>
        <w:pStyle w:val="Body"/>
      </w:pPr>
      <w:r>
        <w:rPr>
          <w:rFonts w:ascii="Arial Unicode MS" w:cs="Arial Unicode MS" w:hAnsi="Arial Unicode MS" w:eastAsia="Arial Unicode MS"/>
          <w:b w:val="0"/>
          <w:bCs w:val="0"/>
          <w:i w:val="0"/>
          <w:iCs w:val="0"/>
          <w:sz w:val="32"/>
          <w:szCs w:val="32"/>
        </w:rPr>
        <w:br w:type="page"/>
      </w:r>
    </w:p>
    <w:p>
      <w:pPr>
        <w:pStyle w:val="Body"/>
        <w:keepNext w:val="1"/>
        <w:keepLines w:val="1"/>
        <w:spacing w:before="200" w:after="120"/>
        <w:outlineLvl w:val="1"/>
        <w:rPr>
          <w:b w:val="1"/>
          <w:bCs w:val="1"/>
          <w:sz w:val="32"/>
          <w:szCs w:val="32"/>
        </w:rPr>
      </w:pPr>
      <w:r>
        <w:rPr>
          <w:b w:val="1"/>
          <w:bCs w:val="1"/>
          <w:sz w:val="32"/>
          <w:szCs w:val="32"/>
          <w:rtl w:val="0"/>
        </w:rPr>
        <w:t>4</w:t>
        <w:tab/>
        <w:t xml:space="preserve">Project impact </w:t>
      </w:r>
    </w:p>
    <w:p>
      <w:pPr>
        <w:pStyle w:val="No Spacing"/>
      </w:pPr>
    </w:p>
    <w:p>
      <w:pPr>
        <w:pStyle w:val="No Spacing"/>
        <w:rPr>
          <w:b w:val="1"/>
          <w:bCs w:val="1"/>
        </w:rPr>
      </w:pPr>
      <w:r>
        <w:rPr>
          <w:b w:val="1"/>
          <w:bCs w:val="1"/>
          <w:rtl w:val="0"/>
          <w:lang w:val="en-US"/>
        </w:rPr>
        <w:t>4.1</w:t>
        <w:tab/>
        <w:t xml:space="preserve">The project impact and possible measures to promote dissemination </w:t>
      </w:r>
    </w:p>
    <w:p>
      <w:pPr>
        <w:pStyle w:val="No Spacing"/>
      </w:pPr>
    </w:p>
    <w:p>
      <w:pPr>
        <w:pStyle w:val="No Spacing"/>
      </w:pPr>
    </w:p>
    <w:p>
      <w:pPr>
        <w:pStyle w:val="No Spacing"/>
      </w:pPr>
    </w:p>
    <w:p>
      <w:pPr>
        <w:pStyle w:val="Body"/>
        <w:spacing w:after="120"/>
      </w:pPr>
      <w:r>
        <w:rPr>
          <w:rFonts w:ascii="Arial" w:hAnsi="Arial"/>
          <w:b w:val="1"/>
          <w:bCs w:val="1"/>
          <w:outline w:val="0"/>
          <w:color w:val="000000"/>
          <w:u w:color="000000"/>
          <w:rtl w:val="0"/>
          <w:lang w:val="en-US"/>
          <w14:textFill>
            <w14:solidFill>
              <w14:srgbClr w14:val="000000"/>
            </w14:solidFill>
          </w14:textFill>
        </w:rPr>
        <w:t>Direct Impact on Target Groups</w:t>
      </w:r>
    </w:p>
    <w:p>
      <w:pPr>
        <w:pStyle w:val="Body"/>
        <w:spacing w:after="120"/>
      </w:pPr>
      <w:r>
        <w:rPr>
          <w:rFonts w:ascii="Arial" w:hAnsi="Arial"/>
          <w:outline w:val="0"/>
          <w:color w:val="000000"/>
          <w:u w:color="000000"/>
          <w:rtl w:val="0"/>
          <w:lang w:val="en-US"/>
          <w14:textFill>
            <w14:solidFill>
              <w14:srgbClr w14:val="000000"/>
            </w14:solidFill>
          </w14:textFill>
        </w:rPr>
        <w:t>By the end of the three-year project period, AI-SmartGrid will have directly reached: 120 Master's students enrolled in the new cybersecurity and AI modules at Ukrainian partner institutions; 20 academic staff trained in OT cybersecurity and AI pedagogy at NTNU-hosted workshops and CCIS immersion programmes; 6 jointly-supervised PhD researchers producing internationally peer-reviewed research; 12 exchange students undertaking full-semester placements at NTNU; 80 energy sector professionals completing professional development workshops or cyber-range exercises; and an estimated 500+ students and professionals from outside the consortium accessing open educational resources and CTF competitions by project end.</w:t>
      </w:r>
    </w:p>
    <w:p>
      <w:pPr>
        <w:pStyle w:val="Body"/>
        <w:spacing w:after="120"/>
      </w:pPr>
      <w:r>
        <w:rPr>
          <w:rFonts w:ascii="Arial" w:hAnsi="Arial"/>
          <w:outline w:val="0"/>
          <w:color w:val="000000"/>
          <w:u w:color="000000"/>
          <w:rtl w:val="0"/>
          <w:lang w:val="en-US"/>
          <w14:textFill>
            <w14:solidFill>
              <w14:srgbClr w14:val="000000"/>
            </w14:solidFill>
          </w14:textFill>
        </w:rPr>
        <w:t xml:space="preserve">For enrolled Master's students, the impact is transformative in a domain where no prior Ukrainian academic provision exists: graduates will hold competencies in SCADA/ICS security, AI-driven anomaly and intrusion detection, cyber-physical resilience engineering, and critical infrastructure protection frameworks (NIS2, IEC 62351, NERC CIP)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making them immediately employable in Ukraine's energy sector reconstruction, CERT-UA's OT security functions, and national cybersecurity agencies. This is not a marginal curricular upgrade; it is the creation from scratch of an academic pipeline for a professional category that Ukraine currently lacks.</w:t>
      </w:r>
    </w:p>
    <w:p>
      <w:pPr>
        <w:pStyle w:val="Body"/>
        <w:spacing w:after="120"/>
      </w:pPr>
      <w:r>
        <w:rPr>
          <w:rFonts w:ascii="Arial" w:hAnsi="Arial"/>
          <w:b w:val="1"/>
          <w:bCs w:val="1"/>
          <w:outline w:val="0"/>
          <w:color w:val="000000"/>
          <w:u w:color="000000"/>
          <w:rtl w:val="0"/>
          <w:lang w:val="en-US"/>
          <w14:textFill>
            <w14:solidFill>
              <w14:srgbClr w14:val="000000"/>
            </w14:solidFill>
          </w14:textFill>
        </w:rPr>
        <w:t>Institutional Impact</w:t>
      </w:r>
    </w:p>
    <w:p>
      <w:pPr>
        <w:pStyle w:val="Body"/>
        <w:spacing w:after="120"/>
      </w:pPr>
      <w:r>
        <w:rPr>
          <w:rFonts w:ascii="Arial" w:hAnsi="Arial"/>
          <w:outline w:val="0"/>
          <w:color w:val="000000"/>
          <w:u w:color="000000"/>
          <w:rtl w:val="0"/>
          <w:lang w:val="en-US"/>
          <w14:textFill>
            <w14:solidFill>
              <w14:srgbClr w14:val="000000"/>
            </w14:solidFill>
          </w14:textFill>
        </w:rPr>
        <w:t xml:space="preserve">At ZNU, the project permanently transforms the institution's educational and research profile: the Smart Grid Cybersecurity Living Lab becomes a shared national infrastructure facility, the first in Ukraine to provide hands-on OT security training. The new modules, once accredited, are integrated into ZNU's regular Master's degree programmes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 xml:space="preserve">they do not disappear at project end. ZNU staff trained through WP2 carry forward the pedagogical and research capacity to teach, supervise, and continue research in cybersecurity independently. The project positions ZNU as Ukraine's primary academic centre for smart grid cybersecurity education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a distinction of lasting institutional significance that will attract additional research funding and industry partnerships.</w:t>
      </w:r>
    </w:p>
    <w:p>
      <w:pPr>
        <w:pStyle w:val="Body"/>
        <w:spacing w:after="120"/>
      </w:pPr>
      <w:r>
        <w:rPr>
          <w:rFonts w:ascii="Arial" w:hAnsi="Arial"/>
          <w:outline w:val="0"/>
          <w:color w:val="000000"/>
          <w:u w:color="000000"/>
          <w:rtl w:val="0"/>
          <w:lang w:val="en-US"/>
          <w14:textFill>
            <w14:solidFill>
              <w14:srgbClr w14:val="000000"/>
            </w14:solidFill>
          </w14:textFill>
        </w:rPr>
        <w:t xml:space="preserve">At NTNU, the project deepens engagement with Ukrainian reconstruction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14:textFill>
            <w14:solidFill>
              <w14:srgbClr w14:val="000000"/>
            </w14:solidFill>
          </w14:textFill>
        </w:rPr>
        <w:t xml:space="preserve">a major strategic priority for Norwegian foreign policy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and produces research outputs (publications, datasets, attack scenario library) with international academic value. NTNU CCIS gains a unique research partner with first-hand experience of state-sponsored ICS attacks, enabling a quality of research grounded in operational reality unavailable through any other international partnership.</w:t>
      </w:r>
    </w:p>
    <w:p>
      <w:pPr>
        <w:pStyle w:val="Body"/>
        <w:spacing w:after="120"/>
      </w:pPr>
      <w:r>
        <w:rPr>
          <w:rFonts w:ascii="Arial" w:hAnsi="Arial"/>
          <w:b w:val="1"/>
          <w:bCs w:val="1"/>
          <w:outline w:val="0"/>
          <w:color w:val="000000"/>
          <w:u w:color="000000"/>
          <w:rtl w:val="0"/>
          <w:lang w:val="en-US"/>
          <w14:textFill>
            <w14:solidFill>
              <w14:srgbClr w14:val="000000"/>
            </w14:solidFill>
          </w14:textFill>
        </w:rPr>
        <w:t>Regional and National Impact: Building Ukraine's Critical Infrastructure Protection Capability</w:t>
      </w:r>
    </w:p>
    <w:p>
      <w:pPr>
        <w:pStyle w:val="Body"/>
        <w:spacing w:after="120"/>
      </w:pPr>
      <w:r>
        <w:rPr>
          <w:rFonts w:ascii="Arial" w:hAnsi="Arial"/>
          <w:outline w:val="0"/>
          <w:color w:val="000000"/>
          <w:u w:color="000000"/>
          <w:rtl w:val="0"/>
          <w:lang w:val="en-US"/>
          <w14:textFill>
            <w14:solidFill>
              <w14:srgbClr w14:val="000000"/>
            </w14:solidFill>
          </w14:textFill>
        </w:rPr>
        <w:t>The national-level impact of AI-SmartGrid extends well beyond the two Ukrainian HEIs. Ukraine's energy reconstruction requires an estimated 8,000</w:t>
      </w:r>
      <w:r>
        <w:rPr>
          <w:rFonts w:ascii="Arial" w:hAnsi="Arial" w:hint="default"/>
          <w:outline w:val="0"/>
          <w:color w:val="000000"/>
          <w:u w:color="000000"/>
          <w:rtl w:val="0"/>
          <w:lang w:val="en-US"/>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12,000 additional engineering professionals over the next decade [7], and within that workforce, OT cybersecurity specialists are among the most critically scarce. By producing the first cohort of 120 university-trained smart grid cybersecurity professionals, creating a replicable curriculum and open educational resources available to all Ukrainian HEIs, and directly training 80 energy sector practitioners, AI-SmartGrid contributes measurably to closing this gap.</w:t>
      </w:r>
    </w:p>
    <w:p>
      <w:pPr>
        <w:pStyle w:val="Body"/>
        <w:spacing w:after="120"/>
      </w:pPr>
      <w:r>
        <w:rPr>
          <w:rFonts w:ascii="Arial" w:hAnsi="Arial"/>
          <w:outline w:val="0"/>
          <w:color w:val="000000"/>
          <w:u w:color="000000"/>
          <w:rtl w:val="0"/>
          <w:lang w:val="en-US"/>
          <w14:textFill>
            <w14:solidFill>
              <w14:srgbClr w14:val="000000"/>
            </w14:solidFill>
          </w14:textFill>
        </w:rPr>
        <w:t xml:space="preserve">The project's CTF competitions, opened nationally in Year 2, establish an annual mechanism for identifying and developing cybersecurity talent across Ukraine's energy sector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 xml:space="preserve">analogous to Norway's Sikkerhetsfestivalen or the US CISA ICS-CERT Challenge, but purpose-designed for the Ukrainian context. The stakeholder workshop series creates a durable multi-sector dialogue between academia, CERT-UA, Ukrenergo, and regulatory bodies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a governance infrastructure for national critical infrastructure cybersecurity that persists after project funding ends.</w:t>
      </w:r>
    </w:p>
    <w:p>
      <w:pPr>
        <w:pStyle w:val="Body"/>
        <w:spacing w:after="120"/>
      </w:pPr>
      <w:r>
        <w:rPr>
          <w:rFonts w:ascii="Arial" w:hAnsi="Arial"/>
          <w:outline w:val="0"/>
          <w:color w:val="000000"/>
          <w:u w:color="000000"/>
          <w:rtl w:val="0"/>
          <w:lang w:val="en-US"/>
          <w14:textFill>
            <w14:solidFill>
              <w14:srgbClr w14:val="000000"/>
            </w14:solidFill>
          </w14:textFill>
        </w:rPr>
        <w:t>The attack scenario library and OERs, published in Ukrainian and English, constitute a national knowledge asset. Any Ukrainian university teaching power engineering can integrate the Industroyer-based scenarios into its curriculum; any oblenergo training department can use the cyber range exercises for staff development. The replication potential across Ukraine's 30+ engineering universities is substantial.</w:t>
      </w:r>
    </w:p>
    <w:p>
      <w:pPr>
        <w:pStyle w:val="Body"/>
        <w:spacing w:after="120"/>
      </w:pPr>
      <w:r>
        <w:rPr>
          <w:rFonts w:ascii="Arial" w:hAnsi="Arial"/>
          <w:b w:val="1"/>
          <w:bCs w:val="1"/>
          <w:outline w:val="0"/>
          <w:color w:val="000000"/>
          <w:u w:color="000000"/>
          <w:rtl w:val="0"/>
          <w:lang w:val="en-US"/>
          <w14:textFill>
            <w14:solidFill>
              <w14:srgbClr w14:val="000000"/>
            </w14:solidFill>
          </w14:textFill>
        </w:rPr>
        <w:t>Contribution to Ukraine's Reconstruction and EU Integration</w:t>
      </w:r>
    </w:p>
    <w:p>
      <w:pPr>
        <w:pStyle w:val="Body"/>
        <w:spacing w:after="120"/>
      </w:pPr>
      <w:r>
        <w:rPr>
          <w:rFonts w:ascii="Arial" w:hAnsi="Arial"/>
          <w:outline w:val="0"/>
          <w:color w:val="000000"/>
          <w:u w:color="000000"/>
          <w:rtl w:val="0"/>
          <w:lang w:val="en-US"/>
          <w14:textFill>
            <w14:solidFill>
              <w14:srgbClr w14:val="000000"/>
            </w14:solidFill>
          </w14:textFill>
        </w:rPr>
        <w:t xml:space="preserve">Ukraine's alignment with NIS2 Directive requirements for energy operators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 xml:space="preserve">a precondition for EU membership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requires both regulatory transposition and human capital capable of implementation. AI-SmartGrid directly supports both: the curriculum trains professionals in NIS2-relevant competencies; the stakeholder workshops produce policy briefs informing Ukrainian regulatory alignment. Norway, as a non-EU EEA member with deep energy sector cybersecurity expertise and strong NIS2-equivalent national frameworks, is uniquely positioned to provide this guidance.</w:t>
      </w:r>
    </w:p>
    <w:p>
      <w:pPr>
        <w:pStyle w:val="Body"/>
        <w:spacing w:after="120"/>
      </w:pPr>
      <w:r>
        <w:rPr>
          <w:rFonts w:ascii="Arial" w:hAnsi="Arial"/>
          <w:b w:val="1"/>
          <w:bCs w:val="1"/>
          <w:outline w:val="0"/>
          <w:color w:val="000000"/>
          <w:u w:color="000000"/>
          <w:rtl w:val="0"/>
          <w:lang w:val="en-US"/>
          <w14:textFill>
            <w14:solidFill>
              <w14:srgbClr w14:val="000000"/>
            </w14:solidFill>
          </w14:textFill>
        </w:rPr>
        <w:t>Dissemination Strategy</w:t>
      </w:r>
    </w:p>
    <w:p>
      <w:pPr>
        <w:pStyle w:val="Body"/>
        <w:spacing w:after="120"/>
      </w:pPr>
      <w:r>
        <w:rPr>
          <w:rFonts w:ascii="Arial" w:hAnsi="Arial"/>
          <w:outline w:val="0"/>
          <w:color w:val="000000"/>
          <w:u w:color="000000"/>
          <w:rtl w:val="0"/>
          <w:lang w:val="en-US"/>
          <w14:textFill>
            <w14:solidFill>
              <w14:srgbClr w14:val="000000"/>
            </w14:solidFill>
          </w14:textFill>
        </w:rPr>
        <w:t>Dissemination is designed for maximum reach across academic, professional, and policy audiences: 8+ peer-reviewed publications in leading IEEE and energy cybersecurity journals; 4+ conference presentations at CRITIS, IEEE SmartGridComm, and Nordic ISMS conferences; open educational resources in Ukrainian and English on NTNU Open and ZNU repositories; professional policy briefs in Ukrainian for Ministry of Energy and NCCC; LinkedIn/social media presence for project milestones and resource launches; an annual public Smart Grid Cybersecurity Newsletter distributed to 300+ Ukrainian energy sector contacts. The project's final conference (Month 36) convenes consortium members, Ukrainian HEIs, energy operators, CERT-UA, and Norwegian partners for results sharing and forward planning.</w:t>
      </w:r>
    </w:p>
    <w:p>
      <w:pPr>
        <w:pStyle w:val="No Spacing"/>
      </w:pPr>
    </w:p>
    <w:p>
      <w:pPr>
        <w:pStyle w:val="No Spacing"/>
      </w:pPr>
    </w:p>
    <w:p>
      <w:pPr>
        <w:pStyle w:val="No Spacing"/>
      </w:pPr>
    </w:p>
    <w:p>
      <w:pPr>
        <w:pStyle w:val="No Spacing"/>
      </w:pPr>
    </w:p>
    <w:p>
      <w:pPr>
        <w:pStyle w:val="No Spacing"/>
        <w:rPr>
          <w:b w:val="1"/>
          <w:bCs w:val="1"/>
        </w:rPr>
      </w:pPr>
      <w:r>
        <w:rPr>
          <w:b w:val="1"/>
          <w:bCs w:val="1"/>
          <w:rtl w:val="0"/>
          <w:lang w:val="en-US"/>
        </w:rPr>
        <w:t>4.2</w:t>
        <w:tab/>
        <w:t>Duration of the impact and evaluation of the project's impact</w:t>
      </w:r>
    </w:p>
    <w:p>
      <w:pPr>
        <w:pStyle w:val="No Spacing"/>
      </w:pPr>
    </w:p>
    <w:p>
      <w:pPr>
        <w:pStyle w:val="No Spacing"/>
      </w:pPr>
    </w:p>
    <w:p>
      <w:pPr>
        <w:pStyle w:val="No Spacing"/>
      </w:pPr>
    </w:p>
    <w:p>
      <w:pPr>
        <w:pStyle w:val="Body"/>
        <w:spacing w:after="120"/>
      </w:pPr>
      <w:r>
        <w:rPr>
          <w:rFonts w:ascii="Arial" w:hAnsi="Arial"/>
          <w:b w:val="1"/>
          <w:bCs w:val="1"/>
          <w:outline w:val="0"/>
          <w:color w:val="000000"/>
          <w:u w:color="000000"/>
          <w:rtl w:val="0"/>
          <w:lang w:val="en-US"/>
          <w14:textFill>
            <w14:solidFill>
              <w14:srgbClr w14:val="000000"/>
            </w14:solidFill>
          </w14:textFill>
        </w:rPr>
        <w:t>Sustainability Plan: Ensuring Impact Beyond Project Funding</w:t>
      </w:r>
    </w:p>
    <w:p>
      <w:pPr>
        <w:pStyle w:val="Body"/>
        <w:spacing w:after="120"/>
      </w:pPr>
      <w:r>
        <w:rPr>
          <w:rFonts w:ascii="Arial" w:hAnsi="Arial"/>
          <w:outline w:val="0"/>
          <w:color w:val="000000"/>
          <w:u w:color="000000"/>
          <w:rtl w:val="0"/>
          <w:lang w:val="en-US"/>
          <w14:textFill>
            <w14:solidFill>
              <w14:srgbClr w14:val="000000"/>
            </w14:solidFill>
          </w14:textFill>
        </w:rPr>
        <w:t>The project's sustainability is engineered from inception rather than addressed as an afterthought. Four mechanisms ensure continuity:</w:t>
      </w:r>
    </w:p>
    <w:p>
      <w:pPr>
        <w:pStyle w:val="Body"/>
        <w:spacing w:after="80"/>
        <w:ind w:left="283" w:firstLine="0"/>
      </w:pPr>
      <w:r>
        <w:rPr>
          <w:rFonts w:ascii="Arial" w:hAnsi="Arial"/>
          <w:outline w:val="0"/>
          <w:color w:val="000000"/>
          <w:u w:color="000000"/>
          <w:rtl w:val="0"/>
          <w14:textFill>
            <w14:solidFill>
              <w14:srgbClr w14:val="000000"/>
            </w14:solidFill>
          </w14:textFill>
        </w:rPr>
        <w:t xml:space="preserve">1. </w:t>
      </w:r>
      <w:r>
        <w:rPr>
          <w:rFonts w:ascii="Arial" w:hAnsi="Arial"/>
          <w:i w:val="1"/>
          <w:iCs w:val="1"/>
          <w:outline w:val="0"/>
          <w:color w:val="000000"/>
          <w:u w:color="000000"/>
          <w:rtl w:val="0"/>
          <w:lang w:val="fr-FR"/>
          <w14:textFill>
            <w14:solidFill>
              <w14:srgbClr w14:val="000000"/>
            </w14:solidFill>
          </w14:textFill>
        </w:rPr>
        <w:t>Curriculum Institutionalisation</w:t>
      </w:r>
      <w:r>
        <w:rPr>
          <w:rFonts w:ascii="Arial" w:hAnsi="Arial"/>
          <w:outline w:val="0"/>
          <w:color w:val="000000"/>
          <w:u w:color="000000"/>
          <w:rtl w:val="0"/>
          <w:lang w:val="en-US"/>
          <w14:textFill>
            <w14:solidFill>
              <w14:srgbClr w14:val="000000"/>
            </w14:solidFill>
          </w14:textFill>
        </w:rPr>
        <w:t>: Both new Master's modules are designed to meet existing university degree programme standards and are formally accredited by Month 24 (Activity 1.5). Accreditation creates a legal and institutional obligation to continue offering the modules within the degree programme regardless of external project funding. Teaching is delivered by Ukrainian faculty trained through WP2, eliminating ongoing dependence on NTNU visiting instructors after the project period.</w:t>
      </w:r>
    </w:p>
    <w:p>
      <w:pPr>
        <w:pStyle w:val="Body"/>
        <w:spacing w:after="80"/>
        <w:ind w:left="283" w:firstLine="0"/>
      </w:pPr>
      <w:r>
        <w:rPr>
          <w:rFonts w:ascii="Arial" w:hAnsi="Arial"/>
          <w:outline w:val="0"/>
          <w:color w:val="000000"/>
          <w:u w:color="000000"/>
          <w:rtl w:val="0"/>
          <w14:textFill>
            <w14:solidFill>
              <w14:srgbClr w14:val="000000"/>
            </w14:solidFill>
          </w14:textFill>
        </w:rPr>
        <w:t xml:space="preserve">2. </w:t>
      </w:r>
      <w:r>
        <w:rPr>
          <w:rFonts w:ascii="Arial" w:hAnsi="Arial"/>
          <w:i w:val="1"/>
          <w:iCs w:val="1"/>
          <w:outline w:val="0"/>
          <w:color w:val="000000"/>
          <w:u w:color="000000"/>
          <w:rtl w:val="0"/>
          <w:lang w:val="en-US"/>
          <w14:textFill>
            <w14:solidFill>
              <w14:srgbClr w14:val="000000"/>
            </w14:solidFill>
          </w14:textFill>
        </w:rPr>
        <w:t>Living Lab as Shared National Infrastructure</w:t>
      </w:r>
      <w:r>
        <w:rPr>
          <w:rFonts w:ascii="Arial" w:hAnsi="Arial"/>
          <w:outline w:val="0"/>
          <w:color w:val="000000"/>
          <w:u w:color="000000"/>
          <w:rtl w:val="0"/>
          <w:lang w:val="en-US"/>
          <w14:textFill>
            <w14:solidFill>
              <w14:srgbClr w14:val="000000"/>
            </w14:solidFill>
          </w14:textFill>
        </w:rPr>
        <w:t>: The Smart Grid Cybersecurity Living Lab at ZNU is designed with maintenance and operational costs proportionate to ZNU's institutional budget. ZNU has committed institutional resources to designate the Living Lab as a permanent facility, available to other Ukrainian HEIs through a consortium access model (modelled on NTNU's Smart Grid Lab partnerships with Norwegian universities). Equipment procured by Month 10 has a minimum 10-year operational lifespan. The lab's Azure cloud integration enables distributed access without travel costs.</w:t>
      </w:r>
    </w:p>
    <w:p>
      <w:pPr>
        <w:pStyle w:val="Body"/>
        <w:spacing w:after="80"/>
        <w:ind w:left="283" w:firstLine="0"/>
      </w:pPr>
      <w:r>
        <w:rPr>
          <w:rFonts w:ascii="Arial" w:hAnsi="Arial"/>
          <w:outline w:val="0"/>
          <w:color w:val="000000"/>
          <w:u w:color="000000"/>
          <w:rtl w:val="0"/>
          <w14:textFill>
            <w14:solidFill>
              <w14:srgbClr w14:val="000000"/>
            </w14:solidFill>
          </w14:textFill>
        </w:rPr>
        <w:t xml:space="preserve">3. </w:t>
      </w:r>
      <w:r>
        <w:rPr>
          <w:rFonts w:ascii="Arial" w:hAnsi="Arial"/>
          <w:i w:val="1"/>
          <w:iCs w:val="1"/>
          <w:outline w:val="0"/>
          <w:color w:val="000000"/>
          <w:u w:color="000000"/>
          <w:rtl w:val="0"/>
          <w:lang w:val="en-US"/>
          <w14:textFill>
            <w14:solidFill>
              <w14:srgbClr w14:val="000000"/>
            </w14:solidFill>
          </w14:textFill>
        </w:rPr>
        <w:t>Follow-on Funding Strategy</w:t>
      </w:r>
      <w:r>
        <w:rPr>
          <w:rFonts w:ascii="Arial" w:hAnsi="Arial"/>
          <w:outline w:val="0"/>
          <w:color w:val="000000"/>
          <w:u w:color="000000"/>
          <w:rtl w:val="0"/>
          <w:lang w:val="en-US"/>
          <w14:textFill>
            <w14:solidFill>
              <w14:srgbClr w14:val="000000"/>
            </w14:solidFill>
          </w14:textFill>
        </w:rPr>
        <w:t xml:space="preserve">: The NTNU-ZNU cooperation roadmap explicitly anticipates Horizon Europe proposals in 2028. AI-SmartGrid's research outputs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 xml:space="preserve">publications, datasets, the digital twin, the attack scenario library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provide the preliminary results required for competitive Horizon bids. The consortium will submit at least one Horizon Europe application (DIGITAL or SECURE clusters) within 12 months of project end. NTNU's research management office provides proposal development support. Additionally, the annual CTF competition is designed to attract Ukrainian industry sponsorship (oblenergo companies, cybersecurity vendors) as a revenue-generating mechanism after project funding ends.</w:t>
      </w:r>
    </w:p>
    <w:p>
      <w:pPr>
        <w:pStyle w:val="Body"/>
        <w:spacing w:after="80"/>
        <w:ind w:left="283" w:firstLine="0"/>
      </w:pPr>
      <w:r>
        <w:rPr>
          <w:rFonts w:ascii="Arial" w:hAnsi="Arial"/>
          <w:outline w:val="0"/>
          <w:color w:val="000000"/>
          <w:u w:color="000000"/>
          <w:rtl w:val="0"/>
          <w14:textFill>
            <w14:solidFill>
              <w14:srgbClr w14:val="000000"/>
            </w14:solidFill>
          </w14:textFill>
        </w:rPr>
        <w:t xml:space="preserve">4. </w:t>
      </w:r>
      <w:r>
        <w:rPr>
          <w:rFonts w:ascii="Arial" w:hAnsi="Arial"/>
          <w:i w:val="1"/>
          <w:iCs w:val="1"/>
          <w:outline w:val="0"/>
          <w:color w:val="000000"/>
          <w:u w:color="000000"/>
          <w:rtl w:val="0"/>
          <w:lang w:val="en-US"/>
          <w14:textFill>
            <w14:solidFill>
              <w14:srgbClr w14:val="000000"/>
            </w14:solidFill>
          </w14:textFill>
        </w:rPr>
        <w:t>Alumni and Professional Network</w:t>
      </w:r>
      <w:r>
        <w:rPr>
          <w:rFonts w:ascii="Arial" w:hAnsi="Arial"/>
          <w:outline w:val="0"/>
          <w:color w:val="000000"/>
          <w:u w:color="000000"/>
          <w:rtl w:val="0"/>
          <w:lang w:val="en-US"/>
          <w14:textFill>
            <w14:solidFill>
              <w14:srgbClr w14:val="000000"/>
            </w14:solidFill>
          </w14:textFill>
        </w:rPr>
        <w:t>: The 120 module graduates and 80 professional workshop participants form the foundation of a Ukrainian Smart Grid Cybersecurity Professional Network, formally established in Year 3. This network, modelled on analogous NTNU alumni networks, provides a self-sustaining community for knowledge exchange, peer mentoring, and industry linkage that does not require project funding to operate.</w:t>
      </w:r>
    </w:p>
    <w:p>
      <w:pPr>
        <w:pStyle w:val="Body"/>
        <w:spacing w:after="120"/>
      </w:pPr>
      <w:r>
        <w:rPr>
          <w:rFonts w:ascii="Arial" w:hAnsi="Arial"/>
          <w:b w:val="1"/>
          <w:bCs w:val="1"/>
          <w:outline w:val="0"/>
          <w:color w:val="000000"/>
          <w:u w:color="000000"/>
          <w:rtl w:val="0"/>
          <w:lang w:val="en-US"/>
          <w14:textFill>
            <w14:solidFill>
              <w14:srgbClr w14:val="000000"/>
            </w14:solidFill>
          </w14:textFill>
        </w:rPr>
        <w:t>Evaluation Methodology</w:t>
      </w:r>
    </w:p>
    <w:p>
      <w:pPr>
        <w:pStyle w:val="Body"/>
        <w:spacing w:after="120"/>
      </w:pPr>
      <w:r>
        <w:rPr>
          <w:rFonts w:ascii="Arial" w:hAnsi="Arial"/>
          <w:outline w:val="0"/>
          <w:color w:val="000000"/>
          <w:u w:color="000000"/>
          <w:rtl w:val="0"/>
          <w:lang w:val="en-US"/>
          <w14:textFill>
            <w14:solidFill>
              <w14:srgbClr w14:val="000000"/>
            </w14:solidFill>
          </w14:textFill>
        </w:rPr>
        <w:t>A rigorous mixed-methods evaluation framework operates throughout the project:</w:t>
      </w:r>
    </w:p>
    <w:p>
      <w:pPr>
        <w:pStyle w:val="Body"/>
        <w:spacing w:after="80"/>
        <w:ind w:left="425" w:hanging="198"/>
      </w:pPr>
      <w:r>
        <w:rPr>
          <w:rtl w:val="0"/>
        </w:rPr>
        <w:t xml:space="preserve">– </w:t>
      </w:r>
      <w:r>
        <w:rPr>
          <w:rFonts w:ascii="Arial" w:hAnsi="Arial"/>
          <w:i w:val="1"/>
          <w:iCs w:val="1"/>
          <w:outline w:val="0"/>
          <w:color w:val="000000"/>
          <w:u w:color="000000"/>
          <w:rtl w:val="0"/>
          <w:lang w:val="en-US"/>
          <w14:textFill>
            <w14:solidFill>
              <w14:srgbClr w14:val="000000"/>
            </w14:solidFill>
          </w14:textFill>
        </w:rPr>
        <w:t>Baseline Assessment</w:t>
      </w:r>
      <w:r>
        <w:rPr>
          <w:rFonts w:ascii="Arial" w:hAnsi="Arial"/>
          <w:outline w:val="0"/>
          <w:color w:val="000000"/>
          <w:u w:color="000000"/>
          <w:rtl w:val="0"/>
          <w:lang w:val="en-US"/>
          <w14:textFill>
            <w14:solidFill>
              <w14:srgbClr w14:val="000000"/>
            </w14:solidFill>
          </w14:textFill>
        </w:rPr>
        <w:t xml:space="preserve"> (Month 2): Survey of enrolled students and participating professionals measuring pre-existing competencies in smart grid security, AI, and cybersecurity. Faculty assessment of current curriculum state at both Ukrainian HEIs. Establishes quantitative baselines against which outcomes are measured.</w:t>
      </w:r>
    </w:p>
    <w:p>
      <w:pPr>
        <w:pStyle w:val="Body"/>
        <w:spacing w:after="80"/>
        <w:ind w:left="425" w:hanging="198"/>
      </w:pPr>
      <w:r>
        <w:rPr>
          <w:rtl w:val="0"/>
        </w:rPr>
        <w:t xml:space="preserve">– </w:t>
      </w:r>
      <w:r>
        <w:rPr>
          <w:rFonts w:ascii="Arial" w:hAnsi="Arial"/>
          <w:i w:val="1"/>
          <w:iCs w:val="1"/>
          <w:outline w:val="0"/>
          <w:color w:val="000000"/>
          <w:u w:color="000000"/>
          <w:rtl w:val="0"/>
          <w:lang w:val="en-US"/>
          <w14:textFill>
            <w14:solidFill>
              <w14:srgbClr w14:val="000000"/>
            </w14:solidFill>
          </w14:textFill>
        </w:rPr>
        <w:t>Formative Evaluation</w:t>
      </w:r>
      <w:r>
        <w:rPr>
          <w:rFonts w:ascii="Arial" w:hAnsi="Arial"/>
          <w:outline w:val="0"/>
          <w:color w:val="000000"/>
          <w:u w:color="000000"/>
          <w:rtl w:val="0"/>
          <w:lang w:val="en-US"/>
          <w14:textFill>
            <w14:solidFill>
              <w14:srgbClr w14:val="000000"/>
            </w14:solidFill>
          </w14:textFill>
        </w:rPr>
        <w:t xml:space="preserve"> (continuous, quarterly): WP milestone tracking against Gantt chart targets; OMT monthly review of risk register; student satisfaction surveys after each module delivery; faculty feedback after training weeks. Findings reported to SC bi-annually; used for real-time project adaptation.</w:t>
      </w:r>
    </w:p>
    <w:p>
      <w:pPr>
        <w:pStyle w:val="Body"/>
        <w:spacing w:after="80"/>
        <w:ind w:left="425" w:hanging="198"/>
      </w:pPr>
      <w:r>
        <w:rPr>
          <w:rtl w:val="0"/>
        </w:rPr>
        <w:t xml:space="preserve">– </w:t>
      </w:r>
      <w:r>
        <w:rPr>
          <w:rFonts w:ascii="Arial" w:hAnsi="Arial"/>
          <w:i w:val="1"/>
          <w:iCs w:val="1"/>
          <w:outline w:val="0"/>
          <w:color w:val="000000"/>
          <w:u w:color="000000"/>
          <w:rtl w:val="0"/>
          <w:lang w:val="en-US"/>
          <w14:textFill>
            <w14:solidFill>
              <w14:srgbClr w14:val="000000"/>
            </w14:solidFill>
          </w14:textFill>
        </w:rPr>
        <w:t>Summative Evaluation</w:t>
      </w:r>
      <w:r>
        <w:rPr>
          <w:rFonts w:ascii="Arial" w:hAnsi="Arial"/>
          <w:outline w:val="0"/>
          <w:color w:val="000000"/>
          <w:u w:color="000000"/>
          <w:rtl w:val="0"/>
          <w:lang w:val="en-US"/>
          <w14:textFill>
            <w14:solidFill>
              <w14:srgbClr w14:val="000000"/>
            </w14:solidFill>
          </w14:textFill>
        </w:rPr>
        <w:t xml:space="preserve"> (Months 12, 24, 36): Annual independent review of student learning outcomes using pre/post competency assessments mapped to module learning objectives; tracking of graduate employment in cybersecurity/energy roles (alumni survey at Month 36); Living Lab utilisation statistics; OER download and access metrics; publication citation tracking.</w:t>
      </w:r>
    </w:p>
    <w:p>
      <w:pPr>
        <w:pStyle w:val="Body"/>
        <w:spacing w:after="80"/>
        <w:ind w:left="425" w:hanging="198"/>
      </w:pPr>
      <w:r>
        <w:rPr>
          <w:rtl w:val="0"/>
        </w:rPr>
        <w:t xml:space="preserve">– </w:t>
      </w:r>
      <w:r>
        <w:rPr>
          <w:rFonts w:ascii="Arial" w:hAnsi="Arial"/>
          <w:i w:val="1"/>
          <w:iCs w:val="1"/>
          <w:outline w:val="0"/>
          <w:color w:val="000000"/>
          <w:u w:color="000000"/>
          <w:rtl w:val="0"/>
          <w:lang w:val="en-US"/>
          <w14:textFill>
            <w14:solidFill>
              <w14:srgbClr w14:val="000000"/>
            </w14:solidFill>
          </w14:textFill>
        </w:rPr>
        <w:t>External Review</w:t>
      </w:r>
      <w:r>
        <w:rPr>
          <w:rFonts w:ascii="Arial" w:hAnsi="Arial"/>
          <w:outline w:val="0"/>
          <w:color w:val="000000"/>
          <w:u w:color="000000"/>
          <w:rtl w:val="0"/>
          <w:lang w:val="en-US"/>
          <w14:textFill>
            <w14:solidFill>
              <w14:srgbClr w14:val="000000"/>
            </w14:solidFill>
          </w14:textFill>
        </w:rPr>
        <w:t xml:space="preserve"> (Month 30): An independent external reviewer (a recognised European expert in ICS security education, not affiliated with the consortium) assesses curriculum quality, Living Lab functionality, and project impact against stated objectives. Report submitted to HK-dir and published.</w:t>
      </w:r>
    </w:p>
    <w:p>
      <w:pPr>
        <w:pStyle w:val="Body"/>
        <w:spacing w:after="80"/>
        <w:ind w:left="425" w:hanging="198"/>
      </w:pPr>
      <w:r>
        <w:rPr>
          <w:rtl w:val="0"/>
        </w:rPr>
        <w:t xml:space="preserve">– </w:t>
      </w:r>
      <w:r>
        <w:rPr>
          <w:rFonts w:ascii="Arial" w:hAnsi="Arial"/>
          <w:i w:val="1"/>
          <w:iCs w:val="1"/>
          <w:outline w:val="0"/>
          <w:color w:val="000000"/>
          <w:u w:color="000000"/>
          <w:rtl w:val="0"/>
          <w:lang w:val="en-US"/>
          <w14:textFill>
            <w14:solidFill>
              <w14:srgbClr w14:val="000000"/>
            </w14:solidFill>
          </w14:textFill>
        </w:rPr>
        <w:t>Long-Term Tracking</w:t>
      </w:r>
      <w:r>
        <w:rPr>
          <w:rFonts w:ascii="Arial" w:hAnsi="Arial"/>
          <w:outline w:val="0"/>
          <w:color w:val="000000"/>
          <w:u w:color="000000"/>
          <w:rtl w:val="0"/>
          <w:lang w:val="en-US"/>
          <w14:textFill>
            <w14:solidFill>
              <w14:srgbClr w14:val="000000"/>
            </w14:solidFill>
          </w14:textFill>
        </w:rPr>
        <w:t xml:space="preserve">: A 12-month post-project alumni survey (Month 48, self-funded by NTNU) tracks graduate employment outcomes and assesses whether competencies gained have been applied in professional contexts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providing evidence for future funding proposals and demonstrating project impact to the wider academic and policy community. All evaluation data are documented in the project's final report to HK-dir and published as part of the project's academic dissemination.</w:t>
      </w:r>
    </w:p>
    <w:p>
      <w:pPr>
        <w:pStyle w:val="No Spacing"/>
      </w:pPr>
    </w:p>
    <w:p>
      <w:pPr>
        <w:pStyle w:val="No Spacing"/>
      </w:pPr>
    </w:p>
    <w:p>
      <w:pPr>
        <w:pStyle w:val="No Spacing"/>
      </w:pPr>
    </w:p>
    <w:p>
      <w:pPr>
        <w:pStyle w:val="No Spacing"/>
      </w:pPr>
    </w:p>
    <w:p>
      <w:pPr>
        <w:pStyle w:val="No Spacing"/>
      </w:pPr>
    </w:p>
    <w:p>
      <w:pPr>
        <w:pStyle w:val="No Spacing"/>
      </w:pPr>
    </w:p>
    <w:p>
      <w:pPr>
        <w:pStyle w:val="Body"/>
        <w:spacing w:after="200" w:line="276" w:lineRule="auto"/>
      </w:pPr>
      <w:r>
        <w:rPr>
          <w:rFonts w:ascii="Arial Unicode MS" w:cs="Arial Unicode MS" w:hAnsi="Arial Unicode MS" w:eastAsia="Arial Unicode MS"/>
          <w:b w:val="0"/>
          <w:bCs w:val="0"/>
          <w:i w:val="0"/>
          <w:iCs w:val="0"/>
        </w:rPr>
        <w:br w:type="page"/>
      </w:r>
    </w:p>
    <w:p>
      <w:pPr>
        <w:pStyle w:val="heading 2"/>
        <w:rPr>
          <w:sz w:val="32"/>
          <w:szCs w:val="32"/>
        </w:rPr>
      </w:pPr>
      <w:r>
        <w:rPr>
          <w:sz w:val="32"/>
          <w:szCs w:val="32"/>
          <w:rtl w:val="0"/>
          <w:lang w:val="en-US"/>
        </w:rPr>
        <w:t>5</w:t>
        <w:tab/>
        <w:t>Reference list</w:t>
      </w:r>
    </w:p>
    <w:p>
      <w:pPr>
        <w:pStyle w:val="No Spacing"/>
      </w:pPr>
    </w:p>
    <w:p>
      <w:pPr>
        <w:pStyle w:val="No Spacing"/>
      </w:pPr>
    </w:p>
    <w:p>
      <w:pPr>
        <w:pStyle w:val="No Spacing"/>
      </w:pPr>
    </w:p>
    <w:p>
      <w:pPr>
        <w:pStyle w:val="No Spacing"/>
        <w:rPr>
          <w:sz w:val="18"/>
          <w:szCs w:val="18"/>
        </w:rPr>
      </w:pPr>
    </w:p>
    <w:p>
      <w:pPr>
        <w:pStyle w:val="No Spacing"/>
        <w:numPr>
          <w:ilvl w:val="0"/>
          <w:numId w:val="2"/>
        </w:numPr>
        <w:bidi w:val="0"/>
        <w:ind w:right="0"/>
        <w:jc w:val="left"/>
        <w:rPr>
          <w:sz w:val="20"/>
          <w:szCs w:val="20"/>
          <w:rtl w:val="0"/>
          <w:lang w:val="en-US"/>
        </w:rPr>
      </w:pPr>
      <w:r>
        <w:rPr>
          <w:rFonts w:ascii="Arial" w:hAnsi="Arial"/>
          <w:outline w:val="0"/>
          <w:color w:val="000000"/>
          <w:sz w:val="20"/>
          <w:szCs w:val="20"/>
          <w:u w:color="000000"/>
          <w:rtl w:val="0"/>
          <w:lang w:val="en-US"/>
          <w14:textFill>
            <w14:solidFill>
              <w14:srgbClr w14:val="000000"/>
            </w14:solidFill>
          </w14:textFill>
        </w:rPr>
        <w:t>[1] International Energy Agency (IEA). (2024). Ukraine Energy Security Report: Assessment of Infrastructure Damage and Reconstruction Needs. IEA, Paris.</w:t>
      </w:r>
    </w:p>
    <w:p>
      <w:pPr>
        <w:pStyle w:val="Body"/>
      </w:pPr>
      <w:r>
        <w:rPr>
          <w:rFonts w:ascii="Arial" w:hAnsi="Arial"/>
          <w:outline w:val="0"/>
          <w:color w:val="000000"/>
          <w:sz w:val="20"/>
          <w:szCs w:val="20"/>
          <w:u w:color="000000"/>
          <w:rtl w:val="0"/>
          <w:lang w:val="en-US"/>
          <w14:textFill>
            <w14:solidFill>
              <w14:srgbClr w14:val="000000"/>
            </w14:solidFill>
          </w14:textFill>
        </w:rPr>
        <w:t xml:space="preserve">[2] World Bank Group. (2024). Ukraine Rapid Damage and Needs Assessment (RDNA3): March 2022 </w:t>
      </w:r>
      <w:r>
        <w:rPr>
          <w:rFonts w:ascii="Arial" w:hAnsi="Arial" w:hint="default"/>
          <w:outline w:val="0"/>
          <w:color w:val="000000"/>
          <w:sz w:val="20"/>
          <w:szCs w:val="20"/>
          <w:u w:color="000000"/>
          <w:rtl w:val="0"/>
          <w:lang w:val="en-US"/>
          <w14:textFill>
            <w14:solidFill>
              <w14:srgbClr w14:val="000000"/>
            </w14:solidFill>
          </w14:textFill>
        </w:rPr>
        <w:t xml:space="preserve">– </w:t>
      </w:r>
      <w:r>
        <w:rPr>
          <w:rFonts w:ascii="Arial" w:hAnsi="Arial"/>
          <w:outline w:val="0"/>
          <w:color w:val="000000"/>
          <w:sz w:val="20"/>
          <w:szCs w:val="20"/>
          <w:u w:color="000000"/>
          <w:rtl w:val="0"/>
          <w:lang w:val="en-US"/>
          <w14:textFill>
            <w14:solidFill>
              <w14:srgbClr w14:val="000000"/>
            </w14:solidFill>
          </w14:textFill>
        </w:rPr>
        <w:t>February 2024. World Bank, Washington D.C.</w:t>
      </w:r>
    </w:p>
    <w:p>
      <w:pPr>
        <w:pStyle w:val="Body"/>
      </w:pPr>
      <w:r>
        <w:rPr>
          <w:rFonts w:ascii="Arial" w:hAnsi="Arial"/>
          <w:outline w:val="0"/>
          <w:color w:val="000000"/>
          <w:sz w:val="20"/>
          <w:szCs w:val="20"/>
          <w:u w:color="000000"/>
          <w:rtl w:val="0"/>
          <w:lang w:val="en-US"/>
          <w14:textFill>
            <w14:solidFill>
              <w14:srgbClr w14:val="000000"/>
            </w14:solidFill>
          </w14:textFill>
        </w:rPr>
        <w:t>[3] UNOCHA. (2024). Ukraine Humanitarian Situation Report: Energy Infrastructure and Civilian Impact, Q4 2024. United Nations Office for the Coordination of Humanitarian Affairs.</w:t>
      </w:r>
    </w:p>
    <w:p>
      <w:pPr>
        <w:pStyle w:val="Body"/>
      </w:pPr>
      <w:r>
        <w:rPr>
          <w:rFonts w:ascii="Arial" w:hAnsi="Arial"/>
          <w:outline w:val="0"/>
          <w:color w:val="000000"/>
          <w:sz w:val="20"/>
          <w:szCs w:val="20"/>
          <w:u w:color="000000"/>
          <w:rtl w:val="0"/>
          <w:lang w:val="en-US"/>
          <w14:textFill>
            <w14:solidFill>
              <w14:srgbClr w14:val="000000"/>
            </w14:solidFill>
          </w14:textFill>
        </w:rPr>
        <w:t>[4] Liang, G., Weller, S. R., Zhao, J., Luo, F., &amp; Dong, Z. Y. (2017). The 2015 Ukraine blackout: Implications for false data injection attacks. IEEE Transactions on Power Systems, 32(4), 3317</w:t>
      </w:r>
      <w:r>
        <w:rPr>
          <w:rFonts w:ascii="Arial" w:hAnsi="Arial" w:hint="default"/>
          <w:outline w:val="0"/>
          <w:color w:val="000000"/>
          <w:sz w:val="20"/>
          <w:szCs w:val="20"/>
          <w:u w:color="000000"/>
          <w:rtl w:val="0"/>
          <w:lang w:val="en-US"/>
          <w14:textFill>
            <w14:solidFill>
              <w14:srgbClr w14:val="000000"/>
            </w14:solidFill>
          </w14:textFill>
        </w:rPr>
        <w:t>–</w:t>
      </w:r>
      <w:r>
        <w:rPr>
          <w:rFonts w:ascii="Arial" w:hAnsi="Arial"/>
          <w:outline w:val="0"/>
          <w:color w:val="000000"/>
          <w:sz w:val="20"/>
          <w:szCs w:val="20"/>
          <w:u w:color="000000"/>
          <w:rtl w:val="0"/>
          <w:lang w:val="en-US"/>
          <w14:textFill>
            <w14:solidFill>
              <w14:srgbClr w14:val="000000"/>
            </w14:solidFill>
          </w14:textFill>
        </w:rPr>
        <w:t>3318. https://doi.org/10.1109/TPWRS.2016.2631891</w:t>
      </w:r>
    </w:p>
    <w:p>
      <w:pPr>
        <w:pStyle w:val="Body"/>
      </w:pPr>
      <w:r>
        <w:rPr>
          <w:rFonts w:ascii="Arial" w:hAnsi="Arial"/>
          <w:outline w:val="0"/>
          <w:color w:val="000000"/>
          <w:sz w:val="20"/>
          <w:szCs w:val="20"/>
          <w:u w:color="000000"/>
          <w:rtl w:val="0"/>
          <w:lang w:val="en-US"/>
          <w14:textFill>
            <w14:solidFill>
              <w14:srgbClr w14:val="000000"/>
            </w14:solidFill>
          </w14:textFill>
        </w:rPr>
        <w:t>[5] Cherepanov, A., &amp; Lipovsky, R. (2017). Industroyer: Biggest threat to industrial control systems since Stuxnet. ESET White Paper. ESET Research, Bratislava.</w:t>
      </w:r>
    </w:p>
    <w:p>
      <w:pPr>
        <w:pStyle w:val="Body"/>
      </w:pPr>
      <w:r>
        <w:rPr>
          <w:rFonts w:ascii="Arial" w:hAnsi="Arial"/>
          <w:outline w:val="0"/>
          <w:color w:val="000000"/>
          <w:sz w:val="20"/>
          <w:szCs w:val="20"/>
          <w:u w:color="000000"/>
          <w:rtl w:val="0"/>
          <w14:textFill>
            <w14:solidFill>
              <w14:srgbClr w14:val="000000"/>
            </w14:solidFill>
          </w14:textFill>
        </w:rPr>
        <w:t>[6] Faou, M., Cherepanov, A., Adam</w:t>
      </w:r>
      <w:r>
        <w:rPr>
          <w:rFonts w:ascii="Arial" w:hAnsi="Arial" w:hint="default"/>
          <w:outline w:val="0"/>
          <w:color w:val="000000"/>
          <w:sz w:val="20"/>
          <w:szCs w:val="20"/>
          <w:u w:color="000000"/>
          <w:rtl w:val="0"/>
          <w:lang w:val="en-US"/>
          <w14:textFill>
            <w14:solidFill>
              <w14:srgbClr w14:val="000000"/>
            </w14:solidFill>
          </w14:textFill>
        </w:rPr>
        <w:t>čí</w:t>
      </w:r>
      <w:r>
        <w:rPr>
          <w:rFonts w:ascii="Arial" w:hAnsi="Arial"/>
          <w:outline w:val="0"/>
          <w:color w:val="000000"/>
          <w:sz w:val="20"/>
          <w:szCs w:val="20"/>
          <w:u w:color="000000"/>
          <w:rtl w:val="0"/>
          <w:lang w:val="en-US"/>
          <w14:textFill>
            <w14:solidFill>
              <w14:srgbClr w14:val="000000"/>
            </w14:solidFill>
          </w14:textFill>
        </w:rPr>
        <w:t>k, J., Breitenbacher, D., &amp; Sompolinsky, Y. (2022). Industroyer2: Industroyer reloaded. ESET Research White Paper. ESET, Bratislava. Retrieved from https://www.welivesecurity.com/2022/04/12/industroyer2-industroyer-reloaded/</w:t>
      </w:r>
    </w:p>
    <w:p>
      <w:pPr>
        <w:pStyle w:val="Body"/>
      </w:pPr>
      <w:r>
        <w:rPr>
          <w:rFonts w:ascii="Arial" w:hAnsi="Arial"/>
          <w:outline w:val="0"/>
          <w:color w:val="000000"/>
          <w:sz w:val="20"/>
          <w:szCs w:val="20"/>
          <w:u w:color="000000"/>
          <w:rtl w:val="0"/>
          <w:lang w:val="en-US"/>
          <w14:textFill>
            <w14:solidFill>
              <w14:srgbClr w14:val="000000"/>
            </w14:solidFill>
          </w14:textFill>
        </w:rPr>
        <w:t>[7] European Commission. (2023). REPowerEU for Ukraine: Support for Ukraine's Energy Resilience and Green Transition. European Commission, Brussels.</w:t>
      </w:r>
    </w:p>
    <w:p>
      <w:pPr>
        <w:pStyle w:val="Body"/>
      </w:pPr>
      <w:r>
        <w:rPr>
          <w:rFonts w:ascii="Arial" w:hAnsi="Arial"/>
          <w:outline w:val="0"/>
          <w:color w:val="000000"/>
          <w:sz w:val="20"/>
          <w:szCs w:val="20"/>
          <w:u w:color="000000"/>
          <w:rtl w:val="0"/>
          <w:lang w:val="en-US"/>
          <w14:textFill>
            <w14:solidFill>
              <w14:srgbClr w14:val="000000"/>
            </w14:solidFill>
          </w14:textFill>
        </w:rPr>
        <w:t xml:space="preserve">[8] International Electrotechnical Commission. (2021). IEC 62351: Power Systems Management and Associated Information Exchange </w:t>
      </w:r>
      <w:r>
        <w:rPr>
          <w:rFonts w:ascii="Arial" w:hAnsi="Arial" w:hint="default"/>
          <w:outline w:val="0"/>
          <w:color w:val="000000"/>
          <w:sz w:val="20"/>
          <w:szCs w:val="20"/>
          <w:u w:color="000000"/>
          <w:rtl w:val="0"/>
          <w:lang w:val="en-US"/>
          <w14:textFill>
            <w14:solidFill>
              <w14:srgbClr w14:val="000000"/>
            </w14:solidFill>
          </w14:textFill>
        </w:rPr>
        <w:t xml:space="preserve">— </w:t>
      </w:r>
      <w:r>
        <w:rPr>
          <w:rFonts w:ascii="Arial" w:hAnsi="Arial"/>
          <w:outline w:val="0"/>
          <w:color w:val="000000"/>
          <w:sz w:val="20"/>
          <w:szCs w:val="20"/>
          <w:u w:color="000000"/>
          <w:rtl w:val="0"/>
          <w:lang w:val="en-US"/>
          <w14:textFill>
            <w14:solidFill>
              <w14:srgbClr w14:val="000000"/>
            </w14:solidFill>
          </w14:textFill>
        </w:rPr>
        <w:t>Data and Communications Security. Parts 1</w:t>
      </w:r>
      <w:r>
        <w:rPr>
          <w:rFonts w:ascii="Arial" w:hAnsi="Arial" w:hint="default"/>
          <w:outline w:val="0"/>
          <w:color w:val="000000"/>
          <w:sz w:val="20"/>
          <w:szCs w:val="20"/>
          <w:u w:color="000000"/>
          <w:rtl w:val="0"/>
          <w:lang w:val="en-US"/>
          <w14:textFill>
            <w14:solidFill>
              <w14:srgbClr w14:val="000000"/>
            </w14:solidFill>
          </w14:textFill>
        </w:rPr>
        <w:t>–</w:t>
      </w:r>
      <w:r>
        <w:rPr>
          <w:rFonts w:ascii="Arial" w:hAnsi="Arial"/>
          <w:outline w:val="0"/>
          <w:color w:val="000000"/>
          <w:sz w:val="20"/>
          <w:szCs w:val="20"/>
          <w:u w:color="000000"/>
          <w:rtl w:val="0"/>
          <w:lang w:val="it-IT"/>
          <w14:textFill>
            <w14:solidFill>
              <w14:srgbClr w14:val="000000"/>
            </w14:solidFill>
          </w14:textFill>
        </w:rPr>
        <w:t>14. IEC, Geneva.</w:t>
      </w:r>
    </w:p>
    <w:p>
      <w:pPr>
        <w:pStyle w:val="Body"/>
      </w:pPr>
      <w:r>
        <w:rPr>
          <w:rFonts w:ascii="Arial" w:hAnsi="Arial"/>
          <w:outline w:val="0"/>
          <w:color w:val="000000"/>
          <w:sz w:val="20"/>
          <w:szCs w:val="20"/>
          <w:u w:color="000000"/>
          <w:rtl w:val="0"/>
          <w:lang w:val="en-US"/>
          <w14:textFill>
            <w14:solidFill>
              <w14:srgbClr w14:val="000000"/>
            </w14:solidFill>
          </w14:textFill>
        </w:rPr>
        <w:t>[9] North American Electric Reliability Corporation (NERC). (2023). Critical Infrastructure Protection (CIP) Standards, Version 7. NERC, Atlanta, GA. Retrieved from https://www.nerc.com/pa/Stand/Pages/CIPStandards.aspx</w:t>
      </w:r>
    </w:p>
    <w:p>
      <w:pPr>
        <w:pStyle w:val="Body"/>
      </w:pPr>
      <w:r>
        <w:rPr>
          <w:rFonts w:ascii="Arial" w:hAnsi="Arial"/>
          <w:outline w:val="0"/>
          <w:color w:val="000000"/>
          <w:sz w:val="20"/>
          <w:szCs w:val="20"/>
          <w:u w:color="000000"/>
          <w:rtl w:val="0"/>
          <w:lang w:val="en-US"/>
          <w14:textFill>
            <w14:solidFill>
              <w14:srgbClr w14:val="000000"/>
            </w14:solidFill>
          </w14:textFill>
        </w:rPr>
        <w:t>[10] European Union Agency for Cybersecurity (ENISA). (2023). ENISA Threat Landscape for the Energy Sector 2023. ENISA, Athens. https://doi.org/10.2824/84700</w:t>
      </w:r>
    </w:p>
    <w:p>
      <w:pPr>
        <w:pStyle w:val="Body"/>
      </w:pPr>
      <w:r>
        <w:rPr>
          <w:rFonts w:ascii="Arial" w:hAnsi="Arial"/>
          <w:outline w:val="0"/>
          <w:color w:val="000000"/>
          <w:sz w:val="20"/>
          <w:szCs w:val="20"/>
          <w:u w:color="000000"/>
          <w:rtl w:val="0"/>
          <w:lang w:val="en-US"/>
          <w14:textFill>
            <w14:solidFill>
              <w14:srgbClr w14:val="000000"/>
            </w14:solidFill>
          </w14:textFill>
        </w:rPr>
        <w:t>[11] European Parliament and Council of the European Union. (2022). Directive (EU) 2022/2555 on measures for a high common level of cybersecurity across the Union (NIS2 Directive). Official Journal of the European Union, L 333, 80</w:t>
      </w:r>
      <w:r>
        <w:rPr>
          <w:rFonts w:ascii="Arial" w:hAnsi="Arial" w:hint="default"/>
          <w:outline w:val="0"/>
          <w:color w:val="000000"/>
          <w:sz w:val="20"/>
          <w:szCs w:val="20"/>
          <w:u w:color="000000"/>
          <w:rtl w:val="0"/>
          <w:lang w:val="en-US"/>
          <w14:textFill>
            <w14:solidFill>
              <w14:srgbClr w14:val="000000"/>
            </w14:solidFill>
          </w14:textFill>
        </w:rPr>
        <w:t>–</w:t>
      </w:r>
      <w:r>
        <w:rPr>
          <w:rFonts w:ascii="Arial" w:hAnsi="Arial"/>
          <w:outline w:val="0"/>
          <w:color w:val="000000"/>
          <w:sz w:val="20"/>
          <w:szCs w:val="20"/>
          <w:u w:color="000000"/>
          <w:rtl w:val="0"/>
          <w14:textFill>
            <w14:solidFill>
              <w14:srgbClr w14:val="000000"/>
            </w14:solidFill>
          </w14:textFill>
        </w:rPr>
        <w:t>152.</w:t>
      </w:r>
    </w:p>
    <w:p>
      <w:pPr>
        <w:pStyle w:val="Body"/>
      </w:pPr>
      <w:r>
        <w:rPr>
          <w:rFonts w:ascii="Arial" w:hAnsi="Arial"/>
          <w:outline w:val="0"/>
          <w:color w:val="000000"/>
          <w:sz w:val="20"/>
          <w:szCs w:val="20"/>
          <w:u w:color="000000"/>
          <w:rtl w:val="0"/>
          <w:lang w:val="en-US"/>
          <w14:textFill>
            <w14:solidFill>
              <w14:srgbClr w14:val="000000"/>
            </w14:solidFill>
          </w14:textFill>
        </w:rPr>
        <w:t>[12] Liang, G., Zhao, J., Luo, F., Weller, S. R., &amp; Dong, Z. Y. (2017). A review of false data injection attacks against modern power systems. IEEE Transactions on Smart Grid, 8(4), 1630</w:t>
      </w:r>
      <w:r>
        <w:rPr>
          <w:rFonts w:ascii="Arial" w:hAnsi="Arial" w:hint="default"/>
          <w:outline w:val="0"/>
          <w:color w:val="000000"/>
          <w:sz w:val="20"/>
          <w:szCs w:val="20"/>
          <w:u w:color="000000"/>
          <w:rtl w:val="0"/>
          <w:lang w:val="en-US"/>
          <w14:textFill>
            <w14:solidFill>
              <w14:srgbClr w14:val="000000"/>
            </w14:solidFill>
          </w14:textFill>
        </w:rPr>
        <w:t>–</w:t>
      </w:r>
      <w:r>
        <w:rPr>
          <w:rFonts w:ascii="Arial" w:hAnsi="Arial"/>
          <w:outline w:val="0"/>
          <w:color w:val="000000"/>
          <w:sz w:val="20"/>
          <w:szCs w:val="20"/>
          <w:u w:color="000000"/>
          <w:rtl w:val="0"/>
          <w:lang w:val="de-DE"/>
          <w14:textFill>
            <w14:solidFill>
              <w14:srgbClr w14:val="000000"/>
            </w14:solidFill>
          </w14:textFill>
        </w:rPr>
        <w:t>1638. https://doi.org/10.1109/TSG.2015.2495133</w:t>
      </w:r>
    </w:p>
    <w:p>
      <w:pPr>
        <w:pStyle w:val="Body"/>
      </w:pPr>
      <w:r>
        <w:rPr>
          <w:rFonts w:ascii="Arial" w:hAnsi="Arial"/>
          <w:outline w:val="0"/>
          <w:color w:val="000000"/>
          <w:sz w:val="20"/>
          <w:szCs w:val="20"/>
          <w:u w:color="000000"/>
          <w:rtl w:val="0"/>
          <w:lang w:val="pt-PT"/>
          <w14:textFill>
            <w14:solidFill>
              <w14:srgbClr w14:val="000000"/>
            </w14:solidFill>
          </w14:textFill>
        </w:rPr>
        <w:t>[13] Sridhar, S., Hahn, A., &amp; Govindarasu, M. (2012). Cyber</w:t>
      </w:r>
      <w:r>
        <w:rPr>
          <w:rFonts w:ascii="Arial" w:hAnsi="Arial" w:hint="default"/>
          <w:outline w:val="0"/>
          <w:color w:val="000000"/>
          <w:sz w:val="20"/>
          <w:szCs w:val="20"/>
          <w:u w:color="000000"/>
          <w:rtl w:val="0"/>
          <w:lang w:val="en-US"/>
          <w14:textFill>
            <w14:solidFill>
              <w14:srgbClr w14:val="000000"/>
            </w14:solidFill>
          </w14:textFill>
        </w:rPr>
        <w:t>–</w:t>
      </w:r>
      <w:r>
        <w:rPr>
          <w:rFonts w:ascii="Arial" w:hAnsi="Arial"/>
          <w:outline w:val="0"/>
          <w:color w:val="000000"/>
          <w:sz w:val="20"/>
          <w:szCs w:val="20"/>
          <w:u w:color="000000"/>
          <w:rtl w:val="0"/>
          <w:lang w:val="en-US"/>
          <w14:textFill>
            <w14:solidFill>
              <w14:srgbClr w14:val="000000"/>
            </w14:solidFill>
          </w14:textFill>
        </w:rPr>
        <w:t>physical system security for the electric power grid. Proceedings of the IEEE, 100(1), 210</w:t>
      </w:r>
      <w:r>
        <w:rPr>
          <w:rFonts w:ascii="Arial" w:hAnsi="Arial" w:hint="default"/>
          <w:outline w:val="0"/>
          <w:color w:val="000000"/>
          <w:sz w:val="20"/>
          <w:szCs w:val="20"/>
          <w:u w:color="000000"/>
          <w:rtl w:val="0"/>
          <w:lang w:val="en-US"/>
          <w14:textFill>
            <w14:solidFill>
              <w14:srgbClr w14:val="000000"/>
            </w14:solidFill>
          </w14:textFill>
        </w:rPr>
        <w:t>–</w:t>
      </w:r>
      <w:r>
        <w:rPr>
          <w:rFonts w:ascii="Arial" w:hAnsi="Arial"/>
          <w:outline w:val="0"/>
          <w:color w:val="000000"/>
          <w:sz w:val="20"/>
          <w:szCs w:val="20"/>
          <w:u w:color="000000"/>
          <w:rtl w:val="0"/>
          <w:lang w:val="en-US"/>
          <w14:textFill>
            <w14:solidFill>
              <w14:srgbClr w14:val="000000"/>
            </w14:solidFill>
          </w14:textFill>
        </w:rPr>
        <w:t>224. https://doi.org/10.1109/JPROC.2011.2165269</w:t>
      </w:r>
    </w:p>
    <w:p>
      <w:pPr>
        <w:pStyle w:val="Body"/>
      </w:pPr>
      <w:r>
        <w:rPr>
          <w:rFonts w:ascii="Arial" w:hAnsi="Arial"/>
          <w:outline w:val="0"/>
          <w:color w:val="000000"/>
          <w:sz w:val="20"/>
          <w:szCs w:val="20"/>
          <w:u w:color="000000"/>
          <w:rtl w:val="0"/>
          <w:lang w:val="en-US"/>
          <w14:textFill>
            <w14:solidFill>
              <w14:srgbClr w14:val="000000"/>
            </w14:solidFill>
          </w14:textFill>
        </w:rPr>
        <w:t>[14] Dragos Inc. (2023). Year in Review: OT Cybersecurity Report 2022</w:t>
      </w:r>
      <w:r>
        <w:rPr>
          <w:rFonts w:ascii="Arial" w:hAnsi="Arial" w:hint="default"/>
          <w:outline w:val="0"/>
          <w:color w:val="000000"/>
          <w:sz w:val="20"/>
          <w:szCs w:val="20"/>
          <w:u w:color="000000"/>
          <w:rtl w:val="0"/>
          <w:lang w:val="en-US"/>
          <w14:textFill>
            <w14:solidFill>
              <w14:srgbClr w14:val="000000"/>
            </w14:solidFill>
          </w14:textFill>
        </w:rPr>
        <w:t>–</w:t>
      </w:r>
      <w:r>
        <w:rPr>
          <w:rFonts w:ascii="Arial" w:hAnsi="Arial"/>
          <w:outline w:val="0"/>
          <w:color w:val="000000"/>
          <w:sz w:val="20"/>
          <w:szCs w:val="20"/>
          <w:u w:color="000000"/>
          <w:rtl w:val="0"/>
          <w:lang w:val="pt-PT"/>
          <w14:textFill>
            <w14:solidFill>
              <w14:srgbClr w14:val="000000"/>
            </w14:solidFill>
          </w14:textFill>
        </w:rPr>
        <w:t>2023. Dragos, Hanover, MD.</w:t>
      </w:r>
    </w:p>
    <w:p>
      <w:pPr>
        <w:pStyle w:val="Body"/>
      </w:pPr>
      <w:r>
        <w:rPr>
          <w:rFonts w:ascii="Arial" w:hAnsi="Arial"/>
          <w:outline w:val="0"/>
          <w:color w:val="000000"/>
          <w:sz w:val="20"/>
          <w:szCs w:val="20"/>
          <w:u w:color="000000"/>
          <w:rtl w:val="0"/>
          <w:lang w:val="en-US"/>
          <w14:textFill>
            <w14:solidFill>
              <w14:srgbClr w14:val="000000"/>
            </w14:solidFill>
          </w14:textFill>
        </w:rPr>
        <w:t>[15] CISA, NSA, FBI &amp; partner agencies. (2022). Advisory: APT Cyber Tools Targeting ICS/SCADA Devices (AA22-103A). US Cybersecurity and Infrastructure Security Agency, Washington D.C. Retrieved from https://www.cisa.gov/news-events/cybersecurity-advisories/aa22-103a</w:t>
      </w:r>
    </w:p>
    <w:p>
      <w:pPr>
        <w:pStyle w:val="No Spacing"/>
      </w:pPr>
    </w:p>
    <w:p>
      <w:pPr>
        <w:pStyle w:val="No Spacing"/>
      </w:pPr>
    </w:p>
    <w:p>
      <w:pPr>
        <w:pStyle w:val="No Spacing"/>
      </w:pPr>
      <w:r/>
    </w:p>
    <w:sectPr>
      <w:headerReference w:type="default" r:id="rId4"/>
      <w:headerReference w:type="first" r:id="rId5"/>
      <w:footerReference w:type="default" r:id="rId6"/>
      <w:footerReference w:type="first" r:id="rId7"/>
      <w:pgSz w:w="11900" w:h="16840" w:orient="portrait"/>
      <w:pgMar w:top="851" w:right="1134" w:bottom="1418" w:left="1134" w:header="709" w:footer="709"/>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sz w:val="18"/>
        <w:szCs w:val="18"/>
        <w:rtl w:val="0"/>
        <w:lang w:val="en-US"/>
      </w:rPr>
      <w:t xml:space="preserve">Page </w:t>
    </w:r>
    <w:r>
      <w:rPr>
        <w:sz w:val="18"/>
        <w:szCs w:val="18"/>
        <w:rtl w:val="0"/>
      </w:rPr>
      <w:fldChar w:fldCharType="begin" w:fldLock="0"/>
    </w:r>
    <w:r>
      <w:rPr>
        <w:sz w:val="18"/>
        <w:szCs w:val="18"/>
        <w:rtl w:val="0"/>
      </w:rPr>
      <w:instrText xml:space="preserve"> PAGE </w:instrText>
    </w:r>
    <w:r>
      <w:rPr>
        <w:sz w:val="18"/>
        <w:szCs w:val="18"/>
        <w:rtl w:val="0"/>
      </w:rPr>
      <w:fldChar w:fldCharType="separate" w:fldLock="0"/>
    </w:r>
    <w:r>
      <w:rPr>
        <w:sz w:val="18"/>
        <w:szCs w:val="18"/>
        <w:rtl w:val="0"/>
      </w:rPr>
    </w:r>
    <w:r>
      <w:rPr>
        <w:sz w:val="18"/>
        <w:szCs w:val="18"/>
        <w:rtl w:val="0"/>
      </w:rPr>
      <w:fldChar w:fldCharType="end" w:fldLock="0"/>
    </w:r>
    <w:r>
      <w:rPr>
        <w:sz w:val="18"/>
        <w:szCs w:val="18"/>
        <w:rtl w:val="0"/>
        <w:lang w:val="en-US"/>
      </w:rPr>
      <w:t>/</w:t>
    </w:r>
    <w:r>
      <w:rPr>
        <w:sz w:val="18"/>
        <w:szCs w:val="18"/>
        <w:rtl w:val="0"/>
      </w:rPr>
      <w:fldChar w:fldCharType="begin" w:fldLock="0"/>
    </w:r>
    <w:r>
      <w:rPr>
        <w:sz w:val="18"/>
        <w:szCs w:val="18"/>
        <w:rtl w:val="0"/>
      </w:rPr>
      <w:instrText xml:space="preserve"> NUMPAGES </w:instrText>
    </w:r>
    <w:r>
      <w:rPr>
        <w:sz w:val="18"/>
        <w:szCs w:val="18"/>
        <w:rtl w:val="0"/>
      </w:rPr>
      <w:fldChar w:fldCharType="separate" w:fldLock="0"/>
    </w:r>
    <w:r>
      <w:rPr>
        <w:sz w:val="18"/>
        <w:szCs w:val="18"/>
        <w:rtl w:val="0"/>
      </w:rPr>
    </w:r>
    <w:r>
      <w:rPr>
        <w:sz w:val="18"/>
        <w:szCs w:val="18"/>
        <w:rtl w:val="0"/>
      </w:rPr>
      <w:fldChar w:fldCharType="end" w:fldLock="0"/>
    </w:r>
    <w:r>
      <w:rPr>
        <w:sz w:val="18"/>
        <w:szCs w:val="18"/>
      </w:r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right"/>
      <w:rPr>
        <w:sz w:val="18"/>
        <w:szCs w:val="18"/>
      </w:rPr>
    </w:pPr>
    <w:r>
      <w:rPr>
        <w:sz w:val="18"/>
        <w:szCs w:val="18"/>
      </w:rPr>
      <w:tab/>
    </w:r>
    <w:r>
      <w:rPr>
        <w:rtl w:val="0"/>
        <w:lang w:val="en-US"/>
      </w:rPr>
      <w:t xml:space="preserve">page </w:t>
    </w:r>
    <w:r>
      <w:rPr>
        <w:sz w:val="18"/>
        <w:szCs w:val="18"/>
        <w:rtl w:val="0"/>
      </w:rPr>
      <w:fldChar w:fldCharType="begin" w:fldLock="0"/>
    </w:r>
    <w:r>
      <w:rPr>
        <w:sz w:val="18"/>
        <w:szCs w:val="18"/>
        <w:rtl w:val="0"/>
      </w:rPr>
      <w:instrText xml:space="preserve"> PAGE </w:instrText>
    </w:r>
    <w:r>
      <w:rPr>
        <w:sz w:val="18"/>
        <w:szCs w:val="18"/>
        <w:rtl w:val="0"/>
      </w:rPr>
      <w:fldChar w:fldCharType="separate" w:fldLock="0"/>
    </w:r>
    <w:r>
      <w:rPr>
        <w:sz w:val="18"/>
        <w:szCs w:val="18"/>
        <w:rtl w:val="0"/>
      </w:rPr>
      <w:fldChar w:fldCharType="end" w:fldLock="0"/>
    </w:r>
    <w:r>
      <w:rPr>
        <w:sz w:val="18"/>
        <w:szCs w:val="18"/>
        <w:rtl w:val="0"/>
        <w:lang w:val="en-US"/>
      </w:rPr>
      <w:t>/</w:t>
    </w:r>
    <w:r>
      <w:rPr>
        <w:sz w:val="18"/>
        <w:szCs w:val="18"/>
        <w:rtl w:val="0"/>
      </w:rPr>
      <w:fldChar w:fldCharType="begin" w:fldLock="0"/>
    </w:r>
    <w:r>
      <w:rPr>
        <w:sz w:val="18"/>
        <w:szCs w:val="18"/>
        <w:rtl w:val="0"/>
      </w:rPr>
      <w:instrText xml:space="preserve"> NUMPAGES </w:instrText>
    </w:r>
    <w:r>
      <w:rPr>
        <w:sz w:val="18"/>
        <w:szCs w:val="18"/>
        <w:rtl w:val="0"/>
      </w:rPr>
      <w:fldChar w:fldCharType="separate" w:fldLock="0"/>
    </w:r>
    <w:r>
      <w:rPr>
        <w:sz w:val="18"/>
        <w:szCs w:val="18"/>
        <w:rtl w:val="0"/>
      </w:rPr>
      <w:fldChar w:fldCharType="end" w:fldLock="0"/>
    </w:r>
  </w:p>
  <w:p>
    <w:pPr>
      <w:pStyle w:val="footer"/>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pPr>
    <w:r>
      <w:drawing xmlns:a="http://schemas.openxmlformats.org/drawingml/2006/main">
        <wp:anchor distT="152400" distB="152400" distL="152400" distR="152400" simplePos="0" relativeHeight="251658240" behindDoc="1" locked="0" layoutInCell="1" allowOverlap="1">
          <wp:simplePos x="0" y="0"/>
          <wp:positionH relativeFrom="page">
            <wp:posOffset>6196965</wp:posOffset>
          </wp:positionH>
          <wp:positionV relativeFrom="page">
            <wp:posOffset>97155</wp:posOffset>
          </wp:positionV>
          <wp:extent cx="978958" cy="619125"/>
          <wp:effectExtent l="0" t="0" r="0" b="0"/>
          <wp:wrapNone/>
          <wp:docPr id="1073741825" name="officeArt object" descr="Bilde 1"/>
          <wp:cNvGraphicFramePr/>
          <a:graphic xmlns:a="http://schemas.openxmlformats.org/drawingml/2006/main">
            <a:graphicData uri="http://schemas.openxmlformats.org/drawingml/2006/picture">
              <pic:pic xmlns:pic="http://schemas.openxmlformats.org/drawingml/2006/picture">
                <pic:nvPicPr>
                  <pic:cNvPr id="1073741825" name="Bilde 1" descr="Bilde 1"/>
                  <pic:cNvPicPr>
                    <a:picLocks noChangeAspect="1"/>
                  </pic:cNvPicPr>
                </pic:nvPicPr>
                <pic:blipFill>
                  <a:blip r:embed="rId1">
                    <a:extLst/>
                  </a:blip>
                  <a:stretch>
                    <a:fillRect/>
                  </a:stretch>
                </pic:blipFill>
                <pic:spPr>
                  <a:xfrm>
                    <a:off x="0" y="0"/>
                    <a:ext cx="978958" cy="619125"/>
                  </a:xfrm>
                  <a:prstGeom prst="rect">
                    <a:avLst/>
                  </a:prstGeom>
                  <a:ln w="12700" cap="flat">
                    <a:noFill/>
                    <a:miter lim="400000"/>
                  </a:ln>
                  <a:effectLst/>
                </pic:spPr>
              </pic:pic>
            </a:graphicData>
          </a:graphic>
        </wp:anchor>
      </w:drawing>
    </w:r>
    <w:r>
      <w:rPr>
        <w:i w:val="1"/>
        <w:iCs w:val="1"/>
        <w:sz w:val="20"/>
        <w:szCs w:val="20"/>
        <w:rtl w:val="0"/>
        <w:lang w:val="en-US"/>
      </w:rPr>
      <w:t xml:space="preserve"> </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684" w:hanging="324"/>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1">
      <w:start w:val="1"/>
      <w:numFmt w:val="lowerLetter"/>
      <w:suff w:val="tab"/>
      <w:lvlText w:val="%2."/>
      <w:lvlJc w:val="left"/>
      <w:pPr>
        <w:ind w:left="1404" w:hanging="324"/>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2">
      <w:start w:val="1"/>
      <w:numFmt w:val="lowerRoman"/>
      <w:suff w:val="tab"/>
      <w:lvlText w:val="%3."/>
      <w:lvlJc w:val="left"/>
      <w:pPr>
        <w:ind w:left="2133" w:hanging="244"/>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3">
      <w:start w:val="1"/>
      <w:numFmt w:val="decimal"/>
      <w:suff w:val="tab"/>
      <w:lvlText w:val="%4."/>
      <w:lvlJc w:val="left"/>
      <w:pPr>
        <w:ind w:left="2844" w:hanging="324"/>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4">
      <w:start w:val="1"/>
      <w:numFmt w:val="lowerLetter"/>
      <w:suff w:val="tab"/>
      <w:lvlText w:val="%5."/>
      <w:lvlJc w:val="left"/>
      <w:pPr>
        <w:ind w:left="3564" w:hanging="324"/>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5">
      <w:start w:val="1"/>
      <w:numFmt w:val="lowerRoman"/>
      <w:suff w:val="tab"/>
      <w:lvlText w:val="%6."/>
      <w:lvlJc w:val="left"/>
      <w:pPr>
        <w:ind w:left="4293" w:hanging="244"/>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6">
      <w:start w:val="1"/>
      <w:numFmt w:val="decimal"/>
      <w:suff w:val="tab"/>
      <w:lvlText w:val="%7."/>
      <w:lvlJc w:val="left"/>
      <w:pPr>
        <w:ind w:left="5004" w:hanging="324"/>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7">
      <w:start w:val="1"/>
      <w:numFmt w:val="lowerLetter"/>
      <w:suff w:val="tab"/>
      <w:lvlText w:val="%8."/>
      <w:lvlJc w:val="left"/>
      <w:pPr>
        <w:ind w:left="5724" w:hanging="324"/>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8">
      <w:start w:val="1"/>
      <w:numFmt w:val="lowerRoman"/>
      <w:suff w:val="tab"/>
      <w:lvlText w:val="%9."/>
      <w:lvlJc w:val="left"/>
      <w:pPr>
        <w:ind w:left="6453" w:hanging="244"/>
      </w:pPr>
      <w:rPr>
        <w:rFonts w:hAnsi="Arial Unicode MS"/>
        <w:caps w:val="0"/>
        <w:smallCaps w:val="0"/>
        <w:strike w:val="0"/>
        <w:dstrike w:val="0"/>
        <w:outline w:val="0"/>
        <w:emboss w:val="0"/>
        <w:imprint w:val="0"/>
        <w:spacing w:val="0"/>
        <w:w w:val="100"/>
        <w:kern w:val="0"/>
        <w:position w:val="0"/>
        <w:sz w:val="18"/>
        <w:szCs w:val="18"/>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36"/>
        <w:tab w:val="right" w:pos="9072"/>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er">
    <w:name w:val="header"/>
    <w:next w:val="header"/>
    <w:pPr>
      <w:keepNext w:val="0"/>
      <w:keepLines w:val="0"/>
      <w:pageBreakBefore w:val="0"/>
      <w:widowControl w:val="1"/>
      <w:shd w:val="clear" w:color="auto" w:fill="auto"/>
      <w:tabs>
        <w:tab w:val="center" w:pos="4536"/>
        <w:tab w:val="right" w:pos="9072"/>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59"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theme" Target="theme/theme1.xml"/></Relationships>

</file>

<file path=word/_rels/header2.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tema">
  <a:themeElements>
    <a:clrScheme name="Office-tema">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tema">
      <a:majorFont>
        <a:latin typeface="Helvetica Neue"/>
        <a:ea typeface="Helvetica Neue"/>
        <a:cs typeface="Helvetica Neue"/>
      </a:majorFont>
      <a:minorFont>
        <a:latin typeface="Helvetica Neue"/>
        <a:ea typeface="Helvetica Neue"/>
        <a:cs typeface="Helvetica Neue"/>
      </a:minorFont>
    </a:fontScheme>
    <a:fmtScheme name="Office-t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