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 Spacing"/>
        <w:jc w:val="center"/>
        <w:rPr>
          <w:b w:val="1"/>
          <w:bCs w:val="1"/>
          <w:sz w:val="44"/>
          <w:szCs w:val="44"/>
        </w:rPr>
      </w:pPr>
      <w:r>
        <w:rPr>
          <w:b w:val="1"/>
          <w:bCs w:val="1"/>
          <w:sz w:val="44"/>
          <w:szCs w:val="44"/>
          <w:rtl w:val="0"/>
          <w:lang w:val="en-US"/>
        </w:rPr>
        <w:t>PROJECT DESCRIPTION NANSEN EDU 2025</w:t>
      </w:r>
    </w:p>
    <w:p>
      <w:pPr>
        <w:pStyle w:val="No Spacing"/>
      </w:pPr>
    </w:p>
    <w:tbl>
      <w:tblPr>
        <w:tblW w:w="962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2122"/>
        <w:gridCol w:w="7506"/>
      </w:tblGrid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aa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Project number:</w:t>
            </w:r>
          </w:p>
        </w:tc>
        <w:tc>
          <w:tcPr>
            <w:tcW w:type="dxa" w:w="75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shd w:val="nil" w:color="auto" w:fill="auto"/>
                <w:rtl w:val="0"/>
                <w:lang w:val="en-US"/>
              </w:rPr>
              <w:t>Enter the project number from the online application form in Espresso.</w:t>
            </w:r>
          </w:p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aa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Project title:</w:t>
            </w:r>
          </w:p>
        </w:tc>
        <w:tc>
          <w:tcPr>
            <w:tcW w:type="dxa" w:w="75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AI-Powered Smart Grid Education for Ukraine's Energy Resilience (AI-SmartGrid)</w:t>
            </w:r>
          </w:p>
        </w:tc>
      </w:tr>
      <w:tr>
        <w:tblPrEx>
          <w:shd w:val="clear" w:color="auto" w:fill="cdd4e9"/>
        </w:tblPrEx>
        <w:trPr>
          <w:trHeight w:val="221" w:hRule="atLeast"/>
        </w:trPr>
        <w:tc>
          <w:tcPr>
            <w:tcW w:type="dxa" w:w="212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7caac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Applicant institution:</w:t>
            </w:r>
          </w:p>
        </w:tc>
        <w:tc>
          <w:tcPr>
            <w:tcW w:type="dxa" w:w="75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 xml:space="preserve">NTNU </w:t>
            </w:r>
            <w:r>
              <w:rPr>
                <w:shd w:val="nil" w:color="auto" w:fill="auto"/>
                <w:rtl w:val="0"/>
                <w:lang w:val="en-US"/>
              </w:rPr>
              <w:t xml:space="preserve">— </w:t>
            </w:r>
            <w:r>
              <w:rPr>
                <w:shd w:val="nil" w:color="auto" w:fill="auto"/>
                <w:rtl w:val="0"/>
                <w:lang w:val="en-US"/>
              </w:rPr>
              <w:t>Norwegian University of Science and Technology</w:t>
            </w:r>
          </w:p>
        </w:tc>
      </w:tr>
    </w:tbl>
    <w:p>
      <w:pPr>
        <w:pStyle w:val="No Spacing"/>
        <w:widowControl w:val="0"/>
      </w:pPr>
    </w:p>
    <w:p>
      <w:pPr>
        <w:pStyle w:val="No Spacing"/>
      </w:pPr>
    </w:p>
    <w:p>
      <w:pPr>
        <w:pStyle w:val="No Spacing"/>
      </w:pPr>
    </w:p>
    <w:p>
      <w:pPr>
        <w:pStyle w:val="Body"/>
        <w:keepNext w:val="1"/>
        <w:keepLines w:val="1"/>
        <w:spacing w:before="200" w:after="120"/>
        <w:outlineLvl w:val="1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</w:rPr>
        <w:t>1</w:t>
        <w:tab/>
        <w:t>Relevance of the project</w:t>
      </w:r>
    </w:p>
    <w:p>
      <w:pPr>
        <w:pStyle w:val="No Spacing"/>
        <w:rPr>
          <w:b w:val="1"/>
          <w:bCs w:val="1"/>
        </w:rPr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1.1</w:t>
        <w:tab/>
        <w:t xml:space="preserve"> Background and needs of the project 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Контекст та потреби проєкту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Енергетична криза та кіберзагрози як взаємопов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язані виклики відновлення України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Енергетична інфраструктура України зазнала безпрецедентних руйнувань унаслідок систематичних комбінованих кінетичних і кібератак 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року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 оцінками Міжнародного енергетичного агентства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МЕА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2024),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понад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70%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встановленої генеруючої потужності України пошкоджено або виведено з ладу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збитки лише тепловій та гідрогенерації перевищують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млрд дол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США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Проте відновлення фізичної інфраструктури без одночасного нарощування потенціалу кіберзахисту є стратегічно недалекоглядним і навіть небезпечним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Україна є єдиною країною у світі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 державні актори неодноразово успішно відключали електричні мережі за допомогою спеціалізованого шкідливого програмного забезпечення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Кіберінциденти в українській енергетиці формують унікальну «бойову карту» загроз для глобальної критичної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грудні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2015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року атака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BlackEnergy/KillDisk,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атрибутована угрупованню 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Sandworm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ГРУ РФ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вперше в історії призвела до планомірного відключення електроенергії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225 000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абонентів Івано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Франківської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Київської та Чернівецької областей залишилися без світла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[1].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грудні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2016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року шкідливий код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 (CrashOverride)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перший у світі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malware,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розроблений спеціально для атаки на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SCADA-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системи керування підстанціями за протоколами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IEC 60870-5-101/104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IEC 61850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здійснив цільову атаку на підстанцію «Північна»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Київ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паралізувавши роботу систем захисту та управління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[2].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квітні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року вдосконалена версія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Industroyer2,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разом із деструктивним вайпером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CaddyWiper,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була спрямована проти критичної підстанції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750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 з метою виведення з ладу мільйонів споживачів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атаку вдалося нейтралізувати лише завдяки оперативному втручанню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ESET [3].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Поряд із цим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починаючи 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року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спостерігається масштабне застосування </w:t>
      </w:r>
      <w:r>
        <w:rPr>
          <w:rFonts w:ascii="Arial" w:hAnsi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Industroyer2, FoxBlade, HermeticWiper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інших деструктивних інструментів у рамках «гібридних» операцій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поєднують ракетні удари по підстанціях із одночасним кібервтручанням у системи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SCADA, WAMS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AMI.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Цей досвід демонструє фундаментальну істину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реконструкція без кіберзахисту є ілюзорною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Відновлені «розумні» підстанції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інтегровані 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IoT-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інфраструктуру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Smart Grid,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мають значно розширену поверхню атаки порівняно з аналоговими попередниками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Кожен встановлений «розумний» лічильник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(AMI),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кожен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RTU/IED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системі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SCADA,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кожен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PMU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мережі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WAMS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 кожен новий вузол комунікаційної мережі стандарту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IEC 61850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утворює потенційний вектор несанкціонованого доступу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масштабному розгортанні відновленої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інфраструктури — яке Україна планує здійснити відповідно до Плану відновлення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(Ukrainian Recovery Plan, URP)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зобов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язань щодо інтеграції до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ENTSO-E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критично важливою стає наявність достатнього кадрового потенціалу у сфері кібербезпеки ОТ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/ICS.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Дефіцит кадрів та освітній розрив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цьому Україна стикається з гострим дефіцитом фахівців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здатних захищати цифровізовану енергетичну інфраструктуру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 даними Держспецзв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язку України та аналітичних звітів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ENISA (2023),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потреба у кваліфікованих спеціалістах із кібербезпеки промислових систем керування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(ICS/SCADA)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перевищує наявну пропозицію щонайменше 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разів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[4].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Жоден українській заклад вищої освіти станом на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рік не пропонує інтегрованої програми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поєднує три взаємозалежні компетентності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(1)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управління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/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розподіленою генерацією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(2)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штучний інтелект 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ML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аналітики енергосистем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(3)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кібербезпека ОТ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/ICS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критичної енергетичної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Наявні програми з кібербезпеки в ЗВО України переважно зосереджені на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IT-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безпеці корпоративних мереж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 торкаючись специфіки протоколів промислової автоматизації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(Modbus, DNP3, IEC 61850, IEC 60870),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операційних технологій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(OT)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кіберфізичних систем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(CPS).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Запорізький контекст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передовий досвід кризового управління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Запорізький національний університет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розташований у Запоріжжі — місті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безпосередньо перебуває в зоні активних бойових дій і є символом найбільшого енергетичного об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єкта Європи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Запорізької АЕС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навколо якої зосереджені постійні безпекові ризики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Університет продовжує освітню та наукову діяльність в умовах регулярних обстрілів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енергетичних відключень і примусової евакуації частини студентів та викладачів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Водночас ЗНУ набув унікальної практичної компетентності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дашбордне відстеження стану власної сонячної генерації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досвід роботи в умовах острівного енергопостачання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(islanding),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функціонування критичних ІТ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сервісів через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Microsoft Azure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 дотриманням вимог кіберзахисту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Цей оперативний досвід є неоціненним емпіричним ресурсом для розробки релевантних навчальних кейсів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Цільові групи та їх потреби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орієнтований на три взаємодоповнювальні цільові групи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Студенти бакалаврату та магістратури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спеціальності </w:t>
      </w:r>
      <w:r>
        <w:rPr>
          <w:rFonts w:ascii="Arial" w:hAnsi="Arial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141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«Електроенергетика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електротехніка та електромеханіка»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172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«Телекомунікації та радіотехніка»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125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«Кібербезпека та захист інформації»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122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«Комп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ютерні науки»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щонайменше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240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протягом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років отримають доступ до нових курсів із кібербезпеки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аналітики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Науково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педагогічні працівники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ЗНУ та партнерського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 менше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викладачів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пройдуть підвищення кваліфікації 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онлайн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навчання за темами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OT/ICS cybersecurity,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цифрові двійники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AI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енергосистем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Фахівці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практики галузі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інженери «Укренерго»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«ДТЕК»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операційний персонал розподільних компаній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аналітики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щонайменше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60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практиків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візьмуть участь у майстер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класах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семінарах 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CTF-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змаганнях на кіберполігоні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Заплановані результати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(SMART-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формат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R1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місяця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18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розроблено та акредитовано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нових навчальних модулів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«Кібербезпека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SCADA/ICS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енергосистем»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аномалії та виявлення вторгнень 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«Кіберфізична безпека розподілених мереж»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«Цифровий двійник енергосистеми»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«Відновлення після кіберінцидентів в енергетиці»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місяця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розгорнуто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Живу лабораторію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із функціональним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кіберполігоном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(cyber range),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моделює атаки класу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SCADA-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середовище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R3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завершення проєкту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240+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опанують матеріал щонайменше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нових модулів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завершать мобільність 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R4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 менше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академічних статей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відкрита освітня ресурсна база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(OER)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із методичними матеріалами для поширення моделі на інші ЗВО України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R5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Опрацьовано та впроваджено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Рамкову програму кваліфікацій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(Competency Framework)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спеціалістів із кібербезпеки критичної енергетичної інфраструктури відповідно до стандартів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NERC CIP, IEC 62351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вимог Директиви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NIS2.</w:t>
      </w:r>
    </w:p>
    <w:p>
      <w:pPr>
        <w:pStyle w:val="No Spacing"/>
      </w:pPr>
    </w:p>
    <w:p>
      <w:pPr>
        <w:pStyle w:val="No Spacing"/>
        <w:rPr>
          <w:b w:val="1"/>
          <w:bCs w:val="1"/>
        </w:rPr>
      </w:pPr>
    </w:p>
    <w:p>
      <w:pPr>
        <w:pStyle w:val="No Spacing"/>
      </w:pPr>
    </w:p>
    <w:p>
      <w:pPr>
        <w:pStyle w:val="No Spacing"/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 xml:space="preserve">1.2 </w:t>
        <w:tab/>
        <w:t xml:space="preserve">The project's alignment with other activities/measures and any innovative elements 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Відповідність проєкту іншим заходам та інноваційні елементи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Синергія з існуючими ініціативами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вибудовується на міцному фундаменті реальних партнерств і поточних дослідницьких активностей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не є ізольованою ініціативою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через своє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Депертаменті електричної енергії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та партнерство з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SINTEF Energy Research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накопичив глобально визнаний досвід моделювання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оптимізації та управління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включаючи технології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Energy Storage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Vehicle-to-Grid (V2G).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Паралельно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Центр кіберзахисту та інформаційної безпеки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NTNU (CCIS)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є провідним норвезьким дослідницьким центром з питань кібербезпеки критичної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Кафедра інформаційної безпеки та комунікаційних технологій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(IIK)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координує дослідження у сфері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ICS/SCADA security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AI-driven intrusion detection.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Норвезький регулятор енергетики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(NVE)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Національний орган з безпеки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(NSM)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мають задокументовані методичні рамки захисту енергетичної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якими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активно послуговується в навчанні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ЗНУ вносить у партнерство унікальний поєднаний потенціал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дослідницька група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Grids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відновлювальної енергетики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Інженерний навчально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науковий інститут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має активні проєкти з інтеграції розподіленої сонячної генерації та моделювання мікромереж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Лабораторія паралельних та розподілених обчислень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Факультет математики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забезпечує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HPC-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інфраструктуру для навчання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AI/ML-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моделей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хмарна інфраструктура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Microsoft Azure,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розгорнута в рамках антикризових заходів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вже включає елементи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Zero Trust Architecture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хмарного моніторингу безпеки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Наявний дорожній план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–ЗНУ на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2026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2028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роки формалізує цей синергетичний потенціал у конкретні спільні активності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Комплементарність із програмами ЄС та іншими ініціативами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свідомо розроблений як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компліментарний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не дублюючий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щодо таких ініціатив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Erasmus+ KA2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Erasmus Mundus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14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діючих проєктів ЗНУ за програмою </w:t>
      </w:r>
      <w:r>
        <w:rPr>
          <w:rFonts w:ascii="Arial" w:hAnsi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Erasmus+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охоплюють широкі теми цифровізації та модернізації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проте жоден не фокусується спеціально на кібербезпеці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OT/ICS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енергетики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. 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заповнює цю нішу та забезпечить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OER,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придатні для подальшого масштабування в </w:t>
      </w:r>
      <w:r>
        <w:rPr>
          <w:rFonts w:ascii="Arial" w:hAnsi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Erasmus-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контексті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Horizon Europe / MSCA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діючих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MSCA-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проєкти ЗНУ генерують наукові результати у суміжних галузях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; 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надаватиме освітній канал для трансляції цих результатів у навчальні програми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(research-to-curriculum pathway).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UA-UK Twinning (UKRI)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активне партнерство ЗНУ з британськими університетами забезпечує додаткові мережеві ресурси та взаємне визнання кваліфікацій у перспективі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DAAD Ukraine Digital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ЗНУ 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DAAD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зосереджений на широкій цифровій трансформації ЗВО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; 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поглиблює цифровий порядок денний у конкретній критично важливій технічній ніші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EU4Energy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EBRD Ukraine Energy Resilience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фінансують фізичну реконструкцію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але не освітній компонент кіберзахисту — таким чином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 ідеальним доповненням до цих великих програм відновлення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ENISA Smart Grid Security Guidelines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IEC TC57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стандарти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проєктні навчальні модулі безпосередньо спираються на ці нормативно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технічні документи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гарантує відповідність галузевим стандартам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[5, 6].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Відповідність регуляторному контексту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Проєкт є своєчасним відповідно до кількох ключових регуляторних подій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Директива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NIS2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ЄС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(2022/2555)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яка набула чинності у жовтні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2024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року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встановлює жорсткі вимоги до кібербезпеки для операторів критичної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включно з енергетичним сектором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 огляду на євроінтеграційний курс України та план синхронізації законодавства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українські оператори енергосистем будуть зобов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язані відповідати аналогічним стандартам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Кіберстратегія України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(2021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2025),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Закон України «Про основні засади забезпечення кібербезпеки України»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2163-VIII),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також вимоги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NERC CIP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IEC 62351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щодо захисту комунікаційних протоколів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усі ці інструменти вимагають підготовленого кадрового потенціалу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якого наразі критично бракує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[7, 8].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Інноваційні елементи проєкту</w:t>
      </w:r>
    </w:p>
    <w:p>
      <w:pPr>
        <w:pStyle w:val="Body"/>
        <w:spacing w:after="120"/>
      </w:pP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є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першою в Україні інтегрованою освітньою програмою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системно поєднує три стратегічні компетентності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Кіберфізична безпека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відміну від загальних курсів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IT-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безпеки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програма фокусується на специфіці захисту операційних технологій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(OT):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протоколи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Modbus/DNP3/IEC 61850,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безпека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RTU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IED,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аутентифікація в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SCADA-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системах реального часу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захист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>PMU-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мереж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WAMS,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сегрегація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IT/OT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мереж за принципом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Purdue Model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ISA/IEC 62443.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аномалії та інтелектуальне виявлення вторгнень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застосування методів машинного навчання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ізолюючі ліси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автоенкодери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LSTM-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мережі для часових рядів телеметрії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лише для прогнозування навантаження та управління ВДЕ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й для розпізнавання аномального трафіку мережі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SCADA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ознак атак 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FDI (False Data Injection)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WAMS-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системах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[9].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Навчання на «живих» кейсах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унікальний доступ ЗНУ до реальних даних власної сонячної мікромережі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також задокументований досвід України з атаками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BlackEnergy/Industroyer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слугують навчальним матеріалом для кейс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стаді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є неможливим в умовах більшості навчальних закладів за межами країни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Кіберполігон на базі цифрового двійника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розгортання в Живій лабораторії повнофункціонального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cyber range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 базі цифрового двійника типового вузла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підстанція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пункт обліку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AMI 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комунікаційний шлюз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дозволяє безпечно моделювати атаки класу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проводити змагання у форматі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Capture-the-Flag (CTF)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вправи «червоної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синьої команди» без ризику для реальної інфраструктури — підхід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якого ще не існує в жодному українському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283" w:firstLine="0"/>
      </w:pP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Рамкова програма кваліфікацій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(Competency Framework)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розробить та публічно поширить перший україномовний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CFW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спеціалістів із кібербезпеки критичної енергетичної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придатний для адаптації будь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яким ЗВО України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keepNext w:val="1"/>
        <w:keepLines w:val="1"/>
        <w:spacing w:before="200" w:after="120"/>
        <w:outlineLvl w:val="1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</w:rPr>
        <w:t>2</w:t>
        <w:tab/>
        <w:t>Design and implementation</w:t>
      </w:r>
    </w:p>
    <w:p>
      <w:pPr>
        <w:pStyle w:val="No Spacing"/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2.1</w:t>
        <w:tab/>
        <w:t>Activities, measures and approaches to achieve the project results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Діяльність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та підходи для досягнення результатів проєкту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Загальна структура та хронологія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розраховано на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36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місяців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липень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2026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червень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2029)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 структуровано в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робочих пакетів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(WP)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Управлінський підхід базується на принципах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Agile-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адаптації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квартальні огляди прогресу дозволяють коригувати план з урахуванням безпекової ситуації в Запоріжжі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WP1: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Розроблення навчальних програм із кібербезпеки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аналітики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місяці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18)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розробити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рецензувати та акредитувати інтегрований навчальний пакет із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модулів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охоплює кібербезпеку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ICS/OT, AI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кіберфізичну безпеку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Ключові активності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WP1.A1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Аналіз потреб роботодавців — опитування «Укренерго»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«ДТЕК»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регіональних розподільних компаній та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щодо дефіцитних компетентностей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порівняльний аналіз програм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NTNU IIK, SANS ICS, ISA/IEC 62443 Cybersecurity Certificate.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WP1.A2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Розроблення силабусів п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яти модулів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Модуль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CY1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«Кібербезпека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SCADA/ICS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енергосистем»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архітектура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Purdue/ISA-99,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вразливості протоколів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Modbus/DNP3/IEC 60870,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автентифікація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IEC 62351,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пентест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SCADA-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середовищ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Модуль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CY2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«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виявлення аномалій та інтрузій 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часові ряди телеметрії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>PMU, LSTM-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автоенкодери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виявлення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FDI-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атак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інтеграція з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SIEM-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Модуль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CY3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«Кіберфізична безпека розподілених мереж»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захист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AMI/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смарт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лічильників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безпека комунікацій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IoT-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вузлів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Zero Trust Architecture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OT-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мереж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Модуль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SG1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«Цифровий двійник енергосистеми та управління ВДЕ»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моделювання в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DIgSILENT PowerFactory / MATLAB Simulink,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інтеграція сонячних та вітрових джерел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алгоритми оптимізації навантаження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Модуль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IR1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«Реагування на кіберінциденти та відновлення в енергетиці»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методологія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ICS-CERT,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процедури ізоляції та відновлення після атак типу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вправи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Tabletop Exercises.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WP1.A3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16)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Зовнішнє рецензування модулів за участю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CERT-UA, NSM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Норвегія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представника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ENTSO-E; peer review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від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незалежних академічних рецензентів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WP1.A4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14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18)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Подання до акредитаційних органів обох українських університетів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інтеграція до навчальних планів спеціальностей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141, 125, 172.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Ключові результати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WP1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акредитованих модулів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Рамкова програма кваліфікацій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; OER-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репозиторій на платформі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Moodle/OpenEDX.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WP2: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Підвищення кваліфікації науково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педагогічних працівників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місяці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24)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підготувати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викладачів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партнерів до викладання нових модулів та проведення практичних лабораторних занять на кіберполігоні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Ключові активності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WP2.A1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Дві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інтенсивні школи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днів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Трондгейм для груп по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8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викладачів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Школа </w:t>
      </w:r>
      <w:r>
        <w:rPr>
          <w:rFonts w:ascii="Arial" w:hAnsi="Arial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OT/ICS Security Fundamentals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практикум з аналізу трафіку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Modbus/DNP3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Wireshark,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вправи 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PLC/RTU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лабораторії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IIK,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розбір кейсів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BlackEnergy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Industroyer2.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Школа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AI for Grid Analytics &amp; Threat Detection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Python/TensorFlow pipeline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аналізу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>PMU-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телеметрії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розроблення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LSTM-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моделей виявлення аномалій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огляд відкритих датасетів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(ORNL, EPRI).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WP2.A2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9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20)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Онлайн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серія воркшопів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(12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сесій по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год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щомісяця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 темами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supply chain security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обладнання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Grid, data protection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системах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AMI,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огляд оновлень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IEC 62351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NERC CIP v7,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розбір нових інцидентів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живі кейси з відкритих джерел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ICS-CERT/CISA).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WP2.A3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22)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Педагогічні обміни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10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викладачів ЗНУ та партнерського ЗВО проходять стажування 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NTNU (2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тижні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 фокусом на методиці проведення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CTF-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змагань та лабораторних практикумів на кіберполігоні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6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фахівців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NTNU/CCIS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здійснюють виїзні візити до ЗНУ для спільного проведення занять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WP2.A4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18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24)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Оцінювання педагогічної готовності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(pre/post competency assessment);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сертифікація викладачів за внутрішньою рамкою проєкту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Ключові результати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WP2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40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сертифікованих викладачів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12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онлайн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записів воркшопів у відкритому доступі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методичний посібник «Викладання кібербезпеки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OT/ICS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 ЗВО»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WP3: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Студентська мобільність та практичне навчання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місяці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забезпечити практичне навчання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240+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тому числі через мобільність 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участь 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CTF/Red Team-Blue Team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змаганнях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Ключові активності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WP3.A1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Щорічні семестрові обміни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потоки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осінь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2027,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весна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2028,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осінь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2028): 10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рік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(30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разом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магістранти спеціальностей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141/125/172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навчаються 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 узгодженою траєкторією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включаючи курси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CCIS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із безпеки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ICS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лабораторні заняття 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 Lab NTNU/SINTEF.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WP3.A2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15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35)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Щорічні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CTF-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змагання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«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GridDefend Ukraine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рази за проєкт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студентські команди з обох українських університетів змагаються у сценаріях кіберзахисту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Smart Grid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виявлення аномалій у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>PMU-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потоці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ізоляція скомпрометованого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RTU,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аналіз форензіки після симульованої атаки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кіберполігоні Живої лабораторії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Запрошення команд з інших ЗВО України починаючи 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CTF.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WP3.A3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18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35)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Міждисциплінарні проєктні команди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(Project-Based Learning):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студентські групи по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6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осіб розробляють рішення реальних проблем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наприклад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система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моніторингу для захисту підстанції від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FDI-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атак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план аварійного відновлення після кіберінциденту для модельної розподільчої мережі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WP3.A4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20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Стипендіальна програма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для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найкращих студентів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(10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місяців стипендія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спільне призначення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партнерів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підтримка розробки дипломних проєктів або магістерських дисертацій із тематики кібербезпеки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Smart Grid.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Ключові результати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WP3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240+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які опанували ≥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нові модулі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30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студентів з досвідом мобільності 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NTNU; 3 CTF-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змагання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15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дипломних робіт із кібербезпеки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Smart Grid.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WP4: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Жива лабораторія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із функціональним кіберполігоном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місяці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30)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розгорнути унікальну для України Живу лабораторію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інтегровану з апаратним та програмним кіберполігоном для безпечної симуляції атак на енергетичну інфраструктуру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Ключові активності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WP4.A1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14)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Проектування та закупівля обладнання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придбання програмованих логічних контролерів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(PLC,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серія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Siemens S7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або еквівалент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), RTU-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модулів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комунікаційних шлюзів із підтримкою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>IEC 61850/DNP3/Modbus, PMU-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емулятора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SCADA HMI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відкрите ПЗ </w:t>
      </w:r>
      <w:r>
        <w:rPr>
          <w:rFonts w:ascii="Arial" w:hAnsi="Arial"/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ScadaBR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або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OpenDNP3),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сервера для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Digital Twin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розгортання на базі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Azure 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локальні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HPC-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ресурси ЗНУ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Закупівля не пізніше місяця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24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відповідно до вимог програми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WP4.A2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22)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Розгортання цифрового двійника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моделювання в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MATLAB/Simulink + PowerFactory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типової мікромережі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сонячна генерація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кВт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накопичувач енергії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навантажувальні вузли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, RTU-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контролер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комунікаційний сегмент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Налаштування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Hardware-in-the-Loop (HIL)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взаємодії фізичного обладнання та цифрової моделі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WP4.A3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16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28)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Розгортання кіберполігону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(Cyber Range)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конфігурація ізольованого мережевого середовища з використанням відкритого програмного забезпечення </w:t>
      </w:r>
      <w:r>
        <w:rPr>
          <w:rFonts w:ascii="Arial" w:hAnsi="Arial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(GNS3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мережевої емуляції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, OpenStack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хмарного полігону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Metasploit Community / Caldera MITRE ATT&amp;CK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симуляції атак ВИКЛЮЧНО у навчальному середовищі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Розроблення бібліотеки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10+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сценаріїв атак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на основі відкрито задокументованих </w:t>
      </w:r>
      <w:r>
        <w:rPr>
          <w:rFonts w:ascii="Arial" w:hAnsi="Arial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TTP (Tactics, Techniques, Procedures)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MITRE ATT&amp;CK for ICS: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реконесанс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SCADA-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мережі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єкція хибних команд через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Modbus,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атака типу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IEC 60870-5-104, FDI-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атака на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>PMU-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потік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ransomware-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симуляція у сегменті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HMI.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WP4.A4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24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30)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Верифікація та сертифікація кіберполігону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незалежний аудит безпеки конфігурації полігону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залучення зовнішнього пентестера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);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написання детальної операційної документації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передача у постійне користування ЗНУ як регіонального хабу кіберзахисту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Smart Grid.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Ключові результати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WP4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функціональний кіберполігон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цифровий двійник мікромережі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бібліотека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10+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навчальних сценаріїв атак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операційна документація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WP5: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Розповсюдження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адвокація та залучення стейкхолдерів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місяці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максимізувати вплив проєкту поза консорціумом через публікації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галузеві заходи та пряму взаємодію з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енергетичними операторами та регуляторами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Ключові активності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WP5.A1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Щорічна міжнародна конференція «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GridSecurity Ukraine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(2027, 2028, 2029):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платформа для обміну досвідом між ЗВО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, CERT-UA,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операторами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регуляторами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НКРЕКП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представниками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ENTSO-E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норвезького 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NVE/NSM.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WP5.A2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Публікаційна стратегія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≥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статей у рецензованих виданнях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(Q1/Q2)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із тематики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виявлення аномалій та освітніх підходів до кібербезпеки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ICS;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≥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доповідей на конференціях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IEEE PES / CIRED / EuroPES.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WP5.A3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Відкрита освітня ресурсна база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(OER)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всі навчальні матеріали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відеолекції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лабораторні сценарії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чутливих технічних деталей про реальні вразливості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публікуються у відкритому доступі під ліцензією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CC BY 4.0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реплікації іншими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WP5.A4 (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</w:t>
      </w:r>
      <w:r>
        <w:rPr>
          <w:rFonts w:ascii="Arial" w:hAnsi="Arial" w:hint="default"/>
          <w:i w:val="1"/>
          <w:i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i w:val="1"/>
          <w:i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30)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Технічні семінари для практиків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енергосектору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(6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семінарів за проєктний період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огляд нових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TTP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атак на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Smart Grid,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демонстрація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інструментів виявлення аномалій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практикум на кіберполігоні для операційного персоналу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Ключові результати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WP5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конференції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≥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статті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; OER-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репозиторій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6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семінарів для практиків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Рамкова програма кваліфікацій у відкритому доступі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Зведена часова шкала</w:t>
      </w:r>
    </w:p>
    <w:p>
      <w:pPr>
        <w:pStyle w:val="Body"/>
        <w:spacing w:after="80"/>
      </w:pP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Рік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12)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Рік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13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24)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Рік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25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36)</w:t>
      </w:r>
    </w:p>
    <w:p>
      <w:pPr>
        <w:pStyle w:val="Body"/>
        <w:spacing w:after="80"/>
      </w:pP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WP1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Аналіз потреб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розроблення силабусів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Рецензування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акредитація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Удосконалення за ФЗ</w:t>
      </w:r>
    </w:p>
    <w:p>
      <w:pPr>
        <w:pStyle w:val="Body"/>
        <w:spacing w:after="80"/>
      </w:pP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WP2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Школи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початок воркшопів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Обміни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онлайн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серія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Оцінювання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сертифікація</w:t>
      </w:r>
    </w:p>
    <w:p>
      <w:pPr>
        <w:pStyle w:val="Body"/>
        <w:spacing w:after="80"/>
      </w:pPr>
      <w:r>
        <w:rPr>
          <w:rFonts w:ascii="Arial" w:hAnsi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WP3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Підготовча фаза</w:t>
      </w:r>
      <w:r>
        <w:rPr>
          <w:rFonts w:ascii="Arial" w:cs="Arial" w:hAnsi="Arial" w:eastAsia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ab/>
        <w:t xml:space="preserve">CTF-1,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перший обмін</w:t>
      </w:r>
      <w:r>
        <w:rPr>
          <w:rFonts w:ascii="Arial" w:cs="Arial" w:hAnsi="Arial" w:eastAsia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ab/>
        <w:t xml:space="preserve">CTF-2,3;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обміни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стипендії</w:t>
      </w:r>
    </w:p>
    <w:p>
      <w:pPr>
        <w:pStyle w:val="Body"/>
        <w:spacing w:after="80"/>
      </w:pP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WP4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Проектування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закупівля</w:t>
      </w:r>
      <w:r>
        <w:rPr>
          <w:rFonts w:ascii="Arial" w:cs="Arial" w:hAnsi="Arial" w:eastAsia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ab/>
        <w:t>Digital Twin, Cyber Range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Верифікація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передача</w:t>
      </w:r>
    </w:p>
    <w:p>
      <w:pPr>
        <w:pStyle w:val="Body"/>
        <w:spacing w:after="80"/>
      </w:pP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WP5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Стейкхолдери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сайт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Конф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-1,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семінари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, OER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Конф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-2,3;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публікації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2.2</w:t>
        <w:tab/>
        <w:t>Risk factors in the project and measures to reduce them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Ризики проєкту та заходи щодо їх зниження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R1: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Безпекові ризики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КРИТИЧНИЙ рівень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Запоріжжя є прифронтовим містом з регулярними ракетними обстрілами та загрозою наземної ескалації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Можливі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евакуація персоналу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пошкодження лабораторій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відключення електроенергії та Інтернету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Модульна структура проєкту з можливістю повного переходу на дистанційний формат — всі лабораторні ресурси дублюються в хмарному середовищі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Azure (Zero Trust Architecture).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Фізичний кіберполігон у Запоріжжі доповнений хмарним «дзеркалом» у захищеному ЦОД за межами зони підвищеного ризику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Дорожній план передбачає можливість тимчасового переміщення лабораторних активностей до другого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розташованого в менш критичній зоні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Консорціум підпишуть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Протокол безпеки персоналу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передбачає щоквартальну оцінку безпекової ситуації за участю офіцера безпеки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відповідального представника ЗНУ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Жодне фінансування не спрямовуватиметься на організацію очних заходів у Запоріжжі у разі підвищення рівня загроз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R2: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Корупційні ризики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ОБОВ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ЯЗКОВИЙ розгляд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, CPI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України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&lt; 69)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Corruption Perception Index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України становить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36/100 (Transparency International, 2023),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значно нижче порогу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69,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встановленого програмою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Nansen EDU.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Ризики включають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нецільове використання коштів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непрозорі процедури закупівель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фіктивну звітність про мобільність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Суворе дотримання процедур публічних закупівель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Prozorro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всіх закупівель в Україні понад встановлений поріг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Всі платежі з боку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здійснюються виключно на підставі підтверджених документів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рахунки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підтвердження участі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Незалежний фінансовий аудит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проводиться щорічно норвезькою аудиторською компанією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Дворівнева авторизація всіх витрат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підписи керівника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фінансового офіцера консорціуму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Прозора звітність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всі фінансові звіти публікуються на сайті проєкту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 частині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не є конфіденційною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Навчальний модуль із академічної доброчесності включено до програми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всіх учасників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Жоден викладач не може одночасно обіймати посаду керівника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 відповідального за закупівлі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R3: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Кіберризики та захист даних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Проєкт оперує потенційно чутливими даними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топологія мережі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навіть модельна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деталі вразливостей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SCADA-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персональні дані 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Існує ризик несанкціонованого доступу до кіберполігону або витоку навчальних матеріалів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Кіберполігон функціонує виключно в ізольованому мережевому сегменті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</w:t>
      </w:r>
      <w:r>
        <w:rPr>
          <w:rFonts w:ascii="Arial" w:hAnsi="Arial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airgap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» або </w:t>
      </w:r>
      <w:r>
        <w:rPr>
          <w:rFonts w:ascii="Arial" w:hAnsi="Arial"/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VLAN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 суворим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ACL),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підключення до реальних енергосистем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Навчальні сценарії атак розробляються виключно на основі публічно розкритих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CVE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TTP (MITRE ATT&amp;CK for ICS),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не на основі реальних вразливостей конкретних операторів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Всі дані цифрового двійника є синтетичними або анонімізованими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Обробка персональних даних студентів здійснюється відповідно до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GDPR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Закону України «Про захист персональних даних»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Підписання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Data Processing Agreement (DPA)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між усіма партнерами до початку збору даних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Регулярний інструктаж учасників із цифрової безпеки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R4: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Ризики експортного контролю та подвійного використання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Деякі технології кібербезпеки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інструменти пентесту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системи виявлення вторгнень промислового класу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підпадають під регулювання Вассенаарської угоди та норвезьке законодавство про експортний контроль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(lov om kontroll med eksport av strategiske varer).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використовуватиме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виключно відкрите програмне забезпечення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(Metasploit Community Edition, Caldera, GNS3, OpenDNP3, ScadaBR)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освітні ліцензії комерційних продуктів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не підпадають під обмеження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Перед закупівлею будь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якого програмного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апаратного забезпечення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проводить консультацію 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Norsk senter for eksportkontroll.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Жодного передавання технологій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стосуються наступального кіберпотенціалу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R5: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Академічна свобода та питання національної безпеки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Тематика кібербезпеки критичної інфраструктури може привернути небажану увагу з боку державних актори або викликати обмеження з боку українських органів безпеки щодо публікацій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Консорціум розробить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Політику відповідального розкриття інформації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(Responsible Disclosure Policy)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дослідницькі результати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стосуються конкретних вразливостей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координуються з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 публікації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навчальні матеріали не містять топологічних даних реальних мереж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Академічна свобода гарантується через збереження права на публікацію при дотриманні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30-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денного вікна координації із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потенційно чутливих результатів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R6: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Гендерна рівність та рівний доступ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Технічні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STEM-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програми в Україні мають значний гендерний дисбаланс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 даними МОН України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частка жінок у спеціальностях електроенергетики та кібербезпеки становить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18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25%.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Встановлення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цільового орієнтиру — не менше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40%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жінок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серед 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учасників 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35%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серед відібраних на мобільність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Запровадження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менторської програми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жінки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науковці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NTNU/CCIS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 ментори для студенток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Гендерний аналіз при розробці навчальних матеріалів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кейси включають приклади жінок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лідерів у сфері кібербезпеки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Рівний доступ до стипендій та мобільності незалежно від статі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інвалідності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регіону проживання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R7: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Запобігання сексуальній експлуатації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зловживанням та домаганням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(SEAH)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Програми студентської мобільності та інтенсивних шкіл пов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язані з ризиком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SEAH,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особливо в контексті нерівних владних відносин між викладачами та студентами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Всі учасники підписують та проходять інструктаж за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Кодексом поведінки проєкту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розробленим відповідно до стандартів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норм Ради Стейкенберга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Визначається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Уповноважений зі скарг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(Ombudsperson)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незалежна особа поза консорціумом — з безпечним анонімним каналом звернень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язковий онлайн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тренінг із запобігання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SEAH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всіх учасників до початку участі в очних заходах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Правила проживання та поведінки під час мобільності чітко прописані в Угоді про навчання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R8: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Кліматичні ризики та зменшення вуглецевого сліду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Авіаперельоти між Трондгеймом та Україною генерують значний вуглецевий слід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воєнний стан ускладнює наземний транспорт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Пріоритет цифровому формату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всі регулярні зустрічі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воркшопи та лекції проводяться онлайн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очні заходи обмежені критично необхідними випадками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лабораторні практикуми 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початкові очні школи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організації поїздок — перевага екологічно чистіщим маршрутам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Кіберполігон у хмарному середовищі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Azure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забезпечує можливість повноцінної участі без фізичних переміщень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Проєкт тематично сприяє кліматичним цілям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розвиток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із ВДЕ є ключовим інструментом декарбонізації енергосектору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R9: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Ризик відтоку кадрів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(Brain Drain)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Підготовані спеціалісти з кібербезпеки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можуть залишити Україну після отримання кваліфікацій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зниження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Партнерство з українськими операторами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ДТЕК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«Укренерго»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передбачає попередні угоди про працевлаштування випускників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Стипендіальна програма включає умову повернення та роботи в Україні протягом не менше </w:t>
      </w:r>
      <w:r>
        <w:rPr>
          <w:rFonts w:ascii="Arial" w:hAnsi="Arial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року після завершення мобільності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Формування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спільноти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Alumni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 активним залученням до подальших активностей проєкту та програми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Nansen.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"/>
        <w:keepNext w:val="1"/>
        <w:keepLines w:val="1"/>
        <w:spacing w:before="200" w:after="120"/>
        <w:outlineLvl w:val="1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</w:rPr>
        <w:t>3</w:t>
        <w:tab/>
        <w:t xml:space="preserve">The project group and collaborative structures </w:t>
      </w:r>
    </w:p>
    <w:p>
      <w:pPr>
        <w:pStyle w:val="No Spacing"/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3.1</w:t>
        <w:tab/>
        <w:t>Key personnel for the implementation of the project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Ключовий персонал для реалізації проєкту</w:t>
      </w:r>
    </w:p>
    <w:p>
      <w:pPr>
        <w:pStyle w:val="Body"/>
        <w:spacing w:before="160" w:after="8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 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координатор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Проф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[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Ім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],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Департамент електричної енергії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(IEL), NTNU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Науковий керівник проєкту 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(Project Coordinator).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Понад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років досвіду в галузі моделювання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Smart Grid,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інтеграції ВДЕ та стабільності електроенергетичних систем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Керівник Національної лабораторії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(NTNU/SINTEF).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Координував участь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проєктах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Horizon 2020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 сфері цифровізації енергосистем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Забезпечує загальне наукове керівництво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язок із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SINTEF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норвезькими галузевими партнерами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(Statnett, NVE).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Доц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[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Ім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],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Кафедра інформаційної безпеки та комунікаційних технологій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(IIK), NTNU / CCIS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Керівник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WP1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WP4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кібербезпекова складова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Дослідження зосереджені на безпеці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ICS/SCADA,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виявленні аномалій за допомогою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ML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 промислових мережах та захисті критичної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Досвід розроблення кіберполігонів для навчальних цілей у рамках норвезьких урядових програм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(NSM).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Ключова особа для розроблення модулів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CY1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CY3,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конфігурації кіберполігону та наставництва викладачів ЗНУ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Доц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[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Ім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], IIK/CCIS, NTNU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Експерт з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виявлення вторгнень та кіберфізичної безпеки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Дослідник у напрямку застосування методів глибокого навчання для аналізу телеметрії </w:t>
      </w:r>
      <w:r>
        <w:rPr>
          <w:rFonts w:ascii="Arial" w:hAnsi="Arial"/>
          <w:outline w:val="0"/>
          <w:color w:val="000000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PMU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виявлення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FDI-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атак у системах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WAMS.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Відповідальний за розробку модуля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CY2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навчальний контент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WP2 (AI-pipeline).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Запорізький національний університет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ЗНУ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1)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Проф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[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Ім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],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Інженерний навчально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науковий інститут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ЗНУ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Інституційний координатор від ЗНУ та керівник </w:t>
      </w:r>
      <w:r>
        <w:rPr>
          <w:rFonts w:ascii="Arial" w:hAnsi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WP3.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Очолює дослідницьку групу зі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відновлювальної енергетики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Досвід управління грантами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Horizon MSCA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Erasmus+.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Координує взаємодію з місцевими операторами енергетики та забезпечує прив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язку навчальних кейсів до реальної інфраструктури регіону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Доц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[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Ім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],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Факультет математики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Лабораторія паралельних і розподілених обчислень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ЗНУ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Технічний керівник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WP4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 боку ЗНУ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цифровий двійник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, HPC-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інтеграція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Досвід із розробки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ML-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моделей на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HPC-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кластерах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хмарні технології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Azure,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розгортання розподілених обчислювальних середовищ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Відповідає за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HPC/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хмарну архітектуру кіберполігону 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компоненти цифрового двійника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Доц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[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Ім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 xml:space="preserve">],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кафедра кібербезпеки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/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комп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ютерних наук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ЗНУ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Фахівець із захисту інформації та хмарної безпеки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(Microsoft Azure Security).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Відповідальний за операційну безпеку кіберполігону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навчальний контент модуля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CY3,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управління даними відповідно до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GDPR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проведення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CTF-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змагань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Партнерський ЗВО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 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підтвердження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NTNU)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Другий український університет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ідеалі — з діючою кафедрою кібербезпеки та географічно розташований поза зоною підвищеного ризику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забезпечить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додаткову базу студентів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≥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80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опановують модулі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);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регіональну диверсифікацію для зниження операційних ризиків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технічного керівника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WP5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дисемінація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Залучення партнера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завершиться до подання повної заявки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3.2</w:t>
        <w:tab/>
        <w:t>Involvement, interaction and division of work between the project partners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Залучення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взаємодія та розподіл роботи між партнерами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управління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Рада проєкту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(Project Board)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вищий орган прийняття рішень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засідає двічі на рік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онлайн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+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одна очна сесія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Склад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представники від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кожного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партнера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незалежний спостерігач від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HK-dir.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Повноваження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стратегічні рішення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затвердження змін до плану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вирішення суперечок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Операційний комітет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(Operations Committee)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щомісячні онлайн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зустрічі керівників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WP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оперативної координації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звітування та вирішення поточних питань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Ведення протоколів та трекер задач у спільному середовищі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(Microsoft Teams/SharePoint).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Розподіл бюджету та відповідальності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25%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бюджету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координація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, CCIS-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викладачі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лабораторне обладнання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NTNU);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ЗНУ —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45%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персонал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обладнання кіберполігону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стипендії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, CTF);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30%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персонал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дисемінація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регіональні заходи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Відповідно до вимог програми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витрати норвезького партнера на персонал не перевищують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30%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загального бюджету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Розподіл ролей</w:t>
      </w:r>
    </w:p>
    <w:p>
      <w:pPr>
        <w:pStyle w:val="Body"/>
        <w:spacing w:after="8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Партнер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Провідна роль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Внесок</w:t>
      </w:r>
    </w:p>
    <w:p>
      <w:pPr>
        <w:pStyle w:val="Body"/>
        <w:spacing w:after="80"/>
      </w:pP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Координація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, WP1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кіберсилабуси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), WP2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тренінги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Кібербезпекова експертиза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CCIS, Smart Grid Lab</w:t>
      </w:r>
    </w:p>
    <w:p>
      <w:pPr>
        <w:pStyle w:val="Body"/>
        <w:spacing w:after="8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ЗНУ</w:t>
      </w:r>
      <w:r>
        <w:rPr>
          <w:rFonts w:ascii="Arial" w:cs="Arial" w:hAnsi="Arial" w:eastAsia="Arial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ab/>
        <w:t>WP3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студентські активності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), WP4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кіберполігон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</w:t>
        <w:tab/>
        <w:t xml:space="preserve">HPC, Azure, Solar Lab,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фронтовий досвід</w:t>
      </w:r>
    </w:p>
    <w:p>
      <w:pPr>
        <w:pStyle w:val="Body"/>
        <w:spacing w:after="8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2</w:t>
        <w:tab/>
        <w:t>WP5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дисемінація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регіональна реплікація</w:t>
      </w:r>
      <w:r>
        <w:rPr>
          <w:rFonts w:ascii="Arial" w:cs="Arial" w:hAnsi="Arial" w:eastAsia="Arial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tab/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Кафедра кібербезпеки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мережа ЗВО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Залучення стейкхолдерів</w:t>
      </w:r>
    </w:p>
    <w:p>
      <w:pPr>
        <w:pStyle w:val="Body"/>
        <w:spacing w:after="12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CERT-UA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формальний консультативний статус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участь в рецензуванні модулів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(WP1),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проведення семінарів для практиків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(WP5),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забезпечення реальних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анонімізованих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кейсів кіберінцидентів для навчальних матеріалів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«Укренерго» та ДТЕК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партнерство в рамках меморандумів про взаєморозуміння </w:t>
      </w:r>
      <w:r>
        <w:rPr>
          <w:rFonts w:ascii="Arial" w:hAnsi="Arial"/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(MoU);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визначення компетентнісних вимог для навчальних програм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(WP1);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потенційне працевлаштування випускників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надання анонімізованих даних телеметрії для навчання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моделей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NVE 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Норвегія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NSM 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Норвегія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консультативна підтримка для розроблення модулів із захисту критичної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сприяння обміну досвідом між норвезькими та українськими практиками кіберзахисту енергетики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НКРЕКП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Національна комісія з регулювання енергетики та комунальних послуг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залучення до конференцій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GridSecurity Ukraine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формування регуляторного діалогу щодо впровадження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NIS2-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еквівалентів в Україні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Комунікаційний план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щоквартальні публічні оновлення на сайті проєкту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соціальні мережі 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 xml:space="preserve">(LinkedIn, Twitter/X)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поширення результатів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релізи для університетських медіа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Всі ключові результати дублюються українською та англійською мовами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</w:rPr>
        <w:br w:type="page"/>
      </w:r>
    </w:p>
    <w:p>
      <w:pPr>
        <w:pStyle w:val="Body"/>
        <w:keepNext w:val="1"/>
        <w:keepLines w:val="1"/>
        <w:spacing w:before="200" w:after="120"/>
        <w:outlineLvl w:val="1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</w:rPr>
        <w:t>4</w:t>
        <w:tab/>
        <w:t xml:space="preserve">Project impact </w:t>
      </w:r>
    </w:p>
    <w:p>
      <w:pPr>
        <w:pStyle w:val="No Spacing"/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4.1</w:t>
        <w:tab/>
        <w:t xml:space="preserve">The project impact and possible measures to promote dissemination 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Вплив проєкту та заходи зі сприяння поширенню результатів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Безпосередній вплив на цільові групи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 завершення проєкту щонайменше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240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студентів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двох українських університетів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партнерів опанують один або більше нових модулів із кібербезпеки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аналітики енергосистем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30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 них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здобудуть досвід навчання в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NTNU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 доступом до провідних лабораторій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CCIS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досвід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принципово недоступний в Україні без цього партнерства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40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науково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педагогічних працівників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перетворяться на підготовлених викладачів нового покоління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здатних самостійно підтримувати й розвивати курси навіть після завершення проєктного фінансування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сформує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першу в Україні когорту спеціалістів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поєднують три критично важливі компетентності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інженерія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Smart Grid, AI/ML-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аналітика енергосистем та кібербезпека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OT/ICS.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Ці фахівці зможуть безпосередньо задовольнити задокументований дефіцит кадрів у секторі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де нестача кваліфікованих спеціалістів із захисту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ICS/SCADA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щонайменше у п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ять разів перевищує пропозицію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Щорічні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CTF-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змагання «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GridDefend Ukraine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 стануть механізмом ідентифікації талантів і безпосереднього зв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язку між студентами та роботодавцями галузі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Інституційний вплив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Два українських університети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партнери отримають трансформуючий інституційний вплив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Нова акредитована навчальна програма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 (5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модулів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~19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ЄКТС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інтегрована до діючих спеціальностей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 необхідності окремого ліцензування нової спеціальності — що різко знижує бар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єр для впровадження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Жива лабораторія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із кіберполігоном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у ЗНУ стане першою в Україні освітньою інфраструктурою такого роду поза столицею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підвищить регіональну привабливість університету та його здатність залучати позабюджетне фінансування від галузі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Рамкова програма кваліфікацій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(CFW)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для спеціалістів із кібербезпеки критичної енергетичної інфраструктури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розроблена консорціумом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може бути рекомендована МОН України для загальнонаціонального впровадження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Посилення дослідницького потенціалу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спільні публікації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–ЗНУ у рецензованих журналах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Q1/Q2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підвищать наукові показники ЗНУ та відкриють шляхи для спільних заявок на </w:t>
      </w:r>
      <w:r>
        <w:rPr>
          <w:rFonts w:ascii="Arial" w:hAnsi="Arial"/>
          <w:outline w:val="0"/>
          <w:color w:val="00000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Horizon Europe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рамках Кластеру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Цивільна безпека для суспільства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Регіональний та національний вплив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рівні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критичної інфраструктури держави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AI-SmartGrid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має потенціал стати каталізатором системних змін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Навчені фахівці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які працевлаштовуються в «Укренерго»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ДТЕК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регіональних операційних компаніях та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безпосередньо підвищують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потенціал захисту національної критичної інфраструктури від кіберзагроз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 контексті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коли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Industroyer2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році ледь не призвів до масштабного відключення мільйонів споживачів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 лише швидка реакція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CERT-UA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ESET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дозволила нейтралізувати загрозу — кожен підготовлений фахівець є реальним стратегічним активом держави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Розроблені навчальні матеріали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опубліковані у відкритому доступі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(OER),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дозволять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ще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10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15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ЗВО України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самостійно запровадити відповідні курси без додаткового фінансування — ефект мультиплікації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на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років прискорить формування критичної маси кваліфікованих кадрів у порівнянні з традиційними підходами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Щорічна конференція «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GridSecurity Ukraine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 сформує постійну платформу для обміну між академічним середовищем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регуляторами та галуззю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сприяючи гармонізації українського законодавства з вимогами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NIS2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стандартів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IEC 62351.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Вплив у контексті відновлення та євроінтеграції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безпосередньо підтримує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Національний план відновлення України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в частині цифрової трансформації енергетики та євроінтеграційні зобов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язання щодо синхронізації з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ENTSO-E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успішно здійснено у березні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2022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року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Підготовка фахівців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обізнаних зі стандартами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NERC CIP, IEC 62351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вимогами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NIS2,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 необхідною умовою для відповідності вимогам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які висуватимуться до операторів синхронізованої енергосистеми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Заходи зі сприяння поширенню результатів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≥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статті у рецензованих виданнях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(IEEE Transactions on Smart Grid, Energies, Computers &amp; Security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Q1/Q2).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≥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5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доповідей на міжнародних конференціях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(IEEE PES General Meeting, CIRED, EuroPES, USENIX Security Workshop on ICS).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OER-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репозиторій на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OpenEDX/Moodle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 відкритим доступом для всіх ЗВО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щорічні конференції «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GridSecurity Ukraine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 з публічними матеріалами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Презентація моделі на форумі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Ukraine Recovery Conference (URC)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як прикладу кращих практик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4.2</w:t>
        <w:tab/>
        <w:t>Duration of the impact and evaluation of the project's impact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Тривалість впливу та оцінювання результатів проєкту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Стратегія сталості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Архітектура проєкту свідомо проектується на сталість з першого дня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Ключовим механізмом є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інтеграція нових модулів до ліцензованих навчальних планів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акредитованих спеціальностей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(141, 125, 172)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обох українських університетів до місяця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18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проєкту — задовго до його завершення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Це означає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 після закінчення фінансування курси продовжуватимуться як стандартна навчальна пропозиція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фінансована з інституційних джерел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Жива лабораторія та кіберполігон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передаються у власність ЗНУ наприкінці проєкту з повною операційною документацією та навченим технічним персоналом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Хмарна компонента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(Azure)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підтримується на безоплатній або субсидованій основі через існуючу угоду ЗНУ з </w:t>
      </w:r>
      <w:r>
        <w:rPr>
          <w:rFonts w:ascii="Arial" w:hAnsi="Arial"/>
          <w:outline w:val="0"/>
          <w:color w:val="000000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Microsoft.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Партнерства з «Укренерго» та ДТЕК передбачають спільне фінансування оновлення обладнання після завершення проєкту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Довгострокове партнерство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NTNU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–ЗНУ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закріплено Дорожнім планом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2026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2028,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передбачає наступний етап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(2028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2031):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подання спільної заявки на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Horizon Europe Cluster 3 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Civil Security for Society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із тематикою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AI-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захисту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Smart Grid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 масштабування кіберполігону до рівня регіонального хабу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Проєктні публікації та </w:t>
      </w:r>
      <w:r>
        <w:rPr>
          <w:rFonts w:ascii="Arial" w:hAnsi="Arial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OER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забезпечать видимість для подальшого залучення фінансування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12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Мережа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Alumni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 активним </w:t>
      </w:r>
      <w:r>
        <w:rPr>
          <w:rFonts w:ascii="Arial" w:hAnsi="Arial"/>
          <w:outline w:val="0"/>
          <w:color w:val="000000"/>
          <w:u w:color="000000"/>
          <w:rtl w:val="0"/>
          <w:lang w:val="nl-NL"/>
          <w14:textFill>
            <w14:solidFill>
              <w14:srgbClr w14:val="000000"/>
            </w14:solidFill>
          </w14:textFill>
        </w:rPr>
        <w:t>LinkedIn-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спільнотою та щорічними зустрічами на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GridSecurity Ukraine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підтримуватиме зв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язок між випускниками та їх залучення як менторів для наступних поколінь 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before="160" w:after="80"/>
      </w:pP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Методологія оцінювання</w:t>
      </w:r>
    </w:p>
    <w:p>
      <w:pPr>
        <w:pStyle w:val="Body"/>
        <w:spacing w:after="120"/>
      </w:pP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Проєкт застосовує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змішану методологію оцінювання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з кількісними та якісними індикаторами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Pre/post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компетентнісне оцінювання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всі студенти проходять структурований тест на початку та наприкінці кожного модуля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рамка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NICE Cybersecurity Workforce Framework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адаптована до контексту </w:t>
      </w:r>
      <w:r>
        <w:rPr>
          <w:rFonts w:ascii="Arial" w:hAnsi="Arial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OT/ICS).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Результати аналізуються статистично для вимірювання приросту знань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Опитування задоволеності та релевантності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анонімне опитування студентів та роботодавців після кожного семестру щодо відповідності змісту реальним потребам галузі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Відстеження кар</w:t>
      </w:r>
      <w:r>
        <w:rPr>
          <w:rFonts w:ascii="Arial" w:hAnsi="Arial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'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єрних траєкторій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6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18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місяців після закінчення навчання — опитування випускників щодо працевлаштування в галузі кібербезпеки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/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енергетики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Інституційні індикатори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кількість акредитованих модулів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частка студентів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що обирають нові курси у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1-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й рік після проєкту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кількість зовнішніх замовлень на проведення тренінгів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індикатор комерційної стійкості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).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Щорічні зовнішні огляди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незалежна проміжна оцінка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місяць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18)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 підсумкова оцінка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місяць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35)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із залученням зовнішнього рецензента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призначеного 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HK-dir.</w:t>
      </w:r>
    </w:p>
    <w:p>
      <w:pPr>
        <w:pStyle w:val="Body"/>
        <w:spacing w:after="80"/>
        <w:ind w:left="425" w:hanging="198"/>
      </w:pPr>
      <w:r>
        <w:rPr>
          <w:rtl w:val="0"/>
        </w:rPr>
        <w:t xml:space="preserve">– </w:t>
      </w:r>
      <w:r>
        <w:rPr>
          <w:rFonts w:ascii="Arial" w:hAnsi="Arial" w:hint="default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Документація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всі результати оцінювання публікуються у фінальному звіті проєкту та статтях у відкритому доступі</w:t>
      </w:r>
      <w:r>
        <w:rPr>
          <w:rFonts w:ascii="Arial" w:hAnsi="Arial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Body"/>
        <w:spacing w:after="200" w:line="276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sz w:val="32"/>
          <w:szCs w:val="32"/>
        </w:rPr>
      </w:pPr>
      <w:r>
        <w:rPr>
          <w:sz w:val="32"/>
          <w:szCs w:val="32"/>
          <w:rtl w:val="0"/>
          <w:lang w:val="en-US"/>
        </w:rPr>
        <w:t>5</w:t>
        <w:tab/>
        <w:t>Reference list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</w:p>
    <w:p>
      <w:pPr>
        <w:pStyle w:val="No Spacing"/>
        <w:rPr>
          <w:sz w:val="18"/>
          <w:szCs w:val="18"/>
        </w:rPr>
      </w:pPr>
    </w:p>
    <w:p>
      <w:pPr>
        <w:pStyle w:val="No Spacing"/>
        <w:numPr>
          <w:ilvl w:val="0"/>
          <w:numId w:val="2"/>
        </w:numPr>
        <w:bidi w:val="0"/>
        <w:ind w:right="0"/>
        <w:jc w:val="left"/>
        <w:rPr>
          <w:sz w:val="20"/>
          <w:szCs w:val="20"/>
          <w:rtl w:val="0"/>
          <w:lang w:val="en-US"/>
        </w:rPr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[1] Liang, G., Zhao, J., Luo, F., Weller, S.R., Dong, Z.Y. (2017). A review of false data injection attacks against modern power systems. IEEE Transactions on Smart Grid, 8(4), 1630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1638. https://doi.org/10.1109/TSG.2015.2495150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[2] Cherepanov, A., &amp; Lipovsky, R. (2017). Industroyer: Biggest threat to industrial control systems since Stuxnet. ESET Research White Paper. https://www.welivesecurity.com/2017/06/12/industroyer-biggest-threat-industrial-control-systems-since-stuxnet/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[3] Forescout Vedere Labs &amp; ESET Research. (2022). Industroyer2: Industroyer reloaded. ESET Research Blog. https://www.welivesecurity.com/2022/04/12/industroyer2-industroyer-reloaded/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[4] ENISA. (2023). Good Practices for Security of Smart Grid Technologies (ENISA Smart Grids Security Report). European Union Agency for Cybersecurity. https://www.enisa.europa.eu/publications/smart-grids-and-smart-metering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[5] IEC Technical Committee 57. (2021). IEC 62351: Power systems management and associated information exchange 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– 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Data and communications security (Parts 1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14). International Electrotechnical Commission.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[6] NERC. (2023). CIP Standards (Critical Infrastructure Protection): CIP-002 through CIP-014. North American Electric Reliability Corporation. https://www.nerc.com/pa/Stand/Pages/CIPStandards.aspx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[7] European Parliament and Council. (2022). Directive (EU) 2022/2555 of the European Parliament and of the Council on measures for a high common level of cybersecurity across the Union (NIS2 Directive). Official Journal of the European Union.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[8] Verkhovna Rada of Ukraine. (2017). Law of Ukraine No. 2163-VIII 'On the Basic Principles of Ensuring Cybersecurity of Ukraine'. 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Відомості Верховної Ради України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[9] Musleh, A.S., Chen, G., &amp; Dong, Z.Y. (2020). A survey on the detection algorithms for false data injection attacks in smart grids. IEEE Transactions on Smart Grid, 11(3), 2218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2234. https://doi.org/10.1109/TSG.2019.2949998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[10] IEA. (2024). Ukraine Energy Sector Damage Assessment (Interim Report). International Energy Agency. https://www.iea.org/reports/ukraine-energy-sector-damage-assessment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[11] Maglaras, L.A., Kim, K.H., Janicke, H., Ferrag, M.A., Rallis, S., Fragkou, P., 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… 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&amp; Cruz, T.J. (2018). Cyber security of critical infrastructures. ICT Express, 4(1), 42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45. https://doi.org/10.1016/j.icte.2018.02.001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[12] Zolanvari, M., Teixeira, M.A., Gupta, L., Khan, K.M., &amp; Jain, R. (2019). Machine learning-based cyber attacks targeting on controlled systems: A survey. IEEE Transactions on Systems, Man, and Cybernetics: Systems, 49(7), 1395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1410.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[13] MITRE Corporation. (2023). ATT&amp;CK for ICS (Industrial Control Systems). https://attack.mitre.org/matrices/ics/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[14] Transparency International. (2024). Corruption Perceptions Index 2023. Transparency International. https://www.transparency.org/en/cpi/2023</w:t>
      </w:r>
    </w:p>
    <w:p>
      <w:pPr>
        <w:pStyle w:val="Body"/>
      </w:pP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[15] Ministry of Education and Science of Ukraine / M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 України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. (2023). 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Аналіз кадрового потенціалу у сфері кібербезпеки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виклики та пріоритети 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аналітична доповідь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). </w:t>
      </w:r>
      <w:r>
        <w:rPr>
          <w:rFonts w:ascii="Arial" w:hAnsi="Arial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Міністерство освіти і науки України</w:t>
      </w:r>
      <w:r>
        <w:rPr>
          <w:rFonts w:ascii="Arial" w:hAnsi="Arial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No Spacing"/>
      </w:pPr>
    </w:p>
    <w:p>
      <w:pPr>
        <w:pStyle w:val="No Spacing"/>
      </w:pPr>
    </w:p>
    <w:p>
      <w:pPr>
        <w:pStyle w:val="No Spacing"/>
      </w:pPr>
      <w:r/>
    </w:p>
    <w:sectPr>
      <w:headerReference w:type="default" r:id="rId4"/>
      <w:headerReference w:type="first" r:id="rId5"/>
      <w:footerReference w:type="default" r:id="rId6"/>
      <w:footerReference w:type="first" r:id="rId7"/>
      <w:pgSz w:w="11900" w:h="16840" w:orient="portrait"/>
      <w:pgMar w:top="851" w:right="1134" w:bottom="1418" w:left="1134" w:header="709" w:footer="709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sz w:val="18"/>
        <w:szCs w:val="18"/>
        <w:rtl w:val="0"/>
        <w:lang w:val="en-US"/>
      </w:rPr>
      <w:t xml:space="preserve">Page </w:t>
    </w:r>
    <w:r>
      <w:rPr>
        <w:sz w:val="18"/>
        <w:szCs w:val="18"/>
        <w:rtl w:val="0"/>
      </w:rPr>
      <w:fldChar w:fldCharType="begin" w:fldLock="0"/>
    </w:r>
    <w:r>
      <w:rPr>
        <w:sz w:val="18"/>
        <w:szCs w:val="18"/>
        <w:rtl w:val="0"/>
      </w:rPr>
      <w:instrText xml:space="preserve"> PAGE </w:instrText>
    </w:r>
    <w:r>
      <w:rPr>
        <w:sz w:val="18"/>
        <w:szCs w:val="18"/>
        <w:rtl w:val="0"/>
      </w:rPr>
      <w:fldChar w:fldCharType="separate" w:fldLock="0"/>
    </w:r>
    <w:r>
      <w:rPr>
        <w:sz w:val="18"/>
        <w:szCs w:val="18"/>
        <w:rtl w:val="0"/>
      </w:rPr>
    </w:r>
    <w:r>
      <w:rPr>
        <w:sz w:val="18"/>
        <w:szCs w:val="18"/>
        <w:rtl w:val="0"/>
      </w:rPr>
      <w:fldChar w:fldCharType="end" w:fldLock="0"/>
    </w:r>
    <w:r>
      <w:rPr>
        <w:sz w:val="18"/>
        <w:szCs w:val="18"/>
        <w:rtl w:val="0"/>
        <w:lang w:val="en-US"/>
      </w:rPr>
      <w:t>/</w:t>
    </w:r>
    <w:r>
      <w:rPr>
        <w:sz w:val="18"/>
        <w:szCs w:val="18"/>
        <w:rtl w:val="0"/>
      </w:rPr>
      <w:fldChar w:fldCharType="begin" w:fldLock="0"/>
    </w:r>
    <w:r>
      <w:rPr>
        <w:sz w:val="18"/>
        <w:szCs w:val="18"/>
        <w:rtl w:val="0"/>
      </w:rPr>
      <w:instrText xml:space="preserve"> NUMPAGES </w:instrText>
    </w:r>
    <w:r>
      <w:rPr>
        <w:sz w:val="18"/>
        <w:szCs w:val="18"/>
        <w:rtl w:val="0"/>
      </w:rPr>
      <w:fldChar w:fldCharType="separate" w:fldLock="0"/>
    </w:r>
    <w:r>
      <w:rPr>
        <w:sz w:val="18"/>
        <w:szCs w:val="18"/>
        <w:rtl w:val="0"/>
      </w:rPr>
    </w:r>
    <w:r>
      <w:rPr>
        <w:sz w:val="18"/>
        <w:szCs w:val="18"/>
        <w:rtl w:val="0"/>
      </w:rPr>
      <w:fldChar w:fldCharType="end" w:fldLock="0"/>
    </w:r>
    <w:r>
      <w:rPr>
        <w:sz w:val="18"/>
        <w:szCs w:val="18"/>
      </w:rPr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  <w:rPr>
        <w:sz w:val="18"/>
        <w:szCs w:val="18"/>
      </w:rPr>
    </w:pPr>
    <w:r>
      <w:rPr>
        <w:sz w:val="18"/>
        <w:szCs w:val="18"/>
      </w:rPr>
      <w:tab/>
    </w:r>
    <w:r>
      <w:rPr>
        <w:rtl w:val="0"/>
        <w:lang w:val="en-US"/>
      </w:rPr>
      <w:t xml:space="preserve">page </w:t>
    </w:r>
    <w:r>
      <w:rPr>
        <w:sz w:val="18"/>
        <w:szCs w:val="18"/>
        <w:rtl w:val="0"/>
      </w:rPr>
      <w:fldChar w:fldCharType="begin" w:fldLock="0"/>
    </w:r>
    <w:r>
      <w:rPr>
        <w:sz w:val="18"/>
        <w:szCs w:val="18"/>
        <w:rtl w:val="0"/>
      </w:rPr>
      <w:instrText xml:space="preserve"> PAGE </w:instrText>
    </w:r>
    <w:r>
      <w:rPr>
        <w:sz w:val="18"/>
        <w:szCs w:val="18"/>
        <w:rtl w:val="0"/>
      </w:rPr>
      <w:fldChar w:fldCharType="separate" w:fldLock="0"/>
    </w:r>
    <w:r>
      <w:rPr>
        <w:sz w:val="18"/>
        <w:szCs w:val="18"/>
        <w:rtl w:val="0"/>
      </w:rPr>
      <w:fldChar w:fldCharType="end" w:fldLock="0"/>
    </w:r>
    <w:r>
      <w:rPr>
        <w:sz w:val="18"/>
        <w:szCs w:val="18"/>
        <w:rtl w:val="0"/>
        <w:lang w:val="en-US"/>
      </w:rPr>
      <w:t>/</w:t>
    </w:r>
    <w:r>
      <w:rPr>
        <w:sz w:val="18"/>
        <w:szCs w:val="18"/>
        <w:rtl w:val="0"/>
      </w:rPr>
      <w:fldChar w:fldCharType="begin" w:fldLock="0"/>
    </w:r>
    <w:r>
      <w:rPr>
        <w:sz w:val="18"/>
        <w:szCs w:val="18"/>
        <w:rtl w:val="0"/>
      </w:rPr>
      <w:instrText xml:space="preserve"> NUMPAGES </w:instrText>
    </w:r>
    <w:r>
      <w:rPr>
        <w:sz w:val="18"/>
        <w:szCs w:val="18"/>
        <w:rtl w:val="0"/>
      </w:rPr>
      <w:fldChar w:fldCharType="separate" w:fldLock="0"/>
    </w:r>
    <w:r>
      <w:rPr>
        <w:sz w:val="18"/>
        <w:szCs w:val="18"/>
        <w:rtl w:val="0"/>
      </w:rPr>
      <w:fldChar w:fldCharType="end" w:fldLock="0"/>
    </w:r>
  </w:p>
  <w:p>
    <w:pPr>
      <w:pStyle w:val="footer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6196965</wp:posOffset>
          </wp:positionH>
          <wp:positionV relativeFrom="page">
            <wp:posOffset>97155</wp:posOffset>
          </wp:positionV>
          <wp:extent cx="978958" cy="619125"/>
          <wp:effectExtent l="0" t="0" r="0" b="0"/>
          <wp:wrapNone/>
          <wp:docPr id="1073741825" name="officeArt object" descr="Bild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Bilde 1" descr="Bild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8958" cy="6191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i w:val="1"/>
        <w:iCs w:val="1"/>
        <w:sz w:val="20"/>
        <w:szCs w:val="20"/>
        <w:rtl w:val="0"/>
        <w:lang w:val="en-US"/>
      </w:rPr>
      <w:t xml:space="preserve"> 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ind w:left="68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0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33" w:hanging="24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4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56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293" w:hanging="24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0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24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53" w:hanging="24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536"/>
        <w:tab w:val="right" w:pos="90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536"/>
        <w:tab w:val="right" w:pos="9072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59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-tema">
  <a:themeElements>
    <a:clrScheme name="Office-tema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-tema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-tem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