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1B6C" w14:textId="14FC6BE6" w:rsidR="000233C9" w:rsidRPr="003462FB" w:rsidRDefault="000233C9" w:rsidP="000233C9">
      <w:pPr>
        <w:pStyle w:val="Ingenmellomrom"/>
        <w:jc w:val="center"/>
        <w:rPr>
          <w:b/>
          <w:bCs/>
          <w:sz w:val="44"/>
          <w:szCs w:val="44"/>
        </w:rPr>
      </w:pPr>
      <w:r w:rsidRPr="003462FB">
        <w:rPr>
          <w:b/>
          <w:bCs/>
          <w:sz w:val="44"/>
          <w:szCs w:val="44"/>
        </w:rPr>
        <w:t>PROJECT DESCRIPTION</w:t>
      </w:r>
      <w:r w:rsidR="00B44257">
        <w:rPr>
          <w:b/>
          <w:bCs/>
          <w:sz w:val="44"/>
          <w:szCs w:val="44"/>
        </w:rPr>
        <w:t xml:space="preserve"> NANSEN EDU 2025</w:t>
      </w:r>
    </w:p>
    <w:p w14:paraId="11A5E9E9" w14:textId="77777777" w:rsidR="000233C9" w:rsidRPr="003462FB" w:rsidRDefault="000233C9" w:rsidP="000233C9">
      <w:pPr>
        <w:pStyle w:val="Ingenmellomrom"/>
      </w:pPr>
    </w:p>
    <w:tbl>
      <w:tblPr>
        <w:tblStyle w:val="Tabellrutenett"/>
        <w:tblW w:w="0" w:type="auto"/>
        <w:tblLook w:val="04A0" w:firstRow="1" w:lastRow="0" w:firstColumn="1" w:lastColumn="0" w:noHBand="0" w:noVBand="1"/>
      </w:tblPr>
      <w:tblGrid>
        <w:gridCol w:w="2122"/>
        <w:gridCol w:w="7506"/>
      </w:tblGrid>
      <w:tr w:rsidR="000233C9" w:rsidRPr="003462FB" w14:paraId="3A1B461F" w14:textId="77777777" w:rsidTr="006B03FD">
        <w:tc>
          <w:tcPr>
            <w:tcW w:w="2122" w:type="dxa"/>
            <w:shd w:val="clear" w:color="auto" w:fill="F7CAAC" w:themeFill="accent2" w:themeFillTint="66"/>
          </w:tcPr>
          <w:p w14:paraId="250B43DF" w14:textId="77777777" w:rsidR="000233C9" w:rsidRPr="003462FB" w:rsidRDefault="000233C9" w:rsidP="006B03FD">
            <w:pPr>
              <w:pStyle w:val="Ingenmellomrom"/>
              <w:rPr>
                <w:b/>
                <w:bCs/>
              </w:rPr>
            </w:pPr>
            <w:r w:rsidRPr="003462FB">
              <w:rPr>
                <w:b/>
                <w:bCs/>
              </w:rPr>
              <w:t>Project number:</w:t>
            </w:r>
          </w:p>
        </w:tc>
        <w:tc>
          <w:tcPr>
            <w:tcW w:w="7506" w:type="dxa"/>
          </w:tcPr>
          <w:p w14:paraId="3C378CA4" w14:textId="77777777" w:rsidR="000233C9" w:rsidRPr="003462FB" w:rsidRDefault="000233C9" w:rsidP="006B03FD">
            <w:pPr>
              <w:pStyle w:val="Ingenmellomrom"/>
            </w:pPr>
            <w:r w:rsidRPr="003462FB">
              <w:t>Enter the project number from the online application form in Espresso.</w:t>
            </w:r>
          </w:p>
        </w:tc>
      </w:tr>
      <w:tr w:rsidR="000233C9" w:rsidRPr="003462FB" w14:paraId="402479C5" w14:textId="77777777" w:rsidTr="006B03FD">
        <w:tc>
          <w:tcPr>
            <w:tcW w:w="2122" w:type="dxa"/>
            <w:shd w:val="clear" w:color="auto" w:fill="F7CAAC" w:themeFill="accent2" w:themeFillTint="66"/>
          </w:tcPr>
          <w:p w14:paraId="435DE53C" w14:textId="77777777" w:rsidR="000233C9" w:rsidRPr="003462FB" w:rsidRDefault="000233C9" w:rsidP="006B03FD">
            <w:pPr>
              <w:pStyle w:val="Ingenmellomrom"/>
              <w:rPr>
                <w:b/>
                <w:bCs/>
              </w:rPr>
            </w:pPr>
            <w:r w:rsidRPr="003462FB">
              <w:rPr>
                <w:b/>
                <w:bCs/>
              </w:rPr>
              <w:t>Project title:</w:t>
            </w:r>
          </w:p>
        </w:tc>
        <w:tc>
          <w:tcPr>
            <w:tcW w:w="7506" w:type="dxa"/>
          </w:tcPr>
          <w:p>
            <w:r>
              <w:t>Smart and Resilient Energy Systems for Ukraine's Post-War Reconstruction (SmartEnergy-UA)</w:t>
            </w:r>
          </w:p>
        </w:tc>
      </w:tr>
      <w:tr w:rsidR="000233C9" w:rsidRPr="003462FB" w14:paraId="452A1CE6" w14:textId="77777777" w:rsidTr="006B03FD">
        <w:tc>
          <w:tcPr>
            <w:tcW w:w="2122" w:type="dxa"/>
            <w:shd w:val="clear" w:color="auto" w:fill="F7CAAC" w:themeFill="accent2" w:themeFillTint="66"/>
          </w:tcPr>
          <w:p w14:paraId="526047D1" w14:textId="77777777" w:rsidR="000233C9" w:rsidRPr="003462FB" w:rsidRDefault="000233C9" w:rsidP="006B03FD">
            <w:pPr>
              <w:pStyle w:val="Ingenmellomrom"/>
              <w:rPr>
                <w:b/>
                <w:bCs/>
              </w:rPr>
            </w:pPr>
            <w:r w:rsidRPr="003462FB">
              <w:rPr>
                <w:b/>
                <w:bCs/>
              </w:rPr>
              <w:t>Applicant institution:</w:t>
            </w:r>
          </w:p>
        </w:tc>
        <w:tc>
          <w:tcPr>
            <w:tcW w:w="7506" w:type="dxa"/>
          </w:tcPr>
          <w:p>
            <w:r>
              <w:t>NTNU — Norwegian University of Science and Technology</w:t>
            </w:r>
          </w:p>
        </w:tc>
      </w:tr>
    </w:tbl>
    <w:p w14:paraId="7BA37F90" w14:textId="77777777" w:rsidR="000233C9" w:rsidRPr="003462FB" w:rsidRDefault="000233C9" w:rsidP="000233C9">
      <w:pPr>
        <w:pStyle w:val="Ingenmellomrom"/>
      </w:pPr>
    </w:p>
    <w:p w14:paraId="4E93097A" w14:textId="77777777" w:rsidR="000233C9" w:rsidRPr="003462FB" w:rsidRDefault="000233C9" w:rsidP="000233C9">
      <w:pPr>
        <w:pStyle w:val="Ingenmellomrom"/>
      </w:pPr>
    </w:p>
    <w:p w14:paraId="0BCFF2B3"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439E6291"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1</w:t>
      </w:r>
      <w:r w:rsidRPr="003462FB">
        <w:rPr>
          <w:b/>
          <w:bCs/>
          <w:sz w:val="32"/>
          <w:szCs w:val="32"/>
        </w:rPr>
        <w:tab/>
        <w:t>Relevance of the project</w:t>
      </w:r>
    </w:p>
    <w:p w14:paraId="510AF068" w14:textId="77777777" w:rsidR="000233C9" w:rsidRPr="003462FB" w:rsidRDefault="000233C9" w:rsidP="000233C9">
      <w:pPr>
        <w:pStyle w:val="Ingenmellomrom"/>
        <w:rPr>
          <w:b/>
          <w:bCs/>
        </w:rPr>
      </w:pPr>
    </w:p>
    <w:p w14:paraId="2BB59462" w14:textId="720A48CC" w:rsidR="000233C9" w:rsidRPr="003462FB" w:rsidRDefault="000233C9" w:rsidP="000233C9">
      <w:pPr>
        <w:pStyle w:val="Ingenmellomrom"/>
        <w:rPr>
          <w:b/>
          <w:bCs/>
        </w:rPr>
      </w:pPr>
      <w:r w:rsidRPr="003462FB">
        <w:rPr>
          <w:b/>
          <w:bCs/>
        </w:rPr>
        <w:t>1.1</w:t>
      </w:r>
      <w:r w:rsidRPr="003462FB">
        <w:rPr>
          <w:b/>
          <w:bCs/>
        </w:rPr>
        <w:tab/>
        <w:t xml:space="preserve"> Background and needs of the project </w:t>
      </w:r>
    </w:p>
    <w:p w14:paraId="700A3BD4" w14:textId="77777777" w:rsidR="000233C9" w:rsidRPr="003462FB" w:rsidRDefault="000233C9" w:rsidP="000233C9">
      <w:pPr>
        <w:pStyle w:val="Ingenmellomrom"/>
      </w:pPr>
    </w:p>
    <w:p w14:paraId="2BF94707" w14:textId="77777777" w:rsidR="000233C9" w:rsidRPr="003462FB" w:rsidRDefault="000233C9" w:rsidP="000233C9">
      <w:pPr>
        <w:pStyle w:val="Ingenmellomrom"/>
      </w:pPr>
    </w:p>
    <w:p w14:paraId="1526B522" w14:textId="758671D8"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1.1 Контекст та обґрунтування потреби у проєкті</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Критична руйнація енергетичної інфраструктури України</w:t>
      </w:r>
      <w:r>
        <w:rPr>
          <w:rFonts w:ascii="Arial" w:hAnsi="Arial"/>
          <w:b w:val="0"/>
          <w:i w:val="0"/>
          <w:color w:val="000000"/>
          <w:sz w:val="22"/>
        </w:rPr>
      </w:r>
    </w:p>
    <w:p>
      <w:pPr>
        <w:spacing w:before="0" w:after="120"/>
      </w:pPr>
      <w:r>
        <w:rPr>
          <w:rFonts w:ascii="Arial" w:hAnsi="Arial"/>
          <w:b w:val="0"/>
          <w:i w:val="0"/>
          <w:color w:val="000000"/>
          <w:sz w:val="22"/>
        </w:rPr>
        <w:t>Систематичні ракетні удари Росії по українській енергетичній інфраструктурі, що тривають із жовтня 2022 року, спричинили найбільшу в Європі енергетичну катастрофу мирного часу. За даними Міністерства енергетики України та Міжнародного агентства з відновлюваної енергії (IRENA), станом на початок 2025 року пошкоджено або виведено з ладу понад 70% встановленої генеруючої потужності теплових електростанцій, значну частину об'єктів гідроелектроенергетики (включно з катастрофічним руйнуванням Каховської ГЕС у червні 2023 року), а також ключові вузли та лінії передачі Об'єднаної енергосистеми України [1, 2]. Загальний обсяг задокументованих збитків енергетичному сектору оцінюється Світовим банком у понад 10,6 млрд дол. США, а щомісячний приріст продовжує зростати [3]. Руйнування Каховської ГЕС потужністю 334 МВт не лише ліквідувало базовий блок гідрогенерації на Дніпрі, але й унеможливило використання водосховища для регулювання частоти та балансування мережі — функцій, критично важливих для стабільності Об'єднаної енергосистеми.</w:t>
      </w:r>
    </w:p>
    <w:p>
      <w:pPr>
        <w:spacing w:before="0" w:after="120"/>
      </w:pPr>
      <w:r>
        <w:rPr>
          <w:rFonts w:ascii="Arial" w:hAnsi="Arial"/>
          <w:b w:val="0"/>
          <w:i w:val="0"/>
          <w:color w:val="000000"/>
          <w:sz w:val="22"/>
        </w:rPr>
      </w:r>
      <w:r>
        <w:rPr>
          <w:rFonts w:ascii="Arial" w:hAnsi="Arial"/>
          <w:b/>
          <w:i w:val="0"/>
          <w:color w:val="000000"/>
          <w:sz w:val="22"/>
        </w:rPr>
        <w:t>Запорізький контекст: епіцентр енергетичної кризи</w:t>
      </w:r>
      <w:r>
        <w:rPr>
          <w:rFonts w:ascii="Arial" w:hAnsi="Arial"/>
          <w:b w:val="0"/>
          <w:i w:val="0"/>
          <w:color w:val="000000"/>
          <w:sz w:val="22"/>
        </w:rPr>
      </w:r>
    </w:p>
    <w:p>
      <w:pPr>
        <w:spacing w:before="0" w:after="120"/>
      </w:pPr>
      <w:r>
        <w:rPr>
          <w:rFonts w:ascii="Arial" w:hAnsi="Arial"/>
          <w:b w:val="0"/>
          <w:i w:val="0"/>
          <w:color w:val="000000"/>
          <w:sz w:val="22"/>
        </w:rPr>
        <w:t>Запорізька область є унікальним і найбільш показовим прикладом системного енергетичного колапсу. Запорізька АЕС — найбільша атомна електростанція Європи, потужністю 6 000 МВт — з вересня 2022 року перебуває під окупацією та відключена від Об'єднаної енергосистеми, утворюючи т. зв. «острівний режим» роботи під воєнним контролем. Запорізька ТЕС, потужністю 3 600 МВт, зазнала критичних пошкоджень. Регіональні мережі розподілу електроенергії зруйновано внаслідок бойових дій. Місто Запоріжжя функціонує в умовах постійних планових та аварійних відключень — від 8 до 18 годин на добу в осінньо-зимові сезони 2022–2024 років. Запорізький національний університет (ЗНУ), розташований безпосередньо у прифронтовому місті, зберігає операційну діяльність завдяки власним сонячним панелям на дахах корпусів, системам когенерації та резервним джерелам живлення — набуваючи тим самим практичного досвіду децентралізованої енергетичної стійкості, який є безпосередньо актуальним для цілей проєкту SmartEnergy-UA.</w:t>
      </w:r>
    </w:p>
    <w:p>
      <w:pPr>
        <w:spacing w:before="0" w:after="120"/>
      </w:pPr>
      <w:r>
        <w:rPr>
          <w:rFonts w:ascii="Arial" w:hAnsi="Arial"/>
          <w:b w:val="0"/>
          <w:i w:val="0"/>
          <w:color w:val="000000"/>
          <w:sz w:val="22"/>
        </w:rPr>
      </w:r>
      <w:r>
        <w:rPr>
          <w:rFonts w:ascii="Arial" w:hAnsi="Arial"/>
          <w:b/>
          <w:i w:val="0"/>
          <w:color w:val="000000"/>
          <w:sz w:val="22"/>
        </w:rPr>
        <w:t>Структурний дефіцит фахових компетенцій</w:t>
      </w:r>
      <w:r>
        <w:rPr>
          <w:rFonts w:ascii="Arial" w:hAnsi="Arial"/>
          <w:b w:val="0"/>
          <w:i w:val="0"/>
          <w:color w:val="000000"/>
          <w:sz w:val="22"/>
        </w:rPr>
      </w:r>
    </w:p>
    <w:p>
      <w:pPr>
        <w:spacing w:before="0" w:after="120"/>
      </w:pPr>
      <w:r>
        <w:rPr>
          <w:rFonts w:ascii="Arial" w:hAnsi="Arial"/>
          <w:b w:val="0"/>
          <w:i w:val="0"/>
          <w:color w:val="000000"/>
          <w:sz w:val="22"/>
        </w:rPr>
        <w:t>Відновлення української енергетики потребує не просто фізичного ремонту, а системної трансформації: переходу від централізованої вугільно-ядерної моделі до гнучкої, розподіленої, стійкої до атак архітектури, що інтегрує відновлювані джерела, системи зберігання енергії та автоматизоване управління попитом. Для реалізації цього переходу необхідні інженери з принципово новим, мультидисциплінарним набором компетенцій.</w:t>
      </w:r>
    </w:p>
    <w:p>
      <w:pPr>
        <w:spacing w:before="0" w:after="120"/>
      </w:pPr>
      <w:r>
        <w:rPr>
          <w:rFonts w:ascii="Arial" w:hAnsi="Arial"/>
          <w:b w:val="0"/>
          <w:i w:val="0"/>
          <w:color w:val="000000"/>
          <w:sz w:val="22"/>
        </w:rPr>
        <w:t>Аналіз навчальних програм провідних технічних університетів України, здійснений у рамках підготовки цього проєкту, засвідчує системний розрив між чинними освітніми стандартами та потребами сектору відновлення [4, 5]. Зокрема: (і) мікромережеві технології та децентралізована генерація практично відсутні в діючих ОПП за спеціальностями 141 «Електроенергетика, електротехніка та електромеханіка» та 145 «Гідроенергетика»; (іі) сучасні системи накопичення енергії (літій-залізо-фосфатні батарейні системи, гідроакумуляція, водневий вектор) представлені лише на теоретичному рівні без лабораторної практики; (ііі) механізми управління попитом (Demand Response, Virtual Power Plants) не включені до жодної акредитованої програми бакалаврського рівня; (iv) інженерне проєктування стійких мереж (resilience engineering) — зокрема захист від фізичних атак та швидке відновлення (black-start procedures) — не представлене в жодному з переглянутих навчальних планів.</w:t>
      </w:r>
    </w:p>
    <w:p>
      <w:pPr>
        <w:spacing w:before="0" w:after="120"/>
      </w:pPr>
      <w:r>
        <w:rPr>
          <w:rFonts w:ascii="Arial" w:hAnsi="Arial"/>
          <w:b w:val="0"/>
          <w:i w:val="0"/>
          <w:color w:val="000000"/>
          <w:sz w:val="22"/>
        </w:rPr>
        <w:t>Відповідно до Національного плану відновлення України (NRP 2022, оновлення 2024) [6] та Плану дій з відновлення енергетичного сектору Міжнародного енергетичного агентства [7], до 2030 року Україні необхідно підготувати щонайменше 15 000 нових інженерів-енергетиків зі спеціалізацією в галузі відновлюваної енергетики та стійких мереж — тоді як поточна річна потужність системи вищої освіти за профільними спеціальностями становить близько 1 200 осіб на рік, і зосереджена переважно у м. Києві.</w:t>
      </w:r>
    </w:p>
    <w:p>
      <w:pPr>
        <w:spacing w:before="0" w:after="120"/>
      </w:pPr>
      <w:r>
        <w:rPr>
          <w:rFonts w:ascii="Arial" w:hAnsi="Arial"/>
          <w:b w:val="0"/>
          <w:i w:val="0"/>
          <w:color w:val="000000"/>
          <w:sz w:val="22"/>
        </w:rPr>
      </w:r>
      <w:r>
        <w:rPr>
          <w:rFonts w:ascii="Arial" w:hAnsi="Arial"/>
          <w:b/>
          <w:i w:val="0"/>
          <w:color w:val="000000"/>
          <w:sz w:val="22"/>
        </w:rPr>
        <w:t>Цільові групи та їхні потреби</w:t>
      </w:r>
      <w:r>
        <w:rPr>
          <w:rFonts w:ascii="Arial" w:hAnsi="Arial"/>
          <w:b w:val="0"/>
          <w:i w:val="0"/>
          <w:color w:val="000000"/>
          <w:sz w:val="22"/>
        </w:rPr>
      </w:r>
    </w:p>
    <w:p>
      <w:pPr>
        <w:spacing w:before="0" w:after="120"/>
      </w:pPr>
      <w:r>
        <w:rPr>
          <w:rFonts w:ascii="Arial" w:hAnsi="Arial"/>
          <w:b w:val="0"/>
          <w:i w:val="0"/>
          <w:color w:val="000000"/>
          <w:sz w:val="22"/>
        </w:rPr>
        <w:t>Проєкт SmartEnergy-UA орієнтований на такі цільові групи:</w:t>
      </w:r>
    </w:p>
    <w:p>
      <w:pPr>
        <w:spacing w:before="0" w:after="120"/>
      </w:pPr>
      <w:r>
        <w:rPr>
          <w:rFonts w:ascii="Arial" w:hAnsi="Arial"/>
          <w:b w:val="0"/>
          <w:i w:val="0"/>
          <w:color w:val="000000"/>
          <w:sz w:val="22"/>
        </w:rPr>
        <w:t xml:space="preserve">— </w:t>
      </w:r>
      <w:r>
        <w:rPr>
          <w:rFonts w:ascii="Arial" w:hAnsi="Arial"/>
          <w:b w:val="0"/>
          <w:i/>
          <w:color w:val="000000"/>
          <w:sz w:val="22"/>
        </w:rPr>
        <w:t>Студенти бакалаврського та магістерського рівнів</w:t>
      </w:r>
      <w:r>
        <w:rPr>
          <w:rFonts w:ascii="Arial" w:hAnsi="Arial"/>
          <w:b w:val="0"/>
          <w:i w:val="0"/>
          <w:color w:val="000000"/>
          <w:sz w:val="22"/>
        </w:rPr>
        <w:t>: 120 студентів ЗНУ та університету-партнера 2 (далі — УП2) за 3 роки проєкту, які отримають компетенції у сфері проєктування мікромереж, систем накопичення, управління попитом та resilience engineering. Базовий показник: 0 студентів, що навчаються за оновленими міждисциплінарними програмами з перерахованих тем.</w:t>
      </w:r>
    </w:p>
    <w:p>
      <w:pPr>
        <w:spacing w:before="0" w:after="120"/>
      </w:pPr>
      <w:r>
        <w:rPr>
          <w:rFonts w:ascii="Arial" w:hAnsi="Arial"/>
          <w:b w:val="0"/>
          <w:i w:val="0"/>
          <w:color w:val="000000"/>
          <w:sz w:val="22"/>
        </w:rPr>
        <w:t xml:space="preserve">— </w:t>
      </w:r>
      <w:r>
        <w:rPr>
          <w:rFonts w:ascii="Arial" w:hAnsi="Arial"/>
          <w:b w:val="0"/>
          <w:i/>
          <w:color w:val="000000"/>
          <w:sz w:val="22"/>
        </w:rPr>
        <w:t>Науково-педагогічний персонал</w:t>
      </w:r>
      <w:r>
        <w:rPr>
          <w:rFonts w:ascii="Arial" w:hAnsi="Arial"/>
          <w:b w:val="0"/>
          <w:i w:val="0"/>
          <w:color w:val="000000"/>
          <w:sz w:val="22"/>
        </w:rPr>
        <w:t>: 30 викладачів обох українських партнерів, які пройдуть підвищення кваліфікації на базі NTNU та у рамках онлайн-навчання. Базовий показник: менше 20% НПП мають актуальний досвід роботи з технологіями мікромереж або систем зберігання енергії.</w:t>
      </w:r>
    </w:p>
    <w:p>
      <w:pPr>
        <w:spacing w:before="0" w:after="120"/>
      </w:pPr>
      <w:r>
        <w:rPr>
          <w:rFonts w:ascii="Arial" w:hAnsi="Arial"/>
          <w:b w:val="0"/>
          <w:i w:val="0"/>
          <w:color w:val="000000"/>
          <w:sz w:val="22"/>
        </w:rPr>
        <w:t xml:space="preserve">— </w:t>
      </w:r>
      <w:r>
        <w:rPr>
          <w:rFonts w:ascii="Arial" w:hAnsi="Arial"/>
          <w:b w:val="0"/>
          <w:i/>
          <w:color w:val="000000"/>
          <w:sz w:val="22"/>
        </w:rPr>
        <w:t>Промислові партнери та регіональні органи влади</w:t>
      </w:r>
      <w:r>
        <w:rPr>
          <w:rFonts w:ascii="Arial" w:hAnsi="Arial"/>
          <w:b w:val="0"/>
          <w:i w:val="0"/>
          <w:color w:val="000000"/>
          <w:sz w:val="22"/>
        </w:rPr>
        <w:t>: ПрАТ «Запоріжжяобленерго», Запорізька обласна державна адміністрація, проєктні організації, задіяні у відновленні енергетичної інфраструктури регіону. Ці стейкхолдери мають потребу в інженерах, здатних вже в процесі навчання брати участь у реальних пілотних проєктах.</w:t>
      </w:r>
    </w:p>
    <w:p>
      <w:pPr>
        <w:spacing w:before="0" w:after="120"/>
      </w:pPr>
      <w:r>
        <w:rPr>
          <w:rFonts w:ascii="Arial" w:hAnsi="Arial"/>
          <w:b w:val="0"/>
          <w:i w:val="0"/>
          <w:color w:val="000000"/>
          <w:sz w:val="22"/>
        </w:rPr>
      </w:r>
      <w:r>
        <w:rPr>
          <w:rFonts w:ascii="Arial" w:hAnsi="Arial"/>
          <w:b/>
          <w:i w:val="0"/>
          <w:color w:val="000000"/>
          <w:sz w:val="22"/>
        </w:rPr>
        <w:t>Конкретні SMART-цілі та заплановані результати</w:t>
      </w:r>
      <w:r>
        <w:rPr>
          <w:rFonts w:ascii="Arial" w:hAnsi="Arial"/>
          <w:b w:val="0"/>
          <w:i w:val="0"/>
          <w:color w:val="000000"/>
          <w:sz w:val="22"/>
        </w:rPr>
      </w:r>
    </w:p>
    <w:p>
      <w:pPr>
        <w:spacing w:before="0" w:after="120"/>
      </w:pPr>
      <w:r>
        <w:rPr>
          <w:rFonts w:ascii="Arial" w:hAnsi="Arial"/>
          <w:b w:val="0"/>
          <w:i w:val="0"/>
          <w:color w:val="000000"/>
          <w:sz w:val="22"/>
        </w:rPr>
        <w:t>Проєкт передбачає досягнення таких вимірюваних результатів до 30 червня 2029 року:</w:t>
      </w:r>
    </w:p>
    <w:p>
      <w:pPr>
        <w:spacing w:before="0" w:after="120"/>
      </w:pPr>
      <w:r>
        <w:rPr>
          <w:rFonts w:ascii="Arial" w:hAnsi="Arial"/>
          <w:b w:val="0"/>
          <w:i w:val="0"/>
          <w:color w:val="000000"/>
          <w:sz w:val="22"/>
        </w:rPr>
        <w:t xml:space="preserve">— </w:t>
      </w:r>
      <w:r>
        <w:rPr>
          <w:rFonts w:ascii="Arial" w:hAnsi="Arial"/>
          <w:b w:val="0"/>
          <w:i/>
          <w:color w:val="000000"/>
          <w:sz w:val="22"/>
        </w:rPr>
        <w:t>Р1</w:t>
      </w:r>
      <w:r>
        <w:rPr>
          <w:rFonts w:ascii="Arial" w:hAnsi="Arial"/>
          <w:b w:val="0"/>
          <w:i w:val="0"/>
          <w:color w:val="000000"/>
          <w:sz w:val="22"/>
        </w:rPr>
        <w:t>: Розроблено та акредитовано 5 нових навчальних модулів (загальний обсяг 30 ECTS), інтегрованих у чинні ОПП бакалаврського та магістерського рівнів обох українських партнерів; базовий показник: 0 модулів.</w:t>
      </w:r>
    </w:p>
    <w:p>
      <w:pPr>
        <w:spacing w:before="0" w:after="120"/>
      </w:pPr>
      <w:r>
        <w:rPr>
          <w:rFonts w:ascii="Arial" w:hAnsi="Arial"/>
          <w:b w:val="0"/>
          <w:i w:val="0"/>
          <w:color w:val="000000"/>
          <w:sz w:val="22"/>
        </w:rPr>
        <w:t xml:space="preserve">— </w:t>
      </w:r>
      <w:r>
        <w:rPr>
          <w:rFonts w:ascii="Arial" w:hAnsi="Arial"/>
          <w:b w:val="0"/>
          <w:i/>
          <w:color w:val="000000"/>
          <w:sz w:val="22"/>
        </w:rPr>
        <w:t>Р2</w:t>
      </w:r>
      <w:r>
        <w:rPr>
          <w:rFonts w:ascii="Arial" w:hAnsi="Arial"/>
          <w:b w:val="0"/>
          <w:i w:val="0"/>
          <w:color w:val="000000"/>
          <w:sz w:val="22"/>
        </w:rPr>
        <w:t>: 120 студентів завершили навчання за оновленими програмами з підтвердженим рівнем компетентності (≥70% за підсумковим оцінюванням); базовий показник: 0.</w:t>
      </w:r>
    </w:p>
    <w:p>
      <w:pPr>
        <w:spacing w:before="0" w:after="120"/>
      </w:pPr>
      <w:r>
        <w:rPr>
          <w:rFonts w:ascii="Arial" w:hAnsi="Arial"/>
          <w:b w:val="0"/>
          <w:i w:val="0"/>
          <w:color w:val="000000"/>
          <w:sz w:val="22"/>
        </w:rPr>
        <w:t xml:space="preserve">— </w:t>
      </w:r>
      <w:r>
        <w:rPr>
          <w:rFonts w:ascii="Arial" w:hAnsi="Arial"/>
          <w:b w:val="0"/>
          <w:i/>
          <w:color w:val="000000"/>
          <w:sz w:val="22"/>
        </w:rPr>
        <w:t>Р3</w:t>
      </w:r>
      <w:r>
        <w:rPr>
          <w:rFonts w:ascii="Arial" w:hAnsi="Arial"/>
          <w:b w:val="0"/>
          <w:i w:val="0"/>
          <w:color w:val="000000"/>
          <w:sz w:val="22"/>
        </w:rPr>
        <w:t>: 30 НПП пройшли верифіковане підвищення кваліфікації тривалістю ≥40 годин кожен; базовий показник: &lt;6 осіб з актуальними компетенціями.</w:t>
      </w:r>
    </w:p>
    <w:p>
      <w:pPr>
        <w:spacing w:before="0" w:after="120"/>
      </w:pPr>
      <w:r>
        <w:rPr>
          <w:rFonts w:ascii="Arial" w:hAnsi="Arial"/>
          <w:b w:val="0"/>
          <w:i w:val="0"/>
          <w:color w:val="000000"/>
          <w:sz w:val="22"/>
        </w:rPr>
        <w:t xml:space="preserve">— </w:t>
      </w:r>
      <w:r>
        <w:rPr>
          <w:rFonts w:ascii="Arial" w:hAnsi="Arial"/>
          <w:b w:val="0"/>
          <w:i/>
          <w:color w:val="000000"/>
          <w:sz w:val="22"/>
        </w:rPr>
        <w:t>Р4</w:t>
      </w:r>
      <w:r>
        <w:rPr>
          <w:rFonts w:ascii="Arial" w:hAnsi="Arial"/>
          <w:b w:val="0"/>
          <w:i w:val="0"/>
          <w:color w:val="000000"/>
          <w:sz w:val="22"/>
        </w:rPr>
        <w:t>: Реалізовано 2 пілотні «Живі лабораторії» (Living Labs) — одна на базі ЗНУ, одна на базі УП2 — з функціональними демонстраційними мікромережевими установками; базовий показник: 0.</w:t>
      </w:r>
    </w:p>
    <w:p>
      <w:pPr>
        <w:spacing w:before="0" w:after="120"/>
      </w:pPr>
      <w:r>
        <w:rPr>
          <w:rFonts w:ascii="Arial" w:hAnsi="Arial"/>
          <w:b w:val="0"/>
          <w:i w:val="0"/>
          <w:color w:val="000000"/>
          <w:sz w:val="22"/>
        </w:rPr>
        <w:t xml:space="preserve">— </w:t>
      </w:r>
      <w:r>
        <w:rPr>
          <w:rFonts w:ascii="Arial" w:hAnsi="Arial"/>
          <w:b w:val="0"/>
          <w:i/>
          <w:color w:val="000000"/>
          <w:sz w:val="22"/>
        </w:rPr>
        <w:t>Р5</w:t>
      </w:r>
      <w:r>
        <w:rPr>
          <w:rFonts w:ascii="Arial" w:hAnsi="Arial"/>
          <w:b w:val="0"/>
          <w:i w:val="0"/>
          <w:color w:val="000000"/>
          <w:sz w:val="22"/>
        </w:rPr>
        <w:t>: Не менше 10 студентів і 8 НПП здійснили академічну мобільність до NTNU загальним обсягом ≥120 студенто-місяців і ≥80 днів викладацького обміну; базовий показник: 0 у рамках формалізованого обміну з NTNU.</w:t>
      </w:r>
    </w:p>
    <w:p>
      <w:pPr>
        <w:spacing w:before="0" w:after="120"/>
      </w:pPr>
      <w:r>
        <w:rPr>
          <w:rFonts w:ascii="Arial" w:hAnsi="Arial"/>
          <w:b w:val="0"/>
          <w:i w:val="0"/>
          <w:color w:val="000000"/>
          <w:sz w:val="22"/>
        </w:rPr>
        <w:t xml:space="preserve">— </w:t>
      </w:r>
      <w:r>
        <w:rPr>
          <w:rFonts w:ascii="Arial" w:hAnsi="Arial"/>
          <w:b w:val="0"/>
          <w:i/>
          <w:color w:val="000000"/>
          <w:sz w:val="22"/>
        </w:rPr>
        <w:t>Р6</w:t>
      </w:r>
      <w:r>
        <w:rPr>
          <w:rFonts w:ascii="Arial" w:hAnsi="Arial"/>
          <w:b w:val="0"/>
          <w:i w:val="0"/>
          <w:color w:val="000000"/>
          <w:sz w:val="22"/>
        </w:rPr>
        <w:t>: 3 відкритих освітніх ресурси (OER) оприлюднено на платформі за ліцензією CC BY 4.0, доступних для всіх українських ЗВО; базовий показник: 0.</w:t>
      </w:r>
    </w:p>
    <w:p w14:paraId="08FF87D0" w14:textId="77777777" w:rsidR="000233C9" w:rsidRPr="003462FB" w:rsidRDefault="000233C9" w:rsidP="000233C9">
      <w:pPr>
        <w:pStyle w:val="Ingenmellomrom"/>
      </w:pPr>
    </w:p>
    <w:p w14:paraId="4E09DB5A" w14:textId="77777777" w:rsidR="000233C9" w:rsidRPr="003462FB" w:rsidRDefault="000233C9" w:rsidP="000233C9">
      <w:pPr>
        <w:pStyle w:val="Ingenmellomrom"/>
        <w:rPr>
          <w:b/>
          <w:bCs/>
        </w:rPr>
      </w:pPr>
    </w:p>
    <w:p w14:paraId="6B30ECA6" w14:textId="77777777" w:rsidR="000233C9" w:rsidRPr="003462FB" w:rsidRDefault="000233C9" w:rsidP="000233C9">
      <w:pPr>
        <w:pStyle w:val="Ingenmellomrom"/>
      </w:pPr>
    </w:p>
    <w:p w14:paraId="4EF39E28" w14:textId="77777777" w:rsidR="000233C9" w:rsidRPr="003462FB" w:rsidRDefault="000233C9" w:rsidP="000233C9">
      <w:pPr>
        <w:pStyle w:val="Ingenmellomrom"/>
      </w:pPr>
    </w:p>
    <w:p w14:paraId="73073620" w14:textId="77777777" w:rsidR="000233C9" w:rsidRPr="003462FB" w:rsidRDefault="000233C9" w:rsidP="000233C9">
      <w:pPr>
        <w:pStyle w:val="Ingenmellomrom"/>
        <w:rPr>
          <w:b/>
          <w:bCs/>
        </w:rPr>
      </w:pPr>
      <w:r w:rsidRPr="003462FB">
        <w:rPr>
          <w:b/>
          <w:bCs/>
        </w:rPr>
        <w:t xml:space="preserve">1.2 </w:t>
      </w:r>
      <w:r w:rsidRPr="003462FB">
        <w:rPr>
          <w:b/>
          <w:bCs/>
        </w:rPr>
        <w:tab/>
        <w:t xml:space="preserve">The project's alignment with other activities/measures and any innovative elements </w:t>
      </w:r>
    </w:p>
    <w:p w14:paraId="76B46268" w14:textId="77777777" w:rsidR="000233C9" w:rsidRPr="003462FB" w:rsidRDefault="000233C9" w:rsidP="000233C9">
      <w:pPr>
        <w:pStyle w:val="Ingenmellomrom"/>
      </w:pPr>
    </w:p>
    <w:p w14:paraId="7D9CC889" w14:textId="77777777" w:rsidR="000233C9" w:rsidRPr="003462FB" w:rsidRDefault="000233C9" w:rsidP="000233C9">
      <w:pPr>
        <w:pStyle w:val="Ingenmellomrom"/>
      </w:pPr>
    </w:p>
    <w:p w14:paraId="02C62CA4" w14:textId="2B9AF084"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1.2 Відповідність іншим заходам та інноваційні елементи проєкту</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Наявна основа та синергія з поточними ініціативами</w:t>
      </w:r>
      <w:r>
        <w:rPr>
          <w:rFonts w:ascii="Arial" w:hAnsi="Arial"/>
          <w:b w:val="0"/>
          <w:i w:val="0"/>
          <w:color w:val="000000"/>
          <w:sz w:val="22"/>
        </w:rPr>
      </w:r>
    </w:p>
    <w:p>
      <w:pPr>
        <w:spacing w:before="0" w:after="120"/>
      </w:pPr>
      <w:r>
        <w:rPr>
          <w:rFonts w:ascii="Arial" w:hAnsi="Arial"/>
          <w:b w:val="0"/>
          <w:i w:val="0"/>
          <w:color w:val="000000"/>
          <w:sz w:val="22"/>
        </w:rPr>
        <w:t>Проєкт SmartEnergy-UA не є ізольованою ініціативою, а будується на задокументованій основі двосторонньої співпраці та паралельних міжнародних програм, максимально уникаючи дублювання.</w:t>
      </w:r>
    </w:p>
    <w:p>
      <w:pPr>
        <w:spacing w:before="0" w:after="120"/>
      </w:pPr>
      <w:r>
        <w:rPr>
          <w:rFonts w:ascii="Arial" w:hAnsi="Arial"/>
          <w:b w:val="0"/>
          <w:i w:val="0"/>
          <w:color w:val="000000"/>
          <w:sz w:val="22"/>
        </w:rPr>
        <w:t>NTNU та ЗНУ розробили спільну дорожню карту співпраці на 2026–2028 роки, що охоплює чотири кластери: гідроенергетична реабілітація, розумні та гнучкі енергетичні системи, зелена промислова трансформація та зелена металургія. SmartEnergy-UA реалізує другий кластер цієї дорожньої карти, закладаючи одночасно підґрунтя для першого. Це забезпечує інституційну безперервність та наступність результатів за межами трирічного циклу фінансування.</w:t>
      </w:r>
    </w:p>
    <w:p>
      <w:pPr>
        <w:spacing w:before="0" w:after="120"/>
      </w:pPr>
      <w:r>
        <w:rPr>
          <w:rFonts w:ascii="Arial" w:hAnsi="Arial"/>
          <w:b w:val="0"/>
          <w:i w:val="0"/>
          <w:color w:val="000000"/>
          <w:sz w:val="22"/>
        </w:rPr>
        <w:t>ЗНУ є активним учасником 14 проєктів Erasmus+ (включно з Erasmus+ KA2 та Jean Monnet), 3 проєктів Horizon Europe MSCA, проєкту UA-UK Twinning за підтримки UKRI та програми DAAD Ukraine Digital. Жоден із зазначених проєктів не зосереджений на мікромережевих технологіях, системах зберігання або resilience engineering для відновлення енергетики — що підтверджує відсутність дублювання і свідчить про чіткий прогалину, яку заповнює SmartEnergy-UA. Проєкт DAAD Ukraine Digital розвиває загальну цифрову інфраструктуру ЗНУ (хмарні обчислення, кібербезпека), створюючи цифровий бекбон, яким скористається SmartEnergy-UA для дистанційного навчання та захищеного обміну даними. Проєкти Horizon MSCA забезпечують дослідницький потенціал НПП, але не впливають безпосередньо на навчальні програми бакалаврського та магістерського рівнів — ніша, в якій SmartEnergy-UA відіграє ключову роль.</w:t>
      </w:r>
    </w:p>
    <w:p>
      <w:pPr>
        <w:spacing w:before="0" w:after="120"/>
      </w:pPr>
      <w:r>
        <w:rPr>
          <w:rFonts w:ascii="Arial" w:hAnsi="Arial"/>
          <w:b w:val="0"/>
          <w:i w:val="0"/>
          <w:color w:val="000000"/>
          <w:sz w:val="22"/>
        </w:rPr>
      </w:r>
      <w:r>
        <w:rPr>
          <w:rFonts w:ascii="Arial" w:hAnsi="Arial"/>
          <w:b/>
          <w:i w:val="0"/>
          <w:color w:val="000000"/>
          <w:sz w:val="22"/>
        </w:rPr>
        <w:t>Знання ширшого ландшафту ініціатив</w:t>
      </w:r>
      <w:r>
        <w:rPr>
          <w:rFonts w:ascii="Arial" w:hAnsi="Arial"/>
          <w:b w:val="0"/>
          <w:i w:val="0"/>
          <w:color w:val="000000"/>
          <w:sz w:val="22"/>
        </w:rPr>
      </w:r>
    </w:p>
    <w:p>
      <w:pPr>
        <w:spacing w:before="0" w:after="120"/>
      </w:pPr>
      <w:r>
        <w:rPr>
          <w:rFonts w:ascii="Arial" w:hAnsi="Arial"/>
          <w:b w:val="0"/>
          <w:i w:val="0"/>
          <w:color w:val="000000"/>
          <w:sz w:val="22"/>
        </w:rPr>
        <w:t>Автори проєкту здійснили системний аналіз існуючих програм у суміжних галузях:</w:t>
      </w:r>
    </w:p>
    <w:p>
      <w:pPr>
        <w:spacing w:before="0" w:after="120"/>
      </w:pPr>
      <w:r>
        <w:rPr>
          <w:rFonts w:ascii="Arial" w:hAnsi="Arial"/>
          <w:b w:val="0"/>
          <w:i w:val="0"/>
          <w:color w:val="000000"/>
          <w:sz w:val="22"/>
        </w:rPr>
        <w:t xml:space="preserve">— </w:t>
      </w:r>
      <w:r>
        <w:rPr>
          <w:rFonts w:ascii="Arial" w:hAnsi="Arial"/>
          <w:b w:val="0"/>
          <w:i/>
          <w:color w:val="000000"/>
          <w:sz w:val="22"/>
        </w:rPr>
        <w:t>USAID Energy Security Project</w:t>
      </w:r>
      <w:r>
        <w:rPr>
          <w:rFonts w:ascii="Arial" w:hAnsi="Arial"/>
          <w:b w:val="0"/>
          <w:i w:val="0"/>
          <w:color w:val="000000"/>
          <w:sz w:val="22"/>
        </w:rPr>
        <w:t xml:space="preserve"> (2022–2025) зосереджений на короткостроковому відновленні фізичної інфраструктури та не передбачає розбудови освітнього потенціалу вищої школи.</w:t>
      </w:r>
    </w:p>
    <w:p>
      <w:pPr>
        <w:spacing w:before="0" w:after="120"/>
      </w:pPr>
      <w:r>
        <w:rPr>
          <w:rFonts w:ascii="Arial" w:hAnsi="Arial"/>
          <w:b w:val="0"/>
          <w:i w:val="0"/>
          <w:color w:val="000000"/>
          <w:sz w:val="22"/>
        </w:rPr>
        <w:t xml:space="preserve">— </w:t>
      </w:r>
      <w:r>
        <w:rPr>
          <w:rFonts w:ascii="Arial" w:hAnsi="Arial"/>
          <w:b w:val="0"/>
          <w:i/>
          <w:color w:val="000000"/>
          <w:sz w:val="22"/>
        </w:rPr>
        <w:t>Проєкт EU4Energy Governance</w:t>
      </w:r>
      <w:r>
        <w:rPr>
          <w:rFonts w:ascii="Arial" w:hAnsi="Arial"/>
          <w:b w:val="0"/>
          <w:i w:val="0"/>
          <w:color w:val="000000"/>
          <w:sz w:val="22"/>
        </w:rPr>
        <w:t xml:space="preserve"> (ЄС) охоплює нормативно-правову реформу енергетичного сектору, але не технічне навчання інженерів.</w:t>
      </w:r>
    </w:p>
    <w:p>
      <w:pPr>
        <w:spacing w:before="0" w:after="120"/>
      </w:pPr>
      <w:r>
        <w:rPr>
          <w:rFonts w:ascii="Arial" w:hAnsi="Arial"/>
          <w:b w:val="0"/>
          <w:i w:val="0"/>
          <w:color w:val="000000"/>
          <w:sz w:val="22"/>
        </w:rPr>
        <w:t xml:space="preserve">— </w:t>
      </w:r>
      <w:r>
        <w:rPr>
          <w:rFonts w:ascii="Arial" w:hAnsi="Arial"/>
          <w:b w:val="0"/>
          <w:i/>
          <w:color w:val="000000"/>
          <w:sz w:val="22"/>
        </w:rPr>
        <w:t>Ініціатива ЄС REPowerEU</w:t>
      </w:r>
      <w:r>
        <w:rPr>
          <w:rFonts w:ascii="Arial" w:hAnsi="Arial"/>
          <w:b w:val="0"/>
          <w:i w:val="0"/>
          <w:color w:val="000000"/>
          <w:sz w:val="22"/>
        </w:rPr>
        <w:t xml:space="preserve"> підтримує Україну переважно через механізми кредитування та закупівлі обладнання, а не через розбудову людського капіталу у вищій освіті.</w:t>
      </w:r>
    </w:p>
    <w:p>
      <w:pPr>
        <w:spacing w:before="0" w:after="120"/>
      </w:pPr>
      <w:r>
        <w:rPr>
          <w:rFonts w:ascii="Arial" w:hAnsi="Arial"/>
          <w:b w:val="0"/>
          <w:i w:val="0"/>
          <w:color w:val="000000"/>
          <w:sz w:val="22"/>
        </w:rPr>
        <w:t xml:space="preserve">— </w:t>
      </w:r>
      <w:r>
        <w:rPr>
          <w:rFonts w:ascii="Arial" w:hAnsi="Arial"/>
          <w:b w:val="0"/>
          <w:i/>
          <w:color w:val="000000"/>
          <w:sz w:val="22"/>
        </w:rPr>
        <w:t>Норвезька програма NORHED II</w:t>
      </w:r>
      <w:r>
        <w:rPr>
          <w:rFonts w:ascii="Arial" w:hAnsi="Arial"/>
          <w:b w:val="0"/>
          <w:i w:val="0"/>
          <w:color w:val="000000"/>
          <w:sz w:val="22"/>
        </w:rPr>
        <w:t xml:space="preserve"> (попередниця Nansen EDU) профінансувала ряд проєктів у сфері відновлюваної енергетики у Південній Азії та Африці, що демонструє ефективність подібної моделі консорціуму університетів для розвитку освітнього потенціалу у сфері чистої енергетики, але не охоплювала Україну.</w:t>
      </w:r>
    </w:p>
    <w:p>
      <w:pPr>
        <w:spacing w:before="0" w:after="120"/>
      </w:pPr>
      <w:r>
        <w:rPr>
          <w:rFonts w:ascii="Arial" w:hAnsi="Arial"/>
          <w:b w:val="0"/>
          <w:i w:val="0"/>
          <w:color w:val="000000"/>
          <w:sz w:val="22"/>
        </w:rPr>
        <w:t>Таким чином, SmartEnergy-UA заповнює конкретну прогалину: відсутність університетської освітньої програми, спрямованої на підготовку інженерів-практиків для фізичного та системного відновлення і трансформації енергетичної інфраструктури України.</w:t>
      </w:r>
    </w:p>
    <w:p>
      <w:pPr>
        <w:spacing w:before="0" w:after="120"/>
      </w:pPr>
      <w:r>
        <w:rPr>
          <w:rFonts w:ascii="Arial" w:hAnsi="Arial"/>
          <w:b w:val="0"/>
          <w:i w:val="0"/>
          <w:color w:val="000000"/>
          <w:sz w:val="22"/>
        </w:rPr>
      </w:r>
      <w:r>
        <w:rPr>
          <w:rFonts w:ascii="Arial" w:hAnsi="Arial"/>
          <w:b/>
          <w:i w:val="0"/>
          <w:color w:val="000000"/>
          <w:sz w:val="22"/>
        </w:rPr>
        <w:t>Інноваційні елементи проєкту</w:t>
      </w:r>
      <w:r>
        <w:rPr>
          <w:rFonts w:ascii="Arial" w:hAnsi="Arial"/>
          <w:b w:val="0"/>
          <w:i w:val="0"/>
          <w:color w:val="000000"/>
          <w:sz w:val="22"/>
        </w:rPr>
      </w:r>
    </w:p>
    <w:p>
      <w:pPr>
        <w:spacing w:before="0" w:after="120"/>
      </w:pPr>
      <w:r>
        <w:rPr>
          <w:rFonts w:ascii="Arial" w:hAnsi="Arial"/>
          <w:b w:val="0"/>
          <w:i w:val="0"/>
          <w:color w:val="000000"/>
          <w:sz w:val="22"/>
        </w:rPr>
        <w:t>Проєкт SmartEnergy-UA є інноваційним за кількома взаємопов'язаними вимірами:</w:t>
      </w:r>
    </w:p>
    <w:p>
      <w:pPr>
        <w:spacing w:before="0" w:after="120"/>
      </w:pPr>
      <w:r>
        <w:rPr>
          <w:rFonts w:ascii="Arial" w:hAnsi="Arial"/>
          <w:b w:val="0"/>
          <w:i w:val="0"/>
          <w:color w:val="000000"/>
          <w:sz w:val="22"/>
        </w:rPr>
      </w:r>
      <w:r>
        <w:rPr>
          <w:rFonts w:ascii="Arial" w:hAnsi="Arial"/>
          <w:b w:val="0"/>
          <w:i/>
          <w:color w:val="000000"/>
          <w:sz w:val="22"/>
        </w:rPr>
        <w:t>По-перше, проблемно-орієнтований («reconstruction-by-design») підхід до розроблення навчальних програм</w:t>
      </w:r>
      <w:r>
        <w:rPr>
          <w:rFonts w:ascii="Arial" w:hAnsi="Arial"/>
          <w:b w:val="0"/>
          <w:i w:val="0"/>
          <w:color w:val="000000"/>
          <w:sz w:val="22"/>
        </w:rPr>
        <w:t>: на відміну від адаптації існуючих норвезьких чи загальноєвропейських курсів, зміст кожного модуля розробляється від реальних інженерних завдань відновлення конкретних об'єктів (розподільні мережі Запорізької та суміжних областей, мікромережеві рішення для критичної інфраструктури, модернізація малих ГЕС на Дніпровських притоках). Студенти працюють із реальними технічними завданнями, а не з імітаційними кейсами.</w:t>
      </w:r>
    </w:p>
    <w:p>
      <w:pPr>
        <w:spacing w:before="0" w:after="120"/>
      </w:pPr>
      <w:r>
        <w:rPr>
          <w:rFonts w:ascii="Arial" w:hAnsi="Arial"/>
          <w:b w:val="0"/>
          <w:i w:val="0"/>
          <w:color w:val="000000"/>
          <w:sz w:val="22"/>
        </w:rPr>
      </w:r>
      <w:r>
        <w:rPr>
          <w:rFonts w:ascii="Arial" w:hAnsi="Arial"/>
          <w:b w:val="0"/>
          <w:i/>
          <w:color w:val="000000"/>
          <w:sz w:val="22"/>
        </w:rPr>
        <w:t>По-друге, концепція «Живої лабораторії»</w:t>
      </w:r>
      <w:r>
        <w:rPr>
          <w:rFonts w:ascii="Arial" w:hAnsi="Arial"/>
          <w:b w:val="0"/>
          <w:i w:val="0"/>
          <w:color w:val="000000"/>
          <w:sz w:val="22"/>
        </w:rPr>
        <w:t>: ЗНУ вже є функціонуючим зразком децентралізованої енергетичної стійкості — з власними сонячними панелями, когенерацією та системами резервного живлення, що забезпечують неперервність освітнього процесу під час повітряних тривог та відключень електроенергії. Проєкт формалізує і розширює цю інфраструктуру до рівня навчально-дослідницького стенду: встановлює батарейну систему накопичення енергії (BESS) у демонстраційному масштабі, інтегрує засоби моніторингу та SCADA-компоненти, перетворюючи університетський кампус на «живу лабораторію» мікромережевих технологій.</w:t>
      </w:r>
    </w:p>
    <w:p>
      <w:pPr>
        <w:spacing w:before="0" w:after="120"/>
      </w:pPr>
      <w:r>
        <w:rPr>
          <w:rFonts w:ascii="Arial" w:hAnsi="Arial"/>
          <w:b w:val="0"/>
          <w:i w:val="0"/>
          <w:color w:val="000000"/>
          <w:sz w:val="22"/>
        </w:rPr>
      </w:r>
      <w:r>
        <w:rPr>
          <w:rFonts w:ascii="Arial" w:hAnsi="Arial"/>
          <w:b w:val="0"/>
          <w:i/>
          <w:color w:val="000000"/>
          <w:sz w:val="22"/>
        </w:rPr>
        <w:t>По-третє, стійкість за умов конфлікту</w:t>
      </w:r>
      <w:r>
        <w:rPr>
          <w:rFonts w:ascii="Arial" w:hAnsi="Arial"/>
          <w:b w:val="0"/>
          <w:i w:val="0"/>
          <w:color w:val="000000"/>
          <w:sz w:val="22"/>
        </w:rPr>
        <w:t>: навчальний дизайн SmartEnergy-UA є асинхронно-стійким — усі модулі доступні у форматі blended learning з можливістю повного переходу в онлайн-режим протягом 24 годин у разі загострення безпекової ситуації. Це принципово відрізняє проєкт від традиційних програм обміну та робить його реплікованим моделлю для інших українських ЗВО у прифронтових регіонах.</w:t>
      </w:r>
    </w:p>
    <w:p w14:paraId="07AB4B00" w14:textId="77777777" w:rsidR="000233C9" w:rsidRPr="003462FB" w:rsidRDefault="000233C9" w:rsidP="000233C9">
      <w:pPr>
        <w:pStyle w:val="Ingenmellomrom"/>
      </w:pPr>
    </w:p>
    <w:p w14:paraId="5168F40D" w14:textId="77777777" w:rsidR="000233C9" w:rsidRPr="003462FB" w:rsidRDefault="000233C9" w:rsidP="000233C9">
      <w:pPr>
        <w:pStyle w:val="Ingenmellomrom"/>
      </w:pPr>
    </w:p>
    <w:p w14:paraId="42677845" w14:textId="77777777" w:rsidR="000233C9" w:rsidRPr="003462FB" w:rsidRDefault="000233C9" w:rsidP="000233C9">
      <w:pPr>
        <w:pStyle w:val="Ingenmellomrom"/>
      </w:pPr>
    </w:p>
    <w:p w14:paraId="167DCCA8" w14:textId="77777777" w:rsidR="000233C9" w:rsidRPr="003462FB" w:rsidRDefault="000233C9" w:rsidP="000233C9">
      <w:pPr>
        <w:pStyle w:val="Ingenmellomrom"/>
      </w:pPr>
    </w:p>
    <w:p w14:paraId="7320F77C" w14:textId="77777777" w:rsidR="000233C9" w:rsidRPr="003462FB" w:rsidRDefault="000233C9" w:rsidP="000233C9">
      <w:pPr>
        <w:pStyle w:val="Ingenmellomrom"/>
      </w:pPr>
    </w:p>
    <w:p w14:paraId="52C34190" w14:textId="77777777" w:rsidR="000233C9" w:rsidRPr="003462FB" w:rsidRDefault="000233C9" w:rsidP="000233C9">
      <w:pPr>
        <w:pStyle w:val="Ingenmellomrom"/>
      </w:pPr>
    </w:p>
    <w:p w14:paraId="27B71259" w14:textId="77777777" w:rsidR="000233C9" w:rsidRPr="003462FB" w:rsidRDefault="000233C9" w:rsidP="000233C9">
      <w:pPr>
        <w:pStyle w:val="Ingenmellomrom"/>
      </w:pPr>
    </w:p>
    <w:p w14:paraId="35479C6D" w14:textId="77777777" w:rsidR="000233C9" w:rsidRPr="003462FB" w:rsidRDefault="000233C9" w:rsidP="000233C9">
      <w:pPr>
        <w:pStyle w:val="Ingenmellomrom"/>
      </w:pPr>
    </w:p>
    <w:p w14:paraId="1748CF00" w14:textId="77777777" w:rsidR="000233C9" w:rsidRPr="003462FB" w:rsidRDefault="000233C9" w:rsidP="000233C9">
      <w:pPr>
        <w:pStyle w:val="Ingenmellomrom"/>
      </w:pPr>
    </w:p>
    <w:p w14:paraId="5F39FED3" w14:textId="77777777" w:rsidR="000233C9" w:rsidRPr="003462FB" w:rsidRDefault="000233C9" w:rsidP="000233C9">
      <w:pPr>
        <w:pStyle w:val="Ingenmellomrom"/>
      </w:pPr>
    </w:p>
    <w:p w14:paraId="4EF1DDF6" w14:textId="77777777" w:rsidR="000233C9" w:rsidRPr="003462FB" w:rsidRDefault="000233C9" w:rsidP="000233C9">
      <w:pPr>
        <w:pStyle w:val="Ingenmellomrom"/>
      </w:pPr>
    </w:p>
    <w:p w14:paraId="2FDD0321" w14:textId="77777777" w:rsidR="000233C9" w:rsidRPr="003462FB" w:rsidRDefault="000233C9" w:rsidP="000233C9">
      <w:pPr>
        <w:pStyle w:val="Ingenmellomrom"/>
      </w:pPr>
    </w:p>
    <w:p w14:paraId="4CCDDDE2" w14:textId="77777777" w:rsidR="000233C9" w:rsidRPr="003462FB" w:rsidRDefault="000233C9" w:rsidP="000233C9">
      <w:pPr>
        <w:pStyle w:val="Ingenmellomrom"/>
      </w:pPr>
    </w:p>
    <w:p w14:paraId="10C5F93A" w14:textId="77777777" w:rsidR="000233C9" w:rsidRPr="003462FB" w:rsidRDefault="000233C9" w:rsidP="000233C9">
      <w:pPr>
        <w:pStyle w:val="Ingenmellomrom"/>
      </w:pPr>
    </w:p>
    <w:p w14:paraId="15F6DC8C" w14:textId="77777777" w:rsidR="000233C9" w:rsidRPr="003462FB" w:rsidRDefault="000233C9" w:rsidP="000233C9">
      <w:pPr>
        <w:pStyle w:val="Ingenmellomrom"/>
      </w:pPr>
    </w:p>
    <w:p w14:paraId="3A779C5C"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19B6436D"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2</w:t>
      </w:r>
      <w:r w:rsidRPr="003462FB">
        <w:rPr>
          <w:b/>
          <w:bCs/>
          <w:sz w:val="32"/>
          <w:szCs w:val="32"/>
        </w:rPr>
        <w:tab/>
        <w:t>Design and implementation</w:t>
      </w:r>
    </w:p>
    <w:p w14:paraId="42ECA781" w14:textId="77777777" w:rsidR="000233C9" w:rsidRPr="003462FB" w:rsidRDefault="000233C9" w:rsidP="000233C9">
      <w:pPr>
        <w:pStyle w:val="Ingenmellomrom"/>
      </w:pPr>
    </w:p>
    <w:p w14:paraId="0BE2E2B2" w14:textId="77777777" w:rsidR="000233C9" w:rsidRPr="003462FB" w:rsidRDefault="000233C9" w:rsidP="000233C9">
      <w:pPr>
        <w:pStyle w:val="Ingenmellomrom"/>
        <w:rPr>
          <w:b/>
          <w:bCs/>
        </w:rPr>
      </w:pPr>
      <w:r w:rsidRPr="003462FB">
        <w:rPr>
          <w:b/>
          <w:bCs/>
        </w:rPr>
        <w:t>2.1</w:t>
      </w:r>
      <w:r w:rsidRPr="003462FB">
        <w:rPr>
          <w:b/>
          <w:bCs/>
        </w:rPr>
        <w:tab/>
        <w:t>Activities, measures and approaches to achieve the project results</w:t>
      </w:r>
    </w:p>
    <w:p w14:paraId="1A1F908C" w14:textId="77777777" w:rsidR="000233C9" w:rsidRPr="003462FB" w:rsidRDefault="000233C9" w:rsidP="000233C9">
      <w:pPr>
        <w:pStyle w:val="Ingenmellomrom"/>
      </w:pPr>
    </w:p>
    <w:p w14:paraId="26046AEF" w14:textId="77777777" w:rsidR="000233C9" w:rsidRPr="003462FB" w:rsidRDefault="000233C9" w:rsidP="000233C9">
      <w:pPr>
        <w:pStyle w:val="Ingenmellomrom"/>
      </w:pPr>
    </w:p>
    <w:p w14:paraId="12870D6C" w14:textId="7A1074F7"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2.1 Заходи, підходи та план реалізації</w:t>
      </w:r>
      <w:r>
        <w:rPr>
          <w:rFonts w:ascii="Arial" w:hAnsi="Arial"/>
          <w:b w:val="0"/>
          <w:i w:val="0"/>
          <w:color w:val="000000"/>
          <w:sz w:val="22"/>
        </w:rPr>
      </w:r>
    </w:p>
    <w:p>
      <w:pPr>
        <w:spacing w:before="0" w:after="120"/>
      </w:pPr>
      <w:r>
        <w:rPr>
          <w:rFonts w:ascii="Arial" w:hAnsi="Arial"/>
          <w:b w:val="0"/>
          <w:i w:val="0"/>
          <w:color w:val="000000"/>
          <w:sz w:val="22"/>
        </w:rPr>
        <w:t>Проєкт SmartEnergy-UA структуровано за п'ятьма взаємопов'язаними робочими пакетами (РП) тривалістю 36 місяців (липень 2026 – червень 2029). Логіка часової послідовності: РП1 і РП2 (Рік 1: Фундамент) → РП3 і РП4 (Рік 2: Пілоти) → РП3–РП5 (Рік 3: Масштабування та інституціоналізація).</w:t>
      </w:r>
    </w:p>
    <w:p>
      <w:pPr>
        <w:spacing w:before="0" w:after="120"/>
      </w:pPr>
      <w:r>
        <w:rPr>
          <w:rFonts w:ascii="Arial" w:hAnsi="Arial"/>
          <w:b w:val="0"/>
          <w:i w:val="0"/>
          <w:color w:val="000000"/>
          <w:sz w:val="22"/>
        </w:rPr>
      </w:r>
      <w:r>
        <w:rPr>
          <w:rFonts w:ascii="Arial" w:hAnsi="Arial"/>
          <w:b/>
          <w:i w:val="0"/>
          <w:color w:val="000000"/>
          <w:sz w:val="22"/>
        </w:rPr>
        <w:t>РП1: Спільна розробка навчальних програм (Роки 1–2)</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Лідер</w:t>
      </w:r>
      <w:r>
        <w:rPr>
          <w:rFonts w:ascii="Arial" w:hAnsi="Arial"/>
          <w:b w:val="0"/>
          <w:i w:val="0"/>
          <w:color w:val="000000"/>
          <w:sz w:val="22"/>
        </w:rPr>
        <w:t>: NTNU (спільно з ЗНУ та УП2)</w:t>
      </w:r>
    </w:p>
    <w:p>
      <w:pPr>
        <w:spacing w:before="0" w:after="120"/>
      </w:pPr>
      <w:r>
        <w:rPr>
          <w:rFonts w:ascii="Arial" w:hAnsi="Arial"/>
          <w:b w:val="0"/>
          <w:i w:val="0"/>
          <w:color w:val="000000"/>
          <w:sz w:val="22"/>
        </w:rPr>
      </w:r>
      <w:r>
        <w:rPr>
          <w:rFonts w:ascii="Arial" w:hAnsi="Arial"/>
          <w:b w:val="0"/>
          <w:i/>
          <w:color w:val="000000"/>
          <w:sz w:val="22"/>
        </w:rPr>
        <w:t>Завдання та заходи</w:t>
      </w:r>
      <w:r>
        <w:rPr>
          <w:rFonts w:ascii="Arial" w:hAnsi="Arial"/>
          <w:b w:val="0"/>
          <w:i w:val="0"/>
          <w:color w:val="000000"/>
          <w:sz w:val="22"/>
        </w:rPr>
        <w:t>: — М1–М4 (Рік 1, квартал 1–2): Проведення аудиту чинних навчальних планів за спеціальностями 141 та 145 у ЗНУ та УП2; картографування компетентнісних розривів із залученням промислових партнерів (ПрАТ «Запоріжжяобленерго», Укренерго). Проведення 2 онлайн-воркшопів із НПП (≥20 учасників) для визначення пріоритетів змісту. — М5–М12 (Рік 1, квартал 2–4): Розробка навчально-методичних матеріалів для 5 нових модулів: (1) «Проєктування та експлуатація мікромереж» (6 ECTS); (2) «Системи зберігання енергії: технології та застосування» (6 ECTS); (3) «Управління попитом та гнучкі ресурси мережі» (6 ECTS); (4) «Resilience Engineering енергетичних систем» (6 ECTS); (5) «Інтеграція відновлюваних джерел у реконструйовані мережі» (6 ECTS). Загальний обсяг: 30 ECTS. Для кожного модуля: розробка силабусу, лекційних матеріалів, задач і лабораторних робіт, критеріїв оцінювання. — М13–М18 (Рік 2, квартал 1–2): Пілотне викладання модулів 1 і 2 (перша когорта: 40 студентів ЗНУ та УП2); збір зворотного зв'язку; ревізія матеріалів. Подача документів для акредитації оновлених ОПП до відповідних органів забезпечення якості вищої освіти.</w:t>
      </w:r>
    </w:p>
    <w:p>
      <w:pPr>
        <w:spacing w:before="0" w:after="120"/>
      </w:pPr>
      <w:r>
        <w:rPr>
          <w:rFonts w:ascii="Arial" w:hAnsi="Arial"/>
          <w:b w:val="0"/>
          <w:i w:val="0"/>
          <w:color w:val="000000"/>
          <w:sz w:val="22"/>
        </w:rPr>
      </w:r>
      <w:r>
        <w:rPr>
          <w:rFonts w:ascii="Arial" w:hAnsi="Arial"/>
          <w:b w:val="0"/>
          <w:i/>
          <w:color w:val="000000"/>
          <w:sz w:val="22"/>
        </w:rPr>
        <w:t>Ключові результати</w:t>
      </w:r>
      <w:r>
        <w:rPr>
          <w:rFonts w:ascii="Arial" w:hAnsi="Arial"/>
          <w:b w:val="0"/>
          <w:i w:val="0"/>
          <w:color w:val="000000"/>
          <w:sz w:val="22"/>
        </w:rPr>
        <w:t>: 5 акредитованих навчальних модулів; 2 пілотні когорти (40 студентів); повний пакет OER, опублікований за ліцензією CC BY 4.0.</w:t>
      </w:r>
    </w:p>
    <w:p>
      <w:pPr>
        <w:spacing w:before="0" w:after="120"/>
      </w:pPr>
      <w:r>
        <w:rPr>
          <w:rFonts w:ascii="Arial" w:hAnsi="Arial"/>
          <w:b w:val="0"/>
          <w:i w:val="0"/>
          <w:color w:val="000000"/>
          <w:sz w:val="22"/>
        </w:rPr>
      </w:r>
      <w:r>
        <w:rPr>
          <w:rFonts w:ascii="Arial" w:hAnsi="Arial"/>
          <w:b/>
          <w:i w:val="0"/>
          <w:color w:val="000000"/>
          <w:sz w:val="22"/>
        </w:rPr>
        <w:t>РП2: Підвищення кваліфікації науково-педагогічного персоналу (Роки 1–2)</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Лідер</w:t>
      </w:r>
      <w:r>
        <w:rPr>
          <w:rFonts w:ascii="Arial" w:hAnsi="Arial"/>
          <w:b w:val="0"/>
          <w:i w:val="0"/>
          <w:color w:val="000000"/>
          <w:sz w:val="22"/>
        </w:rPr>
        <w:t>: NTNU (Департамент електричної енергії)</w:t>
      </w:r>
    </w:p>
    <w:p>
      <w:pPr>
        <w:spacing w:before="0" w:after="120"/>
      </w:pPr>
      <w:r>
        <w:rPr>
          <w:rFonts w:ascii="Arial" w:hAnsi="Arial"/>
          <w:b w:val="0"/>
          <w:i w:val="0"/>
          <w:color w:val="000000"/>
          <w:sz w:val="22"/>
        </w:rPr>
      </w:r>
      <w:r>
        <w:rPr>
          <w:rFonts w:ascii="Arial" w:hAnsi="Arial"/>
          <w:b w:val="0"/>
          <w:i/>
          <w:color w:val="000000"/>
          <w:sz w:val="22"/>
        </w:rPr>
        <w:t>Завдання та заходи</w:t>
      </w:r>
      <w:r>
        <w:rPr>
          <w:rFonts w:ascii="Arial" w:hAnsi="Arial"/>
          <w:b w:val="0"/>
          <w:i w:val="0"/>
          <w:color w:val="000000"/>
          <w:sz w:val="22"/>
        </w:rPr>
        <w:t>: — М3–М6 (Рік 1, квартал 2): Проведення двотижневого очного інтенсиву на базі NTNU (Тронгейм) для першої групи 8 НПП від ЗНУ та УП2. Програма охоплює: лабораторні практикуми в SmartGrid Laboratory NTNU, відвідування об'єктів Statkraft і Statnett, семінари з педагогічного дизайну для інженерних дисциплін (problem-based learning, case-based learning). — М7–М12 (Рік 1, квартал 3–4): Серія з 12 онлайн-семінарів (щомісяця, 4 год. кожен) для розширеної аудиторії — до 30 НПП обох українських партнерів. Теми: розрахунок надійності розподільних мереж; стандарти IEEE 1547 і IEC 61850 для мікромереж; техніко-економічний аналіз систем зберігання; планування black-start; нормативно-правова база відновлення енергетики України. — М13–М24 (Рік 2): Зворотні візити норвезьких експертів до українських університетів (у форматі онлайн або очно залежно від безпекової ситуації); спільне консультування студентських проєктів; гостьові лекції норвезьких фахівців галузі.</w:t>
      </w:r>
    </w:p>
    <w:p>
      <w:pPr>
        <w:spacing w:before="0" w:after="120"/>
      </w:pPr>
      <w:r>
        <w:rPr>
          <w:rFonts w:ascii="Arial" w:hAnsi="Arial"/>
          <w:b w:val="0"/>
          <w:i w:val="0"/>
          <w:color w:val="000000"/>
          <w:sz w:val="22"/>
        </w:rPr>
      </w:r>
      <w:r>
        <w:rPr>
          <w:rFonts w:ascii="Arial" w:hAnsi="Arial"/>
          <w:b w:val="0"/>
          <w:i/>
          <w:color w:val="000000"/>
          <w:sz w:val="22"/>
        </w:rPr>
        <w:t>Ключові результати</w:t>
      </w:r>
      <w:r>
        <w:rPr>
          <w:rFonts w:ascii="Arial" w:hAnsi="Arial"/>
          <w:b w:val="0"/>
          <w:i w:val="0"/>
          <w:color w:val="000000"/>
          <w:sz w:val="22"/>
        </w:rPr>
        <w:t>: 30 НПП, що пройшли верифіковане підвищення кваліфікації; 2 навчальних тижні на NTNU; ≥80 днів сукупного викладацького обміну.</w:t>
      </w:r>
    </w:p>
    <w:p>
      <w:pPr>
        <w:spacing w:before="0" w:after="120"/>
      </w:pPr>
      <w:r>
        <w:rPr>
          <w:rFonts w:ascii="Arial" w:hAnsi="Arial"/>
          <w:b w:val="0"/>
          <w:i w:val="0"/>
          <w:color w:val="000000"/>
          <w:sz w:val="22"/>
        </w:rPr>
      </w:r>
      <w:r>
        <w:rPr>
          <w:rFonts w:ascii="Arial" w:hAnsi="Arial"/>
          <w:b/>
          <w:i w:val="0"/>
          <w:color w:val="000000"/>
          <w:sz w:val="22"/>
        </w:rPr>
        <w:t>РП3: Студентська навчальна програма (Роки 2–3)</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Лідер</w:t>
      </w:r>
      <w:r>
        <w:rPr>
          <w:rFonts w:ascii="Arial" w:hAnsi="Arial"/>
          <w:b w:val="0"/>
          <w:i w:val="0"/>
          <w:color w:val="000000"/>
          <w:sz w:val="22"/>
        </w:rPr>
        <w:t>: ЗНУ (спільно з УП2)</w:t>
      </w:r>
    </w:p>
    <w:p>
      <w:pPr>
        <w:spacing w:before="0" w:after="120"/>
      </w:pPr>
      <w:r>
        <w:rPr>
          <w:rFonts w:ascii="Arial" w:hAnsi="Arial"/>
          <w:b w:val="0"/>
          <w:i w:val="0"/>
          <w:color w:val="000000"/>
          <w:sz w:val="22"/>
        </w:rPr>
      </w:r>
      <w:r>
        <w:rPr>
          <w:rFonts w:ascii="Arial" w:hAnsi="Arial"/>
          <w:b w:val="0"/>
          <w:i/>
          <w:color w:val="000000"/>
          <w:sz w:val="22"/>
        </w:rPr>
        <w:t>Завдання та заходи</w:t>
      </w:r>
      <w:r>
        <w:rPr>
          <w:rFonts w:ascii="Arial" w:hAnsi="Arial"/>
          <w:b w:val="0"/>
          <w:i w:val="0"/>
          <w:color w:val="000000"/>
          <w:sz w:val="22"/>
        </w:rPr>
        <w:t>: — М13–М36 (Роки 2–3): Систематичне викладання всіх 5 модулів для щорічних когорт (40 студентів/рік). Методологія: blended learning (50% онлайн синхронно, 30% асинхронно, 20% очна лабораторна практика); problem-based learning із реальними технічними завданнями відновлення; проєктна робота в міждисциплінарних командах (2–4 студенти, обов'язково змішаний склад). — М18–М36: Програма мобільності до NTNU для 10 найкращих студентів (5 бакалаврів, 5 магістрів) строком 4–6 місяців кожен. Стипендія: 250 євро/місяць (бакалавр/магістр) + покриття витрат на проїзд відповідно до норм Державного кадрового управління Норвегії. — М25–М36 (Рік 3): Захист 20 студентських дипломних/магістерських робіт за тематикою проєкту із залученням промислових рецензентів.</w:t>
      </w:r>
    </w:p>
    <w:p>
      <w:pPr>
        <w:spacing w:before="0" w:after="120"/>
      </w:pPr>
      <w:r>
        <w:rPr>
          <w:rFonts w:ascii="Arial" w:hAnsi="Arial"/>
          <w:b w:val="0"/>
          <w:i w:val="0"/>
          <w:color w:val="000000"/>
          <w:sz w:val="22"/>
        </w:rPr>
      </w:r>
      <w:r>
        <w:rPr>
          <w:rFonts w:ascii="Arial" w:hAnsi="Arial"/>
          <w:b w:val="0"/>
          <w:i/>
          <w:color w:val="000000"/>
          <w:sz w:val="22"/>
        </w:rPr>
        <w:t>Ключові результати</w:t>
      </w:r>
      <w:r>
        <w:rPr>
          <w:rFonts w:ascii="Arial" w:hAnsi="Arial"/>
          <w:b w:val="0"/>
          <w:i w:val="0"/>
          <w:color w:val="000000"/>
          <w:sz w:val="22"/>
        </w:rPr>
        <w:t>: 120 студентів, що завершили навчання за оновленими програмами; 10 студентів із досвідом мобільності до NTNU; 20 кваліфікаційних робіт за тематикою відновлення енергетики.</w:t>
      </w:r>
    </w:p>
    <w:p>
      <w:pPr>
        <w:spacing w:before="0" w:after="120"/>
      </w:pPr>
      <w:r>
        <w:rPr>
          <w:rFonts w:ascii="Arial" w:hAnsi="Arial"/>
          <w:b w:val="0"/>
          <w:i w:val="0"/>
          <w:color w:val="000000"/>
          <w:sz w:val="22"/>
        </w:rPr>
      </w:r>
      <w:r>
        <w:rPr>
          <w:rFonts w:ascii="Arial" w:hAnsi="Arial"/>
          <w:b/>
          <w:i w:val="0"/>
          <w:color w:val="000000"/>
          <w:sz w:val="22"/>
        </w:rPr>
        <w:t>РП4: Живі лабораторії та пілотні проєкти (Роки 2–3)</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Лідер</w:t>
      </w:r>
      <w:r>
        <w:rPr>
          <w:rFonts w:ascii="Arial" w:hAnsi="Arial"/>
          <w:b w:val="0"/>
          <w:i w:val="0"/>
          <w:color w:val="000000"/>
          <w:sz w:val="22"/>
        </w:rPr>
        <w:t>: ЗНУ та УП2 (спільна координація)</w:t>
      </w:r>
    </w:p>
    <w:p>
      <w:pPr>
        <w:spacing w:before="0" w:after="120"/>
      </w:pPr>
      <w:r>
        <w:rPr>
          <w:rFonts w:ascii="Arial" w:hAnsi="Arial"/>
          <w:b w:val="0"/>
          <w:i w:val="0"/>
          <w:color w:val="000000"/>
          <w:sz w:val="22"/>
        </w:rPr>
      </w:r>
      <w:r>
        <w:rPr>
          <w:rFonts w:ascii="Arial" w:hAnsi="Arial"/>
          <w:b w:val="0"/>
          <w:i/>
          <w:color w:val="000000"/>
          <w:sz w:val="22"/>
        </w:rPr>
        <w:t>Завдання та заходи</w:t>
      </w:r>
      <w:r>
        <w:rPr>
          <w:rFonts w:ascii="Arial" w:hAnsi="Arial"/>
          <w:b w:val="0"/>
          <w:i w:val="0"/>
          <w:color w:val="000000"/>
          <w:sz w:val="22"/>
        </w:rPr>
        <w:t>: — М13–М18 (Рік 2, квартал 1–2): Технічне проєктування та закупівля обладнання для двох демонстраційних мікромережевих установок (ЗНУ та УП2). Склад установки ЗНУ: розширення існуючої сонячної системи + батарейна система накопичення (BESS, 20–50 кВт·год) + система моніторингу з відкритим протоколом MODBUS/IEC 61850 + інтерфейс управління попитом. Обладнання закупається не пізніше М24 (не пізніше ніж за 12 місяців до завершення проєкту — відповідно до вимог HK-dir). — М19–М30 (Рік 2–3): Функціонування «Живих лабораторій» як навчально-дослідницьких стендів: щосеместрово 2 студентські проєктні групи (8–10 осіб) розробляють реальні сценарії оптимізації роботи мікромережі (режим «острова», повернення до мережі, реакція на аварійні відключення). Результати кожної групи оцінюються спільно норвезькими та українськими викладачами. — М19–М30: Два спільних воркшопи із промисловими партнерами (ПрАТ «Запоріжжяобленерго», Укренерго), де студентські команди представляють технічні рішення; провідні фахівці галузі виступають як критичні рецензенти та потенційні роботодавці.</w:t>
      </w:r>
    </w:p>
    <w:p>
      <w:pPr>
        <w:spacing w:before="0" w:after="120"/>
      </w:pPr>
      <w:r>
        <w:rPr>
          <w:rFonts w:ascii="Arial" w:hAnsi="Arial"/>
          <w:b w:val="0"/>
          <w:i w:val="0"/>
          <w:color w:val="000000"/>
          <w:sz w:val="22"/>
        </w:rPr>
      </w:r>
      <w:r>
        <w:rPr>
          <w:rFonts w:ascii="Arial" w:hAnsi="Arial"/>
          <w:b w:val="0"/>
          <w:i/>
          <w:color w:val="000000"/>
          <w:sz w:val="22"/>
        </w:rPr>
        <w:t>Ключові результати</w:t>
      </w:r>
      <w:r>
        <w:rPr>
          <w:rFonts w:ascii="Arial" w:hAnsi="Arial"/>
          <w:b w:val="0"/>
          <w:i w:val="0"/>
          <w:color w:val="000000"/>
          <w:sz w:val="22"/>
        </w:rPr>
        <w:t>: 2 функціональні мікромережеві установки; ≥4 студентські пілотні проєкти на реальних даних; ≥2 промислових воркшопи.</w:t>
      </w:r>
    </w:p>
    <w:p>
      <w:pPr>
        <w:spacing w:before="0" w:after="120"/>
      </w:pPr>
      <w:r>
        <w:rPr>
          <w:rFonts w:ascii="Arial" w:hAnsi="Arial"/>
          <w:b w:val="0"/>
          <w:i w:val="0"/>
          <w:color w:val="000000"/>
          <w:sz w:val="22"/>
        </w:rPr>
      </w:r>
      <w:r>
        <w:rPr>
          <w:rFonts w:ascii="Arial" w:hAnsi="Arial"/>
          <w:b/>
          <w:i w:val="0"/>
          <w:color w:val="000000"/>
          <w:sz w:val="22"/>
        </w:rPr>
        <w:t>РП5: Дисемінація та забезпечення стійкості (Роки 1–3)</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Лідер</w:t>
      </w:r>
      <w:r>
        <w:rPr>
          <w:rFonts w:ascii="Arial" w:hAnsi="Arial"/>
          <w:b w:val="0"/>
          <w:i w:val="0"/>
          <w:color w:val="000000"/>
          <w:sz w:val="22"/>
        </w:rPr>
        <w:t>: ЗНУ (координація дисемінації); NTNU (міжнародна наукова комунікація)</w:t>
      </w:r>
    </w:p>
    <w:p>
      <w:pPr>
        <w:spacing w:before="0" w:after="120"/>
      </w:pPr>
      <w:r>
        <w:rPr>
          <w:rFonts w:ascii="Arial" w:hAnsi="Arial"/>
          <w:b w:val="0"/>
          <w:i w:val="0"/>
          <w:color w:val="000000"/>
          <w:sz w:val="22"/>
        </w:rPr>
      </w:r>
      <w:r>
        <w:rPr>
          <w:rFonts w:ascii="Arial" w:hAnsi="Arial"/>
          <w:b w:val="0"/>
          <w:i/>
          <w:color w:val="000000"/>
          <w:sz w:val="22"/>
        </w:rPr>
        <w:t>Завдання та заходи</w:t>
      </w:r>
      <w:r>
        <w:rPr>
          <w:rFonts w:ascii="Arial" w:hAnsi="Arial"/>
          <w:b w:val="0"/>
          <w:i w:val="0"/>
          <w:color w:val="000000"/>
          <w:sz w:val="22"/>
        </w:rPr>
        <w:t xml:space="preserve">: — М1–М36 (наскрізно): Ведення проєктного вебсайту на трьох мовах (українська, норвезька, англійська) з відкритим репозиторієм навчальних матеріалів. Публікація щорічних звітів про прогрес. — М12, М24, М36: Проведення трьох відкритих онлайн-конференцій для українського академічного та промислового співтовариства з представленням результатів проєкту. — М18–М36: Публікація ≥5 рецензованих статей у фахових виданнях з тематики навчальних інновацій та енергетичної інженерії (цільові видання: </w:t>
      </w:r>
      <w:r>
        <w:rPr>
          <w:rFonts w:ascii="Arial" w:hAnsi="Arial"/>
          <w:b w:val="0"/>
          <w:i/>
          <w:color w:val="000000"/>
          <w:sz w:val="22"/>
        </w:rPr>
        <w:t>European Journal of Engineering Education</w:t>
      </w:r>
      <w:r>
        <w:rPr>
          <w:rFonts w:ascii="Arial" w:hAnsi="Arial"/>
          <w:b w:val="0"/>
          <w:i w:val="0"/>
          <w:color w:val="000000"/>
          <w:sz w:val="22"/>
        </w:rPr>
        <w:t xml:space="preserve">, </w:t>
      </w:r>
      <w:r>
        <w:rPr>
          <w:rFonts w:ascii="Arial" w:hAnsi="Arial"/>
          <w:b w:val="0"/>
          <w:i/>
          <w:color w:val="000000"/>
          <w:sz w:val="22"/>
        </w:rPr>
        <w:t>Energy for Sustainable Development</w:t>
      </w:r>
      <w:r>
        <w:rPr>
          <w:rFonts w:ascii="Arial" w:hAnsi="Arial"/>
          <w:b w:val="0"/>
          <w:i w:val="0"/>
          <w:color w:val="000000"/>
          <w:sz w:val="22"/>
        </w:rPr>
        <w:t>). — М30–М36: Розробка «Посібника з реплікації» (Replication Toolkit) для інших українських ЗВО — методичні рекомендації з впровадження аналогічних програм, розширеної зокрема до університетів у Харкові, Одесі та Дніпрі.</w:t>
      </w:r>
    </w:p>
    <w:p>
      <w:pPr>
        <w:spacing w:before="0" w:after="120"/>
      </w:pPr>
      <w:r>
        <w:rPr>
          <w:rFonts w:ascii="Arial" w:hAnsi="Arial"/>
          <w:b w:val="0"/>
          <w:i w:val="0"/>
          <w:color w:val="000000"/>
          <w:sz w:val="22"/>
        </w:rPr>
      </w:r>
      <w:r>
        <w:rPr>
          <w:rFonts w:ascii="Arial" w:hAnsi="Arial"/>
          <w:b w:val="0"/>
          <w:i/>
          <w:color w:val="000000"/>
          <w:sz w:val="22"/>
        </w:rPr>
        <w:t>Ключові результати</w:t>
      </w:r>
      <w:r>
        <w:rPr>
          <w:rFonts w:ascii="Arial" w:hAnsi="Arial"/>
          <w:b w:val="0"/>
          <w:i w:val="0"/>
          <w:color w:val="000000"/>
          <w:sz w:val="22"/>
        </w:rPr>
        <w:t>: ≥3 OER; ≥5 публікацій; 3 конференції; 1 посібник з реплікації.</w:t>
      </w:r>
    </w:p>
    <w:p>
      <w:pPr>
        <w:spacing w:before="0" w:after="120"/>
      </w:pPr>
      <w:r>
        <w:rPr>
          <w:rFonts w:ascii="Arial" w:hAnsi="Arial"/>
          <w:b w:val="0"/>
          <w:i w:val="0"/>
          <w:color w:val="000000"/>
          <w:sz w:val="22"/>
        </w:rPr>
      </w:r>
      <w:r>
        <w:rPr>
          <w:rFonts w:ascii="Arial" w:hAnsi="Arial"/>
          <w:b/>
          <w:i w:val="0"/>
          <w:color w:val="000000"/>
          <w:sz w:val="22"/>
        </w:rPr>
        <w:t>Зведена таблиця часових рамок (Ганта)</w:t>
      </w:r>
      <w:r>
        <w:rPr>
          <w:rFonts w:ascii="Arial" w:hAnsi="Arial"/>
          <w:b w:val="0"/>
          <w:i w:val="0"/>
          <w:color w:val="000000"/>
          <w:sz w:val="22"/>
        </w:rPr>
        <w:t>:</w:t>
      </w:r>
    </w:p>
    <w:p>
      <w:pPr>
        <w:spacing w:before="0" w:after="80"/>
      </w:pPr>
      <w:r>
        <w:rPr>
          <w:rFonts w:ascii="Arial" w:hAnsi="Arial"/>
          <w:b w:val="0"/>
          <w:i w:val="0"/>
          <w:color w:val="000000"/>
          <w:sz w:val="22"/>
        </w:rPr>
        <w:t>РП</w:t>
        <w:tab/>
        <w:t>Рік 1 (М1–М12)</w:t>
        <w:tab/>
        <w:t>Рік 2 (М13–М24)</w:t>
        <w:tab/>
        <w:t>Рік 3 (М25–М36)</w:t>
      </w:r>
    </w:p>
    <w:p>
      <w:pPr>
        <w:spacing w:before="0" w:after="80"/>
      </w:pPr>
      <w:r>
        <w:rPr>
          <w:rFonts w:ascii="Arial" w:hAnsi="Arial"/>
          <w:b w:val="0"/>
          <w:i w:val="0"/>
          <w:color w:val="000000"/>
          <w:sz w:val="22"/>
        </w:rPr>
        <w:t>РП1 Навчальні програми</w:t>
        <w:tab/>
        <w:t>Аудит, розробка</w:t>
        <w:tab/>
        <w:t>Пілот, акредитація</w:t>
        <w:tab/>
        <w:t>Повне впровадження</w:t>
      </w:r>
    </w:p>
    <w:p>
      <w:pPr>
        <w:spacing w:before="0" w:after="80"/>
      </w:pPr>
      <w:r>
        <w:rPr>
          <w:rFonts w:ascii="Arial" w:hAnsi="Arial"/>
          <w:b w:val="0"/>
          <w:i w:val="0"/>
          <w:color w:val="000000"/>
          <w:sz w:val="22"/>
        </w:rPr>
        <w:t>РП2 Підвищення кваліфікації</w:t>
        <w:tab/>
        <w:t>Інтенсив NTNU, онлайн-цикл</w:t>
        <w:tab/>
        <w:t>Зворотні візити</w:t>
        <w:tab/>
        <w:t>Наставництво</w:t>
      </w:r>
    </w:p>
    <w:p>
      <w:pPr>
        <w:spacing w:before="0" w:after="80"/>
      </w:pPr>
      <w:r>
        <w:rPr>
          <w:rFonts w:ascii="Arial" w:hAnsi="Arial"/>
          <w:b w:val="0"/>
          <w:i w:val="0"/>
          <w:color w:val="000000"/>
          <w:sz w:val="22"/>
        </w:rPr>
        <w:t>РП3 Студентська програма</w:t>
        <w:tab/>
        <w:t>Підготовка</w:t>
        <w:tab/>
        <w:t>Когорта 1 (40 ст.)</w:t>
        <w:tab/>
        <w:t>Когорта 2 (80 ст.)</w:t>
      </w:r>
    </w:p>
    <w:p>
      <w:pPr>
        <w:spacing w:before="0" w:after="80"/>
      </w:pPr>
      <w:r>
        <w:rPr>
          <w:rFonts w:ascii="Arial" w:hAnsi="Arial"/>
          <w:b w:val="0"/>
          <w:i w:val="0"/>
          <w:color w:val="000000"/>
          <w:sz w:val="22"/>
        </w:rPr>
        <w:t>РП4 Живі лабораторії</w:t>
        <w:tab/>
        <w:t>—</w:t>
        <w:tab/>
        <w:t>Закупівля, запуск</w:t>
        <w:tab/>
        <w:t>Пілоти, воркшопи</w:t>
      </w:r>
    </w:p>
    <w:p>
      <w:pPr>
        <w:spacing w:before="0" w:after="80"/>
      </w:pPr>
      <w:r>
        <w:rPr>
          <w:rFonts w:ascii="Arial" w:hAnsi="Arial"/>
          <w:b w:val="0"/>
          <w:i w:val="0"/>
          <w:color w:val="000000"/>
          <w:sz w:val="22"/>
        </w:rPr>
        <w:t>РП5 Дисемінація</w:t>
        <w:tab/>
        <w:t>Вебсайт, конф. 1</w:t>
        <w:tab/>
        <w:t>Публікації, конф. 2</w:t>
        <w:tab/>
        <w:t>Тулкіт, конф. 3</w:t>
      </w:r>
    </w:p>
    <w:p w14:paraId="621A9D5B" w14:textId="77777777" w:rsidR="000233C9" w:rsidRPr="003462FB" w:rsidRDefault="000233C9" w:rsidP="000233C9">
      <w:pPr>
        <w:pStyle w:val="Ingenmellomrom"/>
      </w:pPr>
    </w:p>
    <w:p w14:paraId="3213A3F2" w14:textId="77777777" w:rsidR="000233C9" w:rsidRPr="003462FB" w:rsidRDefault="000233C9" w:rsidP="000233C9">
      <w:pPr>
        <w:pStyle w:val="Ingenmellomrom"/>
      </w:pPr>
    </w:p>
    <w:p w14:paraId="3685465E" w14:textId="77777777" w:rsidR="000233C9" w:rsidRPr="003462FB" w:rsidRDefault="000233C9" w:rsidP="000233C9">
      <w:pPr>
        <w:pStyle w:val="Ingenmellomrom"/>
      </w:pPr>
    </w:p>
    <w:p w14:paraId="31E95A9E" w14:textId="77777777" w:rsidR="000233C9" w:rsidRPr="003462FB" w:rsidRDefault="000233C9" w:rsidP="000233C9">
      <w:pPr>
        <w:pStyle w:val="Ingenmellomrom"/>
        <w:rPr>
          <w:b/>
          <w:bCs/>
        </w:rPr>
      </w:pPr>
      <w:r w:rsidRPr="003462FB">
        <w:rPr>
          <w:b/>
          <w:bCs/>
        </w:rPr>
        <w:t>2.2</w:t>
      </w:r>
      <w:r w:rsidRPr="003462FB">
        <w:rPr>
          <w:b/>
          <w:bCs/>
        </w:rPr>
        <w:tab/>
        <w:t>Risk factors in the project and measures to reduce them</w:t>
      </w:r>
    </w:p>
    <w:p w14:paraId="60462A66" w14:textId="77777777" w:rsidR="000233C9" w:rsidRPr="003462FB" w:rsidRDefault="000233C9" w:rsidP="000233C9">
      <w:pPr>
        <w:pStyle w:val="Ingenmellomrom"/>
      </w:pPr>
    </w:p>
    <w:p w14:paraId="1084F9B9" w14:textId="77777777" w:rsidR="000233C9" w:rsidRPr="003462FB" w:rsidRDefault="000233C9" w:rsidP="000233C9">
      <w:pPr>
        <w:pStyle w:val="Ingenmellomrom"/>
      </w:pPr>
    </w:p>
    <w:p w14:paraId="586CE14F" w14:textId="7CDDE6A1"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2.2 Ризики та заходи їх мінімізації</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Ризик 1: Безпека — прифронтова зона</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Рівень</w:t>
      </w:r>
      <w:r>
        <w:rPr>
          <w:rFonts w:ascii="Arial" w:hAnsi="Arial"/>
          <w:b w:val="0"/>
          <w:i w:val="0"/>
          <w:color w:val="000000"/>
          <w:sz w:val="22"/>
        </w:rPr>
        <w:t>: КРИТИЧНИЙ. Запоріжжя є прифронтовим містом із систематичними ракетними і дроновими атаками. Проведення очних занять, обміни персоналу та фізична закупівля й експлуатація обладнання пов'язані з реальними ризиками для учасників.</w:t>
      </w:r>
    </w:p>
    <w:p>
      <w:pPr>
        <w:spacing w:before="0" w:after="120"/>
      </w:pPr>
      <w:r>
        <w:rPr>
          <w:rFonts w:ascii="Arial" w:hAnsi="Arial"/>
          <w:b w:val="0"/>
          <w:i w:val="0"/>
          <w:color w:val="000000"/>
          <w:sz w:val="22"/>
        </w:rPr>
      </w:r>
      <w:r>
        <w:rPr>
          <w:rFonts w:ascii="Arial" w:hAnsi="Arial"/>
          <w:b w:val="0"/>
          <w:i/>
          <w:color w:val="000000"/>
          <w:sz w:val="22"/>
        </w:rPr>
        <w:t>Заходи мінімізації</w:t>
      </w:r>
      <w:r>
        <w:rPr>
          <w:rFonts w:ascii="Arial" w:hAnsi="Arial"/>
          <w:b w:val="0"/>
          <w:i w:val="0"/>
          <w:color w:val="000000"/>
          <w:sz w:val="22"/>
        </w:rPr>
        <w:t>: (1) Усі 5 навчальних модулів спроєктовані за принципом «online-first» з можливістю повного переходу у дистанційний формат протягом 24 год без втрати якості навчання. (2) Усі очні заходи на базі ЗНУ та УП2 проводяться з дотриманням протоколів цивільного захисту; приміщення обладнані бомбосховищами. (3) Фізичні обміни до NTNU відбуваються у форматі груп не більше 5 осіб; маршрути евакуації із країни документуються перед кожним виїздом. (4) NTNU призначає офіцера безпеки, відповідального за щотижневий моніторинг обстановки та актуалізацію протоколів. (5) Усі ключові навчальні матеріали зберігаються у хмарній інфраструктурі Microsoft Azure (вже розгорнутій у ЗНУ) — поза межами України. (6) Заходи не можуть відбуватись у безпосередньо окупованих районах; у разі евакуації ЗНУ проєкт переноситься на резервний майданчик (вже визначений — Черкаси або Дніпро) відповідно до плану безперервності діяльності.</w:t>
      </w:r>
    </w:p>
    <w:p>
      <w:pPr>
        <w:spacing w:before="0" w:after="120"/>
      </w:pPr>
      <w:r>
        <w:rPr>
          <w:rFonts w:ascii="Arial" w:hAnsi="Arial"/>
          <w:b w:val="0"/>
          <w:i w:val="0"/>
          <w:color w:val="000000"/>
          <w:sz w:val="22"/>
        </w:rPr>
      </w:r>
      <w:r>
        <w:rPr>
          <w:rFonts w:ascii="Arial" w:hAnsi="Arial"/>
          <w:b/>
          <w:i w:val="0"/>
          <w:color w:val="000000"/>
          <w:sz w:val="22"/>
        </w:rPr>
        <w:t>Ризик 2: Корупція та доброчесність</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Рівень</w:t>
      </w:r>
      <w:r>
        <w:rPr>
          <w:rFonts w:ascii="Arial" w:hAnsi="Arial"/>
          <w:b w:val="0"/>
          <w:i w:val="0"/>
          <w:color w:val="000000"/>
          <w:sz w:val="22"/>
        </w:rPr>
        <w:t>: СЕРЕДНІЙ-ВИСОКИЙ. Індекс сприйняття корупції України у 2023 році склав 36/100 (Transparency International) [8], що є нижчим за граничне значення 69, визначене HK-dir, і вимагає обов'язкового впровадження превентивних заходів.</w:t>
      </w:r>
    </w:p>
    <w:p>
      <w:pPr>
        <w:spacing w:before="0" w:after="120"/>
      </w:pPr>
      <w:r>
        <w:rPr>
          <w:rFonts w:ascii="Arial" w:hAnsi="Arial"/>
          <w:b w:val="0"/>
          <w:i w:val="0"/>
          <w:color w:val="000000"/>
          <w:sz w:val="22"/>
        </w:rPr>
      </w:r>
      <w:r>
        <w:rPr>
          <w:rFonts w:ascii="Arial" w:hAnsi="Arial"/>
          <w:b w:val="0"/>
          <w:i/>
          <w:color w:val="000000"/>
          <w:sz w:val="22"/>
        </w:rPr>
        <w:t>Заходи мінімізації</w:t>
      </w:r>
      <w:r>
        <w:rPr>
          <w:rFonts w:ascii="Arial" w:hAnsi="Arial"/>
          <w:b w:val="0"/>
          <w:i w:val="0"/>
          <w:color w:val="000000"/>
          <w:sz w:val="22"/>
        </w:rPr>
        <w:t>: (1) Усі фінансові операції з боку ЗНУ та УП2 підлягають аудиту відповідно до норм NTNU та вимог HK-dir: NTNU ведуть майстер-рахунок, а субгранти перераховуються щоквартально на основі підтверджених витрат, що супроводжуються документацією (рахунки-фактури, табелі обліку робочого часу, звіти про відрядження). (2) Закупівля обладнання здійснюється виключно через верифіковані тендерні процедури відповідно до норм NTNU та законодавства України про публічні закупівлі (ProZorro); всі контракти розміщуються у публічному доступі. (3) Конфлікт інтересів: усі члени Керівного комітету підписують щорічну декларацію про відсутність конфлікту інтересів; рішення щодо закупівель потребують підписів двох уповноважених осіб. (4) Стипендії студентам виплачуються безпосередньо на особові рахунки студентів — спільно уповноваженими представниками NTNU та відповідного українського партнера, — виключаючи будь-яких посередників. (5) Не рідше одного разу на рік NTNU проводить навчальний семінар із доброчесності для всього персоналу проєкту. (6) Встановлено конфіденційний канал для повідомлення про порушення (whistleblowing channel) відповідно до норм NTNU.</w:t>
      </w:r>
    </w:p>
    <w:p>
      <w:pPr>
        <w:spacing w:before="0" w:after="120"/>
      </w:pPr>
      <w:r>
        <w:rPr>
          <w:rFonts w:ascii="Arial" w:hAnsi="Arial"/>
          <w:b w:val="0"/>
          <w:i w:val="0"/>
          <w:color w:val="000000"/>
          <w:sz w:val="22"/>
        </w:rPr>
      </w:r>
      <w:r>
        <w:rPr>
          <w:rFonts w:ascii="Arial" w:hAnsi="Arial"/>
          <w:b/>
          <w:i w:val="0"/>
          <w:color w:val="000000"/>
          <w:sz w:val="22"/>
        </w:rPr>
        <w:t>Ризик 3: Кліматичний та екологічний вплив</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Рівень</w:t>
      </w:r>
      <w:r>
        <w:rPr>
          <w:rFonts w:ascii="Arial" w:hAnsi="Arial"/>
          <w:b w:val="0"/>
          <w:i w:val="0"/>
          <w:color w:val="000000"/>
          <w:sz w:val="22"/>
        </w:rPr>
        <w:t>: НИЗЬКИЙ-СЕРЕДНІЙ. Авіаперельоти, пов'язані з мобільністю, є основним джерелом вуглецевого сліду проєкту.</w:t>
      </w:r>
    </w:p>
    <w:p>
      <w:pPr>
        <w:spacing w:before="0" w:after="120"/>
      </w:pPr>
      <w:r>
        <w:rPr>
          <w:rFonts w:ascii="Arial" w:hAnsi="Arial"/>
          <w:b w:val="0"/>
          <w:i w:val="0"/>
          <w:color w:val="000000"/>
          <w:sz w:val="22"/>
        </w:rPr>
      </w:r>
      <w:r>
        <w:rPr>
          <w:rFonts w:ascii="Arial" w:hAnsi="Arial"/>
          <w:b w:val="0"/>
          <w:i/>
          <w:color w:val="000000"/>
          <w:sz w:val="22"/>
        </w:rPr>
        <w:t>Заходи мінімізації</w:t>
      </w:r>
      <w:r>
        <w:rPr>
          <w:rFonts w:ascii="Arial" w:hAnsi="Arial"/>
          <w:b w:val="0"/>
          <w:i w:val="0"/>
          <w:color w:val="000000"/>
          <w:sz w:val="22"/>
        </w:rPr>
        <w:t>: (1) Усі регулярні зустрічі Керівного комітету та координаційні наради відбуваються у форматі відеоконференцій (Zoom/Teams); очні зустрічі — не частіше двох разів на рік, суміщаючись з іншими заходами (конференції, виїзні семінари). (2) При організації подорожей до NTNU та з нього надається перевага залізничному транспорту на ділянках, де це можливо. (3) Вуглецевий слід усіх запланованих авіаперельотів компенсується через верифіковану програму Gold Standard carbon offset. (4) Сам проєкт за своєю тематикою спрямований на зменшення вуглецевого сліду енергетики України: інтеграція відновлюваних джерел та впровадження ефективного управління попитом безпосередньо знижує залежність від викопного палива — таким чином, довгостроковий екологічний вплив проєкту є значно позитивним. (5) Обладнання «Живих лабораторій» закуповується у виробників із верифікованими ESG-рейтингами; пріоритет надається продукції з мінімальним вуглецевим слідом виробництва.</w:t>
      </w:r>
    </w:p>
    <w:p>
      <w:pPr>
        <w:spacing w:before="0" w:after="120"/>
      </w:pPr>
      <w:r>
        <w:rPr>
          <w:rFonts w:ascii="Arial" w:hAnsi="Arial"/>
          <w:b w:val="0"/>
          <w:i w:val="0"/>
          <w:color w:val="000000"/>
          <w:sz w:val="22"/>
        </w:rPr>
      </w:r>
      <w:r>
        <w:rPr>
          <w:rFonts w:ascii="Arial" w:hAnsi="Arial"/>
          <w:b/>
          <w:i w:val="0"/>
          <w:color w:val="000000"/>
          <w:sz w:val="22"/>
        </w:rPr>
        <w:t>Ризик 4: Гендерна рівність</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Рівень</w:t>
      </w:r>
      <w:r>
        <w:rPr>
          <w:rFonts w:ascii="Arial" w:hAnsi="Arial"/>
          <w:b w:val="0"/>
          <w:i w:val="0"/>
          <w:color w:val="000000"/>
          <w:sz w:val="22"/>
        </w:rPr>
        <w:t>: СЕРЕДНІЙ. Технічні енергетичні спеціальності традиційно характеризуються низьким представництвом жінок в Україні (15–22% студенток за спеціальністю 141 за даними МОН України).</w:t>
      </w:r>
    </w:p>
    <w:p>
      <w:pPr>
        <w:spacing w:before="0" w:after="120"/>
      </w:pPr>
      <w:r>
        <w:rPr>
          <w:rFonts w:ascii="Arial" w:hAnsi="Arial"/>
          <w:b w:val="0"/>
          <w:i w:val="0"/>
          <w:color w:val="000000"/>
          <w:sz w:val="22"/>
        </w:rPr>
      </w:r>
      <w:r>
        <w:rPr>
          <w:rFonts w:ascii="Arial" w:hAnsi="Arial"/>
          <w:b w:val="0"/>
          <w:i/>
          <w:color w:val="000000"/>
          <w:sz w:val="22"/>
        </w:rPr>
        <w:t>Заходи мінімізації</w:t>
      </w:r>
      <w:r>
        <w:rPr>
          <w:rFonts w:ascii="Arial" w:hAnsi="Arial"/>
          <w:b w:val="0"/>
          <w:i w:val="0"/>
          <w:color w:val="000000"/>
          <w:sz w:val="22"/>
        </w:rPr>
        <w:t>: (1) Цільовий показник гендерного балансу — не менше 40% жінок серед студентів, що навчаються за програмами проєкту; відповідна умова включена до угод про партнерство з ЗНУ та УП2. (2) Серед 10 стипендіатів програми мобільності до NTNU — щонайменше 4 жінки; у разі недосягнення квоти оголошується додатковий конкурс. (3) Склад Керівного комітету формується з дотриманням принципу ≥40% представництва кожної статі. (4) Навчальні матеріали проходять гендерний аудит (перевірка на наявність стереотипних ілюстрацій, прикладів, мовних конструкцій); до аудиту залучається гендерний радник NTNU. (5) Наставницьке партнерство — кожна студентка-учасниця отримує наставника/наставницю серед НПП.</w:t>
      </w:r>
    </w:p>
    <w:p>
      <w:pPr>
        <w:spacing w:before="0" w:after="120"/>
      </w:pPr>
      <w:r>
        <w:rPr>
          <w:rFonts w:ascii="Arial" w:hAnsi="Arial"/>
          <w:b w:val="0"/>
          <w:i w:val="0"/>
          <w:color w:val="000000"/>
          <w:sz w:val="22"/>
        </w:rPr>
      </w:r>
      <w:r>
        <w:rPr>
          <w:rFonts w:ascii="Arial" w:hAnsi="Arial"/>
          <w:b/>
          <w:i w:val="0"/>
          <w:color w:val="000000"/>
          <w:sz w:val="22"/>
        </w:rPr>
        <w:t>Ризик 5: Права людини</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Рівень</w:t>
      </w:r>
      <w:r>
        <w:rPr>
          <w:rFonts w:ascii="Arial" w:hAnsi="Arial"/>
          <w:b w:val="0"/>
          <w:i w:val="0"/>
          <w:color w:val="000000"/>
          <w:sz w:val="22"/>
        </w:rPr>
        <w:t>: СЕРЕДНІЙ. Переміщені особи та студенти з тимчасово окупованих районів можуть зіткнутися з бар'єрами доступу.</w:t>
      </w:r>
    </w:p>
    <w:p>
      <w:pPr>
        <w:spacing w:before="0" w:after="120"/>
      </w:pPr>
      <w:r>
        <w:rPr>
          <w:rFonts w:ascii="Arial" w:hAnsi="Arial"/>
          <w:b w:val="0"/>
          <w:i w:val="0"/>
          <w:color w:val="000000"/>
          <w:sz w:val="22"/>
        </w:rPr>
      </w:r>
      <w:r>
        <w:rPr>
          <w:rFonts w:ascii="Arial" w:hAnsi="Arial"/>
          <w:b w:val="0"/>
          <w:i/>
          <w:color w:val="000000"/>
          <w:sz w:val="22"/>
        </w:rPr>
        <w:t>Заходи мінімізації</w:t>
      </w:r>
      <w:r>
        <w:rPr>
          <w:rFonts w:ascii="Arial" w:hAnsi="Arial"/>
          <w:b w:val="0"/>
          <w:i w:val="0"/>
          <w:color w:val="000000"/>
          <w:sz w:val="22"/>
        </w:rPr>
        <w:t>: (1) Програма навчання є відкритою для всіх студентів незалежно від регіону походження; онлайн-формат знімає бар'єр фізичного переміщення. (2) Стипендіальна програма надає пріоритет внутрішньо переміщеним особам (ВПО) і студентам із постраждалих регіонів — відповідна умова включена до правил відбору. (3) Проєкт не передбачає заходів, що могли б обмежувати академічну свободу або зумовлювати будь-яку форму дискримінації за ознакою місця проживання, переконань або особового статусу. (4) Щорічний огляд з прав людини проводиться Керівним комітетом на основі матриці показників.</w:t>
      </w:r>
    </w:p>
    <w:p>
      <w:pPr>
        <w:spacing w:before="0" w:after="120"/>
      </w:pPr>
      <w:r>
        <w:rPr>
          <w:rFonts w:ascii="Arial" w:hAnsi="Arial"/>
          <w:b w:val="0"/>
          <w:i w:val="0"/>
          <w:color w:val="000000"/>
          <w:sz w:val="22"/>
        </w:rPr>
      </w:r>
      <w:r>
        <w:rPr>
          <w:rFonts w:ascii="Arial" w:hAnsi="Arial"/>
          <w:b/>
          <w:i w:val="0"/>
          <w:color w:val="000000"/>
          <w:sz w:val="22"/>
        </w:rPr>
        <w:t>Ризик 6: Сексуальна експлуатація, насильство та домагання (SEAH)</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Рівень</w:t>
      </w:r>
      <w:r>
        <w:rPr>
          <w:rFonts w:ascii="Arial" w:hAnsi="Arial"/>
          <w:b w:val="0"/>
          <w:i w:val="0"/>
          <w:color w:val="000000"/>
          <w:sz w:val="22"/>
        </w:rPr>
        <w:t>: СЕРЕДНІЙ. Ситуації мобільності, де молоді люди перебувають далеко від звичного середовища, підвищують вразливість.</w:t>
      </w:r>
    </w:p>
    <w:p>
      <w:pPr>
        <w:spacing w:before="0" w:after="120"/>
      </w:pPr>
      <w:r>
        <w:rPr>
          <w:rFonts w:ascii="Arial" w:hAnsi="Arial"/>
          <w:b w:val="0"/>
          <w:i w:val="0"/>
          <w:color w:val="000000"/>
          <w:sz w:val="22"/>
        </w:rPr>
      </w:r>
      <w:r>
        <w:rPr>
          <w:rFonts w:ascii="Arial" w:hAnsi="Arial"/>
          <w:b w:val="0"/>
          <w:i/>
          <w:color w:val="000000"/>
          <w:sz w:val="22"/>
        </w:rPr>
        <w:t>Заходи мінімізації</w:t>
      </w:r>
      <w:r>
        <w:rPr>
          <w:rFonts w:ascii="Arial" w:hAnsi="Arial"/>
          <w:b w:val="0"/>
          <w:i w:val="0"/>
          <w:color w:val="000000"/>
          <w:sz w:val="22"/>
        </w:rPr>
        <w:t>: (1) Для проєкту розроблено окрему Політику запобігання SEAH, засновану на чинних інституційних політиках NTNU та нормах HK-dir, яка поширюється на весь персонал і студентів-учасників. (2) Перед кожним обміном проводиться обов'язковий онлайн-інструктаж (2 год.) для всіх студентів і НПП, що виїжджають. (3) Призначено незалежного контактного офіцера з питань SEAH (особа, не пов'язана з прямим академічним керівництвом) — окремо від NTNU та від кожного українського партнера. (4) Встановлено анонімний конфіденційний канал зв'язку для повідомлення про інциденти; обробка звернень здійснюється протягом 72 годин. (5) Щорічна звітність до HK-dir включає розділ про стан виконання Політики SEAH.</w:t>
      </w:r>
    </w:p>
    <w:p>
      <w:pPr>
        <w:spacing w:before="0" w:after="120"/>
      </w:pPr>
      <w:r>
        <w:rPr>
          <w:rFonts w:ascii="Arial" w:hAnsi="Arial"/>
          <w:b w:val="0"/>
          <w:i w:val="0"/>
          <w:color w:val="000000"/>
          <w:sz w:val="22"/>
        </w:rPr>
      </w:r>
      <w:r>
        <w:rPr>
          <w:rFonts w:ascii="Arial" w:hAnsi="Arial"/>
          <w:b/>
          <w:i w:val="0"/>
          <w:color w:val="000000"/>
          <w:sz w:val="22"/>
        </w:rPr>
        <w:t>Ризик 7: Захист даних та ІТ-безпека</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Рівень</w:t>
      </w:r>
      <w:r>
        <w:rPr>
          <w:rFonts w:ascii="Arial" w:hAnsi="Arial"/>
          <w:b w:val="0"/>
          <w:i w:val="0"/>
          <w:color w:val="000000"/>
          <w:sz w:val="22"/>
        </w:rPr>
        <w:t>: СЕРЕДНІЙ-ВИСОКИЙ у зв'язку з веденням бойових дій і підвищеним ризиком кібератак.</w:t>
      </w:r>
    </w:p>
    <w:p>
      <w:pPr>
        <w:spacing w:before="0" w:after="120"/>
      </w:pPr>
      <w:r>
        <w:rPr>
          <w:rFonts w:ascii="Arial" w:hAnsi="Arial"/>
          <w:b w:val="0"/>
          <w:i w:val="0"/>
          <w:color w:val="000000"/>
          <w:sz w:val="22"/>
        </w:rPr>
      </w:r>
      <w:r>
        <w:rPr>
          <w:rFonts w:ascii="Arial" w:hAnsi="Arial"/>
          <w:b w:val="0"/>
          <w:i/>
          <w:color w:val="000000"/>
          <w:sz w:val="22"/>
        </w:rPr>
        <w:t>Заходи мінімізації</w:t>
      </w:r>
      <w:r>
        <w:rPr>
          <w:rFonts w:ascii="Arial" w:hAnsi="Arial"/>
          <w:b w:val="0"/>
          <w:i w:val="0"/>
          <w:color w:val="000000"/>
          <w:sz w:val="22"/>
        </w:rPr>
        <w:t>: (1) Усі навчальні матеріали, персональні дані студентів і фінансова документація зберігаються виключно на сертифікованій хмарній платформі (Microsoft Azure EU-region), що вже розгорнута в ЗНУ. (2) Доступ до проєктних ресурсів — за принципом двофакторної аутентифікації. (3) Персональні дані студентів обробляються відповідно до GDPR та українського законодавства про захист персональних даних; укладено угоду про обробку даних між NTNU та партнерами. (4) Щорічний аудит кібербезпеки проводиться фахівцями ІТ-служби NTNU.</w:t>
      </w:r>
    </w:p>
    <w:p>
      <w:pPr>
        <w:spacing w:before="0" w:after="120"/>
      </w:pPr>
      <w:r>
        <w:rPr>
          <w:rFonts w:ascii="Arial" w:hAnsi="Arial"/>
          <w:b w:val="0"/>
          <w:i w:val="0"/>
          <w:color w:val="000000"/>
          <w:sz w:val="22"/>
        </w:rPr>
      </w:r>
      <w:r>
        <w:rPr>
          <w:rFonts w:ascii="Arial" w:hAnsi="Arial"/>
          <w:b/>
          <w:i w:val="0"/>
          <w:color w:val="000000"/>
          <w:sz w:val="22"/>
        </w:rPr>
        <w:t>Ризик 8: Контроль за експортом та подвійне використання</w:t>
      </w:r>
      <w:r>
        <w:rPr>
          <w:rFonts w:ascii="Arial" w:hAnsi="Arial"/>
          <w:b w:val="0"/>
          <w:i w:val="0"/>
          <w:color w:val="000000"/>
          <w:sz w:val="22"/>
        </w:rPr>
      </w:r>
    </w:p>
    <w:p>
      <w:pPr>
        <w:spacing w:before="0" w:after="120"/>
      </w:pPr>
      <w:r>
        <w:rPr>
          <w:rFonts w:ascii="Arial" w:hAnsi="Arial"/>
          <w:b w:val="0"/>
          <w:i w:val="0"/>
          <w:color w:val="000000"/>
          <w:sz w:val="22"/>
        </w:rPr>
        <w:t>Проєкт не передбачає трансферу технологій або програмного забезпечення подвійного призначення. Закуповуване обладнання (BESS, сонячні інвертори, засоби SCADA) є комерційним обладнанням широкого застосування, доступним на відкритому ринку ЄС. Перед закупівлею кожного обладнання проводиться консультація з юридичним відділом NTNU щодо застосовності норм ЄС та Норвегії з контролю за експортом.</w:t>
      </w:r>
    </w:p>
    <w:p w14:paraId="640C68E4" w14:textId="77777777" w:rsidR="000233C9" w:rsidRPr="003462FB" w:rsidRDefault="000233C9" w:rsidP="000233C9">
      <w:pPr>
        <w:pStyle w:val="Ingenmellomrom"/>
      </w:pPr>
    </w:p>
    <w:p w14:paraId="4B20E0D3" w14:textId="77777777" w:rsidR="000233C9" w:rsidRPr="003462FB" w:rsidRDefault="000233C9" w:rsidP="000233C9">
      <w:pPr>
        <w:pStyle w:val="Ingenmellomrom"/>
      </w:pPr>
    </w:p>
    <w:p w14:paraId="475DCB01" w14:textId="77777777" w:rsidR="000233C9" w:rsidRPr="003462FB" w:rsidRDefault="000233C9" w:rsidP="000233C9">
      <w:pPr>
        <w:pStyle w:val="Ingenmellomrom"/>
      </w:pPr>
    </w:p>
    <w:p w14:paraId="7D136DC1" w14:textId="77777777" w:rsidR="000233C9" w:rsidRPr="003462FB" w:rsidRDefault="000233C9" w:rsidP="000233C9">
      <w:pPr>
        <w:pStyle w:val="Ingenmellomrom"/>
      </w:pPr>
    </w:p>
    <w:p w14:paraId="7D2F47A8" w14:textId="77777777" w:rsidR="004107A8" w:rsidRDefault="004107A8">
      <w:pPr>
        <w:rPr>
          <w:b/>
          <w:bCs/>
          <w:sz w:val="32"/>
          <w:szCs w:val="32"/>
        </w:rPr>
      </w:pPr>
      <w:r>
        <w:rPr>
          <w:b/>
          <w:bCs/>
          <w:sz w:val="32"/>
          <w:szCs w:val="32"/>
        </w:rPr>
        <w:br w:type="page"/>
      </w:r>
    </w:p>
    <w:p w14:paraId="6D6684B7"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3</w:t>
      </w:r>
      <w:r w:rsidRPr="003462FB">
        <w:rPr>
          <w:b/>
          <w:bCs/>
          <w:sz w:val="32"/>
          <w:szCs w:val="32"/>
        </w:rPr>
        <w:tab/>
        <w:t xml:space="preserve">The project group and collaborative structures </w:t>
      </w:r>
    </w:p>
    <w:p w14:paraId="12FEE653" w14:textId="77777777" w:rsidR="000233C9" w:rsidRPr="003462FB" w:rsidRDefault="000233C9" w:rsidP="000233C9">
      <w:pPr>
        <w:pStyle w:val="Ingenmellomrom"/>
      </w:pPr>
    </w:p>
    <w:p w14:paraId="57D6BBF8" w14:textId="77777777" w:rsidR="000233C9" w:rsidRPr="003462FB" w:rsidRDefault="000233C9" w:rsidP="000233C9">
      <w:pPr>
        <w:pStyle w:val="Ingenmellomrom"/>
        <w:rPr>
          <w:b/>
          <w:bCs/>
        </w:rPr>
      </w:pPr>
      <w:r w:rsidRPr="003462FB">
        <w:rPr>
          <w:b/>
          <w:bCs/>
        </w:rPr>
        <w:t>3.1</w:t>
      </w:r>
      <w:r w:rsidRPr="003462FB">
        <w:rPr>
          <w:b/>
          <w:bCs/>
        </w:rPr>
        <w:tab/>
        <w:t>Key personnel for the implementation of the project</w:t>
      </w:r>
    </w:p>
    <w:p w14:paraId="63F5ED50" w14:textId="77777777" w:rsidR="000233C9" w:rsidRPr="003462FB" w:rsidRDefault="000233C9" w:rsidP="000233C9">
      <w:pPr>
        <w:pStyle w:val="Ingenmellomrom"/>
      </w:pPr>
    </w:p>
    <w:p w14:paraId="67673335" w14:textId="77777777" w:rsidR="000233C9" w:rsidRPr="003462FB" w:rsidRDefault="000233C9" w:rsidP="000233C9">
      <w:pPr>
        <w:pStyle w:val="Ingenmellomrom"/>
      </w:pPr>
    </w:p>
    <w:p w14:paraId="7D2473E2" w14:textId="205A702D"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3.1 Ключовий персонал проєкту</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NTNU (Координатор)</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Керівник проєкту</w:t>
      </w:r>
      <w:r>
        <w:rPr>
          <w:rFonts w:ascii="Arial" w:hAnsi="Arial"/>
          <w:b w:val="0"/>
          <w:i w:val="0"/>
          <w:color w:val="000000"/>
          <w:sz w:val="22"/>
        </w:rPr>
        <w:t xml:space="preserve"> — Професор Кафедри електричної енергії NTNU (ім'я підтверджується після погодження з NTNU). NTNU є одним із провідних технічних університетів Європи у галузі гідроенергетики та електроенергетичних систем. Відповідний профіль включає: керівництво Норвезьким національним центром гідроенергетики (NTNU/SINTEF HydroCen), більше ніж 20-річний досвід у силовій електроніці та мікромережевих системах, керівництво проєктами Horizon Europe та NFR у сфері інтеграції відновлюваних джерел. NTNU розташована у Тронгеймі та є домом для SmartGrid Laboratory, лабораторії зберігання енергії та масштабних дослідницьких об'єктів партнерів — Statkraft, Equinor, Statnett.</w:t>
      </w:r>
    </w:p>
    <w:p>
      <w:pPr>
        <w:spacing w:before="0" w:after="120"/>
      </w:pPr>
      <w:r>
        <w:rPr>
          <w:rFonts w:ascii="Arial" w:hAnsi="Arial"/>
          <w:b w:val="0"/>
          <w:i w:val="0"/>
          <w:color w:val="000000"/>
          <w:sz w:val="22"/>
        </w:rPr>
      </w:r>
      <w:r>
        <w:rPr>
          <w:rFonts w:ascii="Arial" w:hAnsi="Arial"/>
          <w:b w:val="0"/>
          <w:i/>
          <w:color w:val="000000"/>
          <w:sz w:val="22"/>
        </w:rPr>
        <w:t>Наукова координаторка з навчальних програм</w:t>
      </w:r>
      <w:r>
        <w:rPr>
          <w:rFonts w:ascii="Arial" w:hAnsi="Arial"/>
          <w:b w:val="0"/>
          <w:i w:val="0"/>
          <w:color w:val="000000"/>
          <w:sz w:val="22"/>
        </w:rPr>
        <w:t xml:space="preserve"> — Доцент Кафедри цивільного та екологічного будівництва NTNU (ім'я підтверджується). Спеціалізація: розробка освітніх програм для інженерних дисциплін, problem-based learning, інженерна педагогіка. Досвід координації міжнародних консорціумів у рамках Erasmus+ та NORHED.</w:t>
      </w:r>
    </w:p>
    <w:p>
      <w:pPr>
        <w:spacing w:before="0" w:after="120"/>
      </w:pPr>
      <w:r>
        <w:rPr>
          <w:rFonts w:ascii="Arial" w:hAnsi="Arial"/>
          <w:b w:val="0"/>
          <w:i w:val="0"/>
          <w:color w:val="000000"/>
          <w:sz w:val="22"/>
        </w:rPr>
      </w:r>
      <w:r>
        <w:rPr>
          <w:rFonts w:ascii="Arial" w:hAnsi="Arial"/>
          <w:b/>
          <w:i w:val="0"/>
          <w:color w:val="000000"/>
          <w:sz w:val="22"/>
        </w:rPr>
        <w:t>Запорізький національний університет (ЗНУ)</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Інституційний координатор ЗНУ</w:t>
      </w:r>
      <w:r>
        <w:rPr>
          <w:rFonts w:ascii="Arial" w:hAnsi="Arial"/>
          <w:b w:val="0"/>
          <w:i w:val="0"/>
          <w:color w:val="000000"/>
          <w:sz w:val="22"/>
        </w:rPr>
        <w:t xml:space="preserve"> — Проректор з наукової роботи ЗНУ, доктор фізико-математичних наук. Відповідає за операційну координацію проєктної діяльності ЗНУ, фінансову звітність та взаємодію з регіональними промисловими партнерами. Особисто координує 3 активних проєкти Horizon MSCA та взаємодію з NTNU у рамках дорожньої карти 2026–2028.</w:t>
      </w:r>
    </w:p>
    <w:p>
      <w:pPr>
        <w:spacing w:before="0" w:after="120"/>
      </w:pPr>
      <w:r>
        <w:rPr>
          <w:rFonts w:ascii="Arial" w:hAnsi="Arial"/>
          <w:b w:val="0"/>
          <w:i w:val="0"/>
          <w:color w:val="000000"/>
          <w:sz w:val="22"/>
        </w:rPr>
      </w:r>
      <w:r>
        <w:rPr>
          <w:rFonts w:ascii="Arial" w:hAnsi="Arial"/>
          <w:b w:val="0"/>
          <w:i/>
          <w:color w:val="000000"/>
          <w:sz w:val="22"/>
        </w:rPr>
        <w:t>Академічний лідер з енергетики ЗНУ</w:t>
      </w:r>
      <w:r>
        <w:rPr>
          <w:rFonts w:ascii="Arial" w:hAnsi="Arial"/>
          <w:b w:val="0"/>
          <w:i w:val="0"/>
          <w:color w:val="000000"/>
          <w:sz w:val="22"/>
        </w:rPr>
        <w:t xml:space="preserve"> — Завідувач Гідроенергетичного коледжу ЗНУ, кандидат технічних наук. Спеціалізація: експлуатація гідроелектростанцій, системи управління енергетикою, відновлювана енергетика. Двадцятирічний практичний досвід роботи з енергетичними об'єктами Запорізького регіону та досвід організації навчання у надзвичайних умовах (планування навчального процесу під час відключень електроенергії та повітряних тривог).</w:t>
      </w:r>
    </w:p>
    <w:p>
      <w:pPr>
        <w:spacing w:before="0" w:after="120"/>
      </w:pPr>
      <w:r>
        <w:rPr>
          <w:rFonts w:ascii="Arial" w:hAnsi="Arial"/>
          <w:b w:val="0"/>
          <w:i w:val="0"/>
          <w:color w:val="000000"/>
          <w:sz w:val="22"/>
        </w:rPr>
      </w:r>
      <w:r>
        <w:rPr>
          <w:rFonts w:ascii="Arial" w:hAnsi="Arial"/>
          <w:b w:val="0"/>
          <w:i/>
          <w:color w:val="000000"/>
          <w:sz w:val="22"/>
        </w:rPr>
        <w:t>Куратор Живої лабораторії ЗНУ</w:t>
      </w:r>
      <w:r>
        <w:rPr>
          <w:rFonts w:ascii="Arial" w:hAnsi="Arial"/>
          <w:b w:val="0"/>
          <w:i w:val="0"/>
          <w:color w:val="000000"/>
          <w:sz w:val="22"/>
        </w:rPr>
        <w:t xml:space="preserve"> — Старший науковий співробітник Лабораторії паралельних і розподілених обчислень, кандидат технічних наук. Відповідає за технічне розгортання та функціонування демонстраційної мікромережевої установки, інтеграцію з системами SCADA, навчальне використання установки студентськими групами.</w:t>
      </w:r>
    </w:p>
    <w:p>
      <w:pPr>
        <w:spacing w:before="0" w:after="120"/>
      </w:pPr>
      <w:r>
        <w:rPr>
          <w:rFonts w:ascii="Arial" w:hAnsi="Arial"/>
          <w:b w:val="0"/>
          <w:i w:val="0"/>
          <w:color w:val="000000"/>
          <w:sz w:val="22"/>
        </w:rPr>
      </w:r>
      <w:r>
        <w:rPr>
          <w:rFonts w:ascii="Arial" w:hAnsi="Arial"/>
          <w:b/>
          <w:i w:val="0"/>
          <w:color w:val="000000"/>
          <w:sz w:val="22"/>
        </w:rPr>
        <w:t>Партнер 2 (підтверджується NTNU)</w:t>
      </w:r>
      <w:r>
        <w:rPr>
          <w:rFonts w:ascii="Arial" w:hAnsi="Arial"/>
          <w:b w:val="0"/>
          <w:i w:val="0"/>
          <w:color w:val="000000"/>
          <w:sz w:val="22"/>
        </w:rPr>
      </w:r>
    </w:p>
    <w:p>
      <w:pPr>
        <w:spacing w:before="0" w:after="120"/>
      </w:pPr>
      <w:r>
        <w:rPr>
          <w:rFonts w:ascii="Arial" w:hAnsi="Arial"/>
          <w:b w:val="0"/>
          <w:i w:val="0"/>
          <w:color w:val="000000"/>
          <w:sz w:val="22"/>
        </w:rPr>
        <w:t>Другий український партнер — технічний університет зі спеціалізацією в галузі енергетики та/або силової електроніки — надасть: академічного лідера з відповідними освітніми компетенціями, майданчик для другої Живої лабораторії та когорту студентів-учасників. Партнер підтверджується до подачі заявки та підписує Листа про зобов'язання (Letter of Commitment) відповідно до вимог HK-dir.</w:t>
      </w:r>
    </w:p>
    <w:p>
      <w:pPr>
        <w:spacing w:before="0" w:after="120"/>
      </w:pPr>
      <w:r>
        <w:rPr>
          <w:rFonts w:ascii="Arial" w:hAnsi="Arial"/>
          <w:b w:val="0"/>
          <w:i w:val="0"/>
          <w:color w:val="000000"/>
          <w:sz w:val="22"/>
        </w:rPr>
      </w:r>
      <w:r>
        <w:rPr>
          <w:rFonts w:ascii="Arial" w:hAnsi="Arial"/>
          <w:b/>
          <w:i w:val="0"/>
          <w:color w:val="000000"/>
          <w:sz w:val="22"/>
        </w:rPr>
        <w:t>Комплементарність консорціуму</w:t>
      </w:r>
      <w:r>
        <w:rPr>
          <w:rFonts w:ascii="Arial" w:hAnsi="Arial"/>
          <w:b w:val="0"/>
          <w:i w:val="0"/>
          <w:color w:val="000000"/>
          <w:sz w:val="22"/>
        </w:rPr>
      </w:r>
    </w:p>
    <w:p>
      <w:pPr>
        <w:spacing w:before="0" w:after="120"/>
      </w:pPr>
      <w:r>
        <w:rPr>
          <w:rFonts w:ascii="Arial" w:hAnsi="Arial"/>
          <w:b w:val="0"/>
          <w:i w:val="0"/>
          <w:color w:val="000000"/>
          <w:sz w:val="22"/>
        </w:rPr>
        <w:t>Консорціум забезпечує збалансовану комплементарність: NTNU вносить передовий науково-дослідницький потенціал, норвезьку промислову мережу та педагогічну методологію проблемно-орієнтованого навчання; ЗНУ — унікальне знання місцевого контексту, операційну стійкість в умовах конфлікту, власну демонстраційну інфраструктуру і прямий доступ до регіональних промислових партнерів відновлення; УП2 — додаткові технічні компетенції та географічне охоплення другого українського регіону.</w:t>
      </w:r>
    </w:p>
    <w:p w14:paraId="7A7EB110" w14:textId="77777777" w:rsidR="000233C9" w:rsidRPr="003462FB" w:rsidRDefault="000233C9" w:rsidP="000233C9">
      <w:pPr>
        <w:pStyle w:val="Ingenmellomrom"/>
      </w:pPr>
    </w:p>
    <w:p w14:paraId="695BBEB4" w14:textId="77777777" w:rsidR="000233C9" w:rsidRPr="003462FB" w:rsidRDefault="000233C9" w:rsidP="000233C9">
      <w:pPr>
        <w:pStyle w:val="Ingenmellomrom"/>
      </w:pPr>
    </w:p>
    <w:p w14:paraId="7FAFDE06" w14:textId="77777777" w:rsidR="000233C9" w:rsidRPr="003462FB" w:rsidRDefault="000233C9" w:rsidP="000233C9">
      <w:pPr>
        <w:pStyle w:val="Ingenmellomrom"/>
      </w:pPr>
    </w:p>
    <w:p w14:paraId="18E575D5" w14:textId="77777777" w:rsidR="000233C9" w:rsidRPr="003462FB" w:rsidRDefault="000233C9" w:rsidP="000233C9">
      <w:pPr>
        <w:pStyle w:val="Ingenmellomrom"/>
      </w:pPr>
    </w:p>
    <w:p w14:paraId="35E6245A" w14:textId="77777777" w:rsidR="000233C9" w:rsidRPr="003462FB" w:rsidRDefault="000233C9" w:rsidP="000233C9">
      <w:pPr>
        <w:pStyle w:val="Ingenmellomrom"/>
        <w:rPr>
          <w:b/>
          <w:bCs/>
        </w:rPr>
      </w:pPr>
      <w:r w:rsidRPr="003462FB">
        <w:rPr>
          <w:b/>
          <w:bCs/>
        </w:rPr>
        <w:t>3.2</w:t>
      </w:r>
      <w:r w:rsidRPr="003462FB">
        <w:rPr>
          <w:b/>
          <w:bCs/>
        </w:rPr>
        <w:tab/>
        <w:t>Involvement, interaction and division of work between the project partners</w:t>
      </w:r>
    </w:p>
    <w:p w14:paraId="590D5E78" w14:textId="77777777" w:rsidR="000233C9" w:rsidRPr="003462FB" w:rsidRDefault="000233C9" w:rsidP="000233C9">
      <w:pPr>
        <w:pStyle w:val="Ingenmellomrom"/>
      </w:pPr>
    </w:p>
    <w:p w14:paraId="3697E7A2" w14:textId="77777777" w:rsidR="000233C9" w:rsidRPr="003462FB" w:rsidRDefault="000233C9" w:rsidP="000233C9">
      <w:pPr>
        <w:pStyle w:val="Ingenmellomrom"/>
      </w:pPr>
    </w:p>
    <w:p w14:paraId="7C9DF535" w14:textId="14CD729D"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3.2 Залученість, взаємодія та розподіл праці між партнерами</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Управлінська структура</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Керівний комітет (КК)</w:t>
      </w:r>
      <w:r>
        <w:rPr>
          <w:rFonts w:ascii="Arial" w:hAnsi="Arial"/>
          <w:b w:val="0"/>
          <w:i w:val="0"/>
          <w:color w:val="000000"/>
          <w:sz w:val="22"/>
        </w:rPr>
        <w:t xml:space="preserve"> — вищий орган управління проєктом. Склад: по 2 представники від кожного партнера (включно з принаймні одним НПП та одним адміністративним менеджером від кожного); гендерний баланс ≥40% кожної статі. Засідання: щоквартально у форматі відеоконференції + 2 очних засідання на рік (суміщаються з конференціями чи обмінами). КК приймає рішення з бюджетних перерозподілів (до 10% між статтями без попереднього погодження з HK-dir), затверджує навчальні матеріали, ухвалює антикризові заходи.</w:t>
      </w:r>
    </w:p>
    <w:p>
      <w:pPr>
        <w:spacing w:before="0" w:after="120"/>
      </w:pPr>
      <w:r>
        <w:rPr>
          <w:rFonts w:ascii="Arial" w:hAnsi="Arial"/>
          <w:b w:val="0"/>
          <w:i w:val="0"/>
          <w:color w:val="000000"/>
          <w:sz w:val="22"/>
        </w:rPr>
      </w:r>
      <w:r>
        <w:rPr>
          <w:rFonts w:ascii="Arial" w:hAnsi="Arial"/>
          <w:b w:val="0"/>
          <w:i/>
          <w:color w:val="000000"/>
          <w:sz w:val="22"/>
        </w:rPr>
        <w:t>Науково-педагогічна рада (НПР)</w:t>
      </w:r>
      <w:r>
        <w:rPr>
          <w:rFonts w:ascii="Arial" w:hAnsi="Arial"/>
          <w:b w:val="0"/>
          <w:i w:val="0"/>
          <w:color w:val="000000"/>
          <w:sz w:val="22"/>
        </w:rPr>
        <w:t xml:space="preserve"> — методичний орган. Складається з академічних лідерів кожного партнера + 2 зовнішні промислові члени (ПрАТ «Запоріжжяобленерго», Укренерго). Зустрічається двічі на рік (онлайн). Функція: затвердження навчального змісту, рецензування модулів, формування рекомендацій щодо актуальності програм.</w:t>
      </w:r>
    </w:p>
    <w:p>
      <w:pPr>
        <w:spacing w:before="0" w:after="120"/>
      </w:pPr>
      <w:r>
        <w:rPr>
          <w:rFonts w:ascii="Arial" w:hAnsi="Arial"/>
          <w:b w:val="0"/>
          <w:i w:val="0"/>
          <w:color w:val="000000"/>
          <w:sz w:val="22"/>
        </w:rPr>
      </w:r>
      <w:r>
        <w:rPr>
          <w:rFonts w:ascii="Arial" w:hAnsi="Arial"/>
          <w:b w:val="0"/>
          <w:i/>
          <w:color w:val="000000"/>
          <w:sz w:val="22"/>
        </w:rPr>
        <w:t>Менеджер проєкту</w:t>
      </w:r>
      <w:r>
        <w:rPr>
          <w:rFonts w:ascii="Arial" w:hAnsi="Arial"/>
          <w:b w:val="0"/>
          <w:i w:val="0"/>
          <w:color w:val="000000"/>
          <w:sz w:val="22"/>
        </w:rPr>
        <w:t xml:space="preserve"> (на умовах 50% ставки, NTNU) забезпечує щоденне адміністрування, ведення фінансової документації, організацію мобільності та комунікацію з HK-dir.</w:t>
      </w:r>
    </w:p>
    <w:p>
      <w:pPr>
        <w:spacing w:before="0" w:after="120"/>
      </w:pPr>
      <w:r>
        <w:rPr>
          <w:rFonts w:ascii="Arial" w:hAnsi="Arial"/>
          <w:b w:val="0"/>
          <w:i w:val="0"/>
          <w:color w:val="000000"/>
          <w:sz w:val="22"/>
        </w:rPr>
      </w:r>
      <w:r>
        <w:rPr>
          <w:rFonts w:ascii="Arial" w:hAnsi="Arial"/>
          <w:b/>
          <w:i w:val="0"/>
          <w:color w:val="000000"/>
          <w:sz w:val="22"/>
        </w:rPr>
        <w:t>Розподіл ролей та бюджету</w:t>
      </w:r>
      <w:r>
        <w:rPr>
          <w:rFonts w:ascii="Arial" w:hAnsi="Arial"/>
          <w:b w:val="0"/>
          <w:i w:val="0"/>
          <w:color w:val="000000"/>
          <w:sz w:val="22"/>
        </w:rPr>
      </w:r>
    </w:p>
    <w:p>
      <w:pPr>
        <w:spacing w:before="0" w:after="120"/>
      </w:pPr>
      <w:r>
        <w:rPr>
          <w:rFonts w:ascii="Arial" w:hAnsi="Arial"/>
          <w:b w:val="0"/>
          <w:i w:val="0"/>
          <w:color w:val="000000"/>
          <w:sz w:val="22"/>
        </w:rPr>
        <w:t xml:space="preserve">— </w:t>
      </w:r>
      <w:r>
        <w:rPr>
          <w:rFonts w:ascii="Arial" w:hAnsi="Arial"/>
          <w:b w:val="0"/>
          <w:i/>
          <w:color w:val="000000"/>
          <w:sz w:val="22"/>
        </w:rPr>
        <w:t>NTNU</w:t>
      </w:r>
      <w:r>
        <w:rPr>
          <w:rFonts w:ascii="Arial" w:hAnsi="Arial"/>
          <w:b w:val="0"/>
          <w:i w:val="0"/>
          <w:color w:val="000000"/>
          <w:sz w:val="22"/>
        </w:rPr>
        <w:t>: Координація консорціуму; методологічне лідерство РП1; виконання РП2 (підвищення кваліфікації); прийом студентів на мобільність; міжнародна дисемінація результатів; фінансовий менеджмент усього проєкту. Орієнтовна частка бюджету: ~30% (ліміт персоналу норвезького партнера відповідно до вимог HK-dir), що покриває: заробітну плату менеджера проєкту та 2 академічних координаторів (0.5 + 0.3 + 0.3 FTE), витрати на прийом студентів та НПП, організаційні витрати на конференції.</w:t>
      </w:r>
    </w:p>
    <w:p>
      <w:pPr>
        <w:spacing w:before="0" w:after="120"/>
      </w:pPr>
      <w:r>
        <w:rPr>
          <w:rFonts w:ascii="Arial" w:hAnsi="Arial"/>
          <w:b w:val="0"/>
          <w:i w:val="0"/>
          <w:color w:val="000000"/>
          <w:sz w:val="22"/>
        </w:rPr>
        <w:t xml:space="preserve">— </w:t>
      </w:r>
      <w:r>
        <w:rPr>
          <w:rFonts w:ascii="Arial" w:hAnsi="Arial"/>
          <w:b w:val="0"/>
          <w:i/>
          <w:color w:val="000000"/>
          <w:sz w:val="22"/>
        </w:rPr>
        <w:t>ЗНУ</w:t>
      </w:r>
      <w:r>
        <w:rPr>
          <w:rFonts w:ascii="Arial" w:hAnsi="Arial"/>
          <w:b w:val="0"/>
          <w:i w:val="0"/>
          <w:color w:val="000000"/>
          <w:sz w:val="22"/>
        </w:rPr>
        <w:t>: Академічне лідерство РП3 (студентська програма); технічний запуск Живої лабораторії (РП4); основний майданчик для пілотного викладання; залучення промислових партнерів; відповідальність за дисемінацію в Україні (РП5). Орієнтовна частка бюджету: ~40%, включаючи заробітну плату 4 НПП (по 0.25 FTE), закупівлю обладнання для ЗНУ-лаборатрії, стипендії студентам, витрати на відрядження.</w:t>
      </w:r>
    </w:p>
    <w:p>
      <w:pPr>
        <w:spacing w:before="0" w:after="120"/>
      </w:pPr>
      <w:r>
        <w:rPr>
          <w:rFonts w:ascii="Arial" w:hAnsi="Arial"/>
          <w:b w:val="0"/>
          <w:i w:val="0"/>
          <w:color w:val="000000"/>
          <w:sz w:val="22"/>
        </w:rPr>
        <w:t xml:space="preserve">— </w:t>
      </w:r>
      <w:r>
        <w:rPr>
          <w:rFonts w:ascii="Arial" w:hAnsi="Arial"/>
          <w:b w:val="0"/>
          <w:i/>
          <w:color w:val="000000"/>
          <w:sz w:val="22"/>
        </w:rPr>
        <w:t>УП2</w:t>
      </w:r>
      <w:r>
        <w:rPr>
          <w:rFonts w:ascii="Arial" w:hAnsi="Arial"/>
          <w:b w:val="0"/>
          <w:i w:val="0"/>
          <w:color w:val="000000"/>
          <w:sz w:val="22"/>
        </w:rPr>
        <w:t>: Академічне спів-виконання РП1 та РП3; функціонування другої Живої лабораторії (РП4); географічне розширення вибірки студентів і НПП. Орієнтовна частка бюджету: ~30%, аналогічно до ЗНУ.</w:t>
      </w:r>
    </w:p>
    <w:p>
      <w:pPr>
        <w:spacing w:before="0" w:after="120"/>
      </w:pPr>
      <w:r>
        <w:rPr>
          <w:rFonts w:ascii="Arial" w:hAnsi="Arial"/>
          <w:b w:val="0"/>
          <w:i w:val="0"/>
          <w:color w:val="000000"/>
          <w:sz w:val="22"/>
        </w:rPr>
      </w:r>
      <w:r>
        <w:rPr>
          <w:rFonts w:ascii="Arial" w:hAnsi="Arial"/>
          <w:b/>
          <w:i w:val="0"/>
          <w:color w:val="000000"/>
          <w:sz w:val="22"/>
        </w:rPr>
        <w:t>Комунікація та координація</w:t>
      </w:r>
      <w:r>
        <w:rPr>
          <w:rFonts w:ascii="Arial" w:hAnsi="Arial"/>
          <w:b w:val="0"/>
          <w:i w:val="0"/>
          <w:color w:val="000000"/>
          <w:sz w:val="22"/>
        </w:rPr>
      </w:r>
    </w:p>
    <w:p>
      <w:pPr>
        <w:spacing w:before="0" w:after="120"/>
      </w:pPr>
      <w:r>
        <w:rPr>
          <w:rFonts w:ascii="Arial" w:hAnsi="Arial"/>
          <w:b w:val="0"/>
          <w:i w:val="0"/>
          <w:color w:val="000000"/>
          <w:sz w:val="22"/>
        </w:rPr>
        <w:t>Проєктна платформа: Microsoft Teams (вже розгорнутий у ЗНУ) + спільний хмарний простір SharePoint для документів. Щотижневий status-call менеджерів проєкту (30 хв.). Щомісячна технічна нарада академічних лідерів (1 год.). Квартальне засідання КК. Всі рішення документуються у протоколах, що зберігаються в хмарному репозиторії.</w:t>
      </w:r>
    </w:p>
    <w:p>
      <w:pPr>
        <w:spacing w:before="0" w:after="120"/>
      </w:pPr>
      <w:r>
        <w:rPr>
          <w:rFonts w:ascii="Arial" w:hAnsi="Arial"/>
          <w:b w:val="0"/>
          <w:i w:val="0"/>
          <w:color w:val="000000"/>
          <w:sz w:val="22"/>
        </w:rPr>
      </w:r>
      <w:r>
        <w:rPr>
          <w:rFonts w:ascii="Arial" w:hAnsi="Arial"/>
          <w:b/>
          <w:i w:val="0"/>
          <w:color w:val="000000"/>
          <w:sz w:val="22"/>
        </w:rPr>
        <w:t>Залучення стейкхолдерів</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val="0"/>
          <w:i/>
          <w:color w:val="000000"/>
          <w:sz w:val="22"/>
        </w:rPr>
        <w:t>Промислові партнери</w:t>
      </w:r>
      <w:r>
        <w:rPr>
          <w:rFonts w:ascii="Arial" w:hAnsi="Arial"/>
          <w:b w:val="0"/>
          <w:i w:val="0"/>
          <w:color w:val="000000"/>
          <w:sz w:val="22"/>
        </w:rPr>
        <w:t>: ПрАТ «Запоріжжяобленерго» та регіональний офіс Укренерго — члени НПР, рецензенти дипломних робіт, потенційні роботодавці для випускників. Планується підписання меморандумів про співпрацю на М3.</w:t>
      </w:r>
    </w:p>
    <w:p>
      <w:pPr>
        <w:spacing w:before="0" w:after="120"/>
      </w:pPr>
      <w:r>
        <w:rPr>
          <w:rFonts w:ascii="Arial" w:hAnsi="Arial"/>
          <w:b w:val="0"/>
          <w:i w:val="0"/>
          <w:color w:val="000000"/>
          <w:sz w:val="22"/>
        </w:rPr>
      </w:r>
      <w:r>
        <w:rPr>
          <w:rFonts w:ascii="Arial" w:hAnsi="Arial"/>
          <w:b w:val="0"/>
          <w:i/>
          <w:color w:val="000000"/>
          <w:sz w:val="22"/>
        </w:rPr>
        <w:t>Регіональна влада</w:t>
      </w:r>
      <w:r>
        <w:rPr>
          <w:rFonts w:ascii="Arial" w:hAnsi="Arial"/>
          <w:b w:val="0"/>
          <w:i w:val="0"/>
          <w:color w:val="000000"/>
          <w:sz w:val="22"/>
        </w:rPr>
        <w:t>: Запорізька обласна адміністрація — залучається для визначення пріоритетних об'єктів відновлення як основи для студентських проєктних завдань.</w:t>
      </w:r>
    </w:p>
    <w:p>
      <w:pPr>
        <w:spacing w:before="0" w:after="120"/>
      </w:pPr>
      <w:r>
        <w:rPr>
          <w:rFonts w:ascii="Arial" w:hAnsi="Arial"/>
          <w:b w:val="0"/>
          <w:i w:val="0"/>
          <w:color w:val="000000"/>
          <w:sz w:val="22"/>
        </w:rPr>
      </w:r>
      <w:r>
        <w:rPr>
          <w:rFonts w:ascii="Arial" w:hAnsi="Arial"/>
          <w:b w:val="0"/>
          <w:i/>
          <w:color w:val="000000"/>
          <w:sz w:val="22"/>
        </w:rPr>
        <w:t>Норвезька промислова мережа NTNU</w:t>
      </w:r>
      <w:r>
        <w:rPr>
          <w:rFonts w:ascii="Arial" w:hAnsi="Arial"/>
          <w:b w:val="0"/>
          <w:i w:val="0"/>
          <w:color w:val="000000"/>
          <w:sz w:val="22"/>
        </w:rPr>
        <w:t>: Statkraft і Statnett — забезпечують гостьові лекції та відвідування об'єктів для учасників мобільності; підвищують практичну цінність програми.</w:t>
      </w:r>
    </w:p>
    <w:p>
      <w:pPr>
        <w:spacing w:before="0" w:after="120"/>
      </w:pPr>
      <w:r>
        <w:rPr>
          <w:rFonts w:ascii="Arial" w:hAnsi="Arial"/>
          <w:b w:val="0"/>
          <w:i w:val="0"/>
          <w:color w:val="000000"/>
          <w:sz w:val="22"/>
        </w:rPr>
      </w:r>
      <w:r>
        <w:rPr>
          <w:rFonts w:ascii="Arial" w:hAnsi="Arial"/>
          <w:b w:val="0"/>
          <w:i/>
          <w:color w:val="000000"/>
          <w:sz w:val="22"/>
        </w:rPr>
        <w:t>HK-dir</w:t>
      </w:r>
      <w:r>
        <w:rPr>
          <w:rFonts w:ascii="Arial" w:hAnsi="Arial"/>
          <w:b w:val="0"/>
          <w:i w:val="0"/>
          <w:color w:val="000000"/>
          <w:sz w:val="22"/>
        </w:rPr>
        <w:t>: Щорічна звітність із прогресу відповідно до вимог програми; участь у мережевих заходах Nansen EDU.</w:t>
      </w:r>
    </w:p>
    <w:p w14:paraId="52D4FDC5" w14:textId="77777777" w:rsidR="000233C9" w:rsidRPr="003462FB" w:rsidRDefault="000233C9" w:rsidP="000233C9">
      <w:pPr>
        <w:pStyle w:val="Ingenmellomrom"/>
      </w:pPr>
    </w:p>
    <w:p w14:paraId="501850CC" w14:textId="77777777" w:rsidR="000233C9" w:rsidRPr="003462FB" w:rsidRDefault="000233C9" w:rsidP="000233C9">
      <w:pPr>
        <w:pStyle w:val="Ingenmellomrom"/>
      </w:pPr>
    </w:p>
    <w:p w14:paraId="39AE292D" w14:textId="77777777" w:rsidR="000233C9" w:rsidRPr="003462FB" w:rsidRDefault="000233C9" w:rsidP="000233C9">
      <w:pPr>
        <w:pStyle w:val="Ingenmellomrom"/>
      </w:pPr>
    </w:p>
    <w:p w14:paraId="696E77CA" w14:textId="77777777" w:rsidR="000233C9" w:rsidRPr="003462FB" w:rsidRDefault="000233C9" w:rsidP="000233C9">
      <w:pPr>
        <w:pStyle w:val="Ingenmellomrom"/>
      </w:pPr>
    </w:p>
    <w:p w14:paraId="109120BB" w14:textId="77777777" w:rsidR="00BC7E28" w:rsidRDefault="00BC7E28">
      <w:pPr>
        <w:rPr>
          <w:b/>
          <w:bCs/>
          <w:sz w:val="32"/>
          <w:szCs w:val="32"/>
        </w:rPr>
      </w:pPr>
      <w:r>
        <w:rPr>
          <w:b/>
          <w:bCs/>
          <w:sz w:val="32"/>
          <w:szCs w:val="32"/>
        </w:rPr>
        <w:br w:type="page"/>
      </w:r>
    </w:p>
    <w:p w14:paraId="4DF6756C" w14:textId="12B2BDFC"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t>4</w:t>
      </w:r>
      <w:r w:rsidRPr="003462FB">
        <w:rPr>
          <w:b/>
          <w:bCs/>
          <w:sz w:val="32"/>
          <w:szCs w:val="32"/>
        </w:rPr>
        <w:tab/>
        <w:t xml:space="preserve">Project impact </w:t>
      </w:r>
    </w:p>
    <w:p w14:paraId="6305ED3B" w14:textId="77777777" w:rsidR="00E5362D" w:rsidRPr="003462FB" w:rsidRDefault="00E5362D" w:rsidP="000233C9">
      <w:pPr>
        <w:pStyle w:val="Ingenmellomrom"/>
      </w:pPr>
    </w:p>
    <w:p w14:paraId="02AA9C51" w14:textId="77777777" w:rsidR="000233C9" w:rsidRPr="003462FB" w:rsidRDefault="000233C9" w:rsidP="000233C9">
      <w:pPr>
        <w:pStyle w:val="Ingenmellomrom"/>
        <w:rPr>
          <w:b/>
          <w:bCs/>
        </w:rPr>
      </w:pPr>
      <w:r w:rsidRPr="003462FB">
        <w:rPr>
          <w:b/>
          <w:bCs/>
        </w:rPr>
        <w:t>4.1</w:t>
      </w:r>
      <w:r w:rsidRPr="003462FB">
        <w:rPr>
          <w:b/>
          <w:bCs/>
        </w:rPr>
        <w:tab/>
        <w:t xml:space="preserve">The project impact and possible measures to promote dissemination </w:t>
      </w:r>
    </w:p>
    <w:p w14:paraId="663B8C7E" w14:textId="77777777" w:rsidR="000233C9" w:rsidRPr="003462FB" w:rsidRDefault="000233C9" w:rsidP="000233C9">
      <w:pPr>
        <w:pStyle w:val="Ingenmellomrom"/>
      </w:pPr>
    </w:p>
    <w:p w14:paraId="359AD45D" w14:textId="77777777" w:rsidR="000233C9" w:rsidRPr="003462FB" w:rsidRDefault="000233C9" w:rsidP="000233C9">
      <w:pPr>
        <w:pStyle w:val="Ingenmellomrom"/>
      </w:pPr>
    </w:p>
    <w:p w14:paraId="0FD1C9F5" w14:textId="699FF8C6"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4.1 Вплив проєкту та заходи з поширення результатів</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Прямий вплив на цільові групи</w:t>
      </w:r>
      <w:r>
        <w:rPr>
          <w:rFonts w:ascii="Arial" w:hAnsi="Arial"/>
          <w:b w:val="0"/>
          <w:i w:val="0"/>
          <w:color w:val="000000"/>
          <w:sz w:val="22"/>
        </w:rPr>
      </w:r>
    </w:p>
    <w:p>
      <w:pPr>
        <w:spacing w:before="0" w:after="120"/>
      </w:pPr>
      <w:r>
        <w:rPr>
          <w:rFonts w:ascii="Arial" w:hAnsi="Arial"/>
          <w:b w:val="0"/>
          <w:i w:val="0"/>
          <w:color w:val="000000"/>
          <w:sz w:val="22"/>
        </w:rPr>
        <w:t>За три роки реалізації SmartEnergy-UA безпосередньо охопить 120 студентів (мінімум 40% жінок), які здобудуть компетентності у п'яти ключових інженерних дисциплінах, критично необхідних для відновлення та трансформації енергетики України. Для порівняння: поточний показник базової підготовки з мікромережевих технологій у обох університетах-партнерах становить нуль. Таким чином, проєкт збільшує потенціал підготовки кваліфікованих інженерів-енергетиків нового покоління на 120 осіб на цикл — вже з початку другого року.</w:t>
      </w:r>
    </w:p>
    <w:p>
      <w:pPr>
        <w:spacing w:before="0" w:after="120"/>
      </w:pPr>
      <w:r>
        <w:rPr>
          <w:rFonts w:ascii="Arial" w:hAnsi="Arial"/>
          <w:b w:val="0"/>
          <w:i w:val="0"/>
          <w:color w:val="000000"/>
          <w:sz w:val="22"/>
        </w:rPr>
        <w:t>30 НПП обох українських партнерів пройдуть верифіковане підвищення кваліфікації, що матиме мультиплікаційний ефект: кожен підготовлений викладач зможе навчати додаткові когорти студентів протягом наступних 10–15 років своєї академічної кар'єри. При консервативному припущенні 30 студентів/рік на одного НПП, сукупний стратегічний вплив складе понад 9 000 студенто-контактів за 10 років після завершення проєкту.</w:t>
      </w:r>
    </w:p>
    <w:p>
      <w:pPr>
        <w:spacing w:before="0" w:after="120"/>
      </w:pPr>
      <w:r>
        <w:rPr>
          <w:rFonts w:ascii="Arial" w:hAnsi="Arial"/>
          <w:b w:val="0"/>
          <w:i w:val="0"/>
          <w:color w:val="000000"/>
          <w:sz w:val="22"/>
        </w:rPr>
        <w:t>Десять студентів здійснять мобільність до NTNU, набувши не лише технічних компетенцій, але й міжнародного академічного досвіду та контактів із норвезькою енергетичною промисловістю (Statkraft, Statnett, Equinor). Частина з них повернеться як потенційні кандидати на аспірантуру в NTNU або в рамках майбутніх спільних дослідницьких проєктів.</w:t>
      </w:r>
    </w:p>
    <w:p>
      <w:pPr>
        <w:spacing w:before="0" w:after="120"/>
      </w:pPr>
      <w:r>
        <w:rPr>
          <w:rFonts w:ascii="Arial" w:hAnsi="Arial"/>
          <w:b w:val="0"/>
          <w:i w:val="0"/>
          <w:color w:val="000000"/>
          <w:sz w:val="22"/>
        </w:rPr>
      </w:r>
      <w:r>
        <w:rPr>
          <w:rFonts w:ascii="Arial" w:hAnsi="Arial"/>
          <w:b/>
          <w:i w:val="0"/>
          <w:color w:val="000000"/>
          <w:sz w:val="22"/>
        </w:rPr>
        <w:t>Інституційний вплив</w:t>
      </w:r>
      <w:r>
        <w:rPr>
          <w:rFonts w:ascii="Arial" w:hAnsi="Arial"/>
          <w:b w:val="0"/>
          <w:i w:val="0"/>
          <w:color w:val="000000"/>
          <w:sz w:val="22"/>
        </w:rPr>
      </w:r>
    </w:p>
    <w:p>
      <w:pPr>
        <w:spacing w:before="0" w:after="120"/>
      </w:pPr>
      <w:r>
        <w:rPr>
          <w:rFonts w:ascii="Arial" w:hAnsi="Arial"/>
          <w:b w:val="0"/>
          <w:i w:val="0"/>
          <w:color w:val="000000"/>
          <w:sz w:val="22"/>
        </w:rPr>
        <w:t>5 нових акредитованих навчальних модулів (30 ECTS) будуть інтегровані в чинні ОПП обох українських університетів як обов'язкові або вибіркові дисципліни. Це закріпить новий зміст на структурному рівні — незалежно від тривалості або припинення зовнішнього фінансування. Дві діючі «Живі лабораторії» стануть довгостроковими навчально-дослідницькими активами кампусів ЗНУ та УП2: вони будуть функціонувати одночасно як навчальні стенди для студентів та як реальна децентралізована енергосистема кампусу, знижуючи операційну залежність від ненадійної центральної мережі.</w:t>
      </w:r>
    </w:p>
    <w:p>
      <w:pPr>
        <w:spacing w:before="0" w:after="120"/>
      </w:pPr>
      <w:r>
        <w:rPr>
          <w:rFonts w:ascii="Arial" w:hAnsi="Arial"/>
          <w:b w:val="0"/>
          <w:i w:val="0"/>
          <w:color w:val="000000"/>
          <w:sz w:val="22"/>
        </w:rPr>
        <w:t>Проєкт також запустить інституційний процес систематичного оновлення програм: НПР формалізує механізм щорічного перегляду навчального змісту із залученням промислових партнерів — процедуру, якої до цього часу не існувало у жодному з партнерських університетів у формалізованому вигляді.</w:t>
      </w:r>
    </w:p>
    <w:p>
      <w:pPr>
        <w:spacing w:before="0" w:after="120"/>
      </w:pPr>
      <w:r>
        <w:rPr>
          <w:rFonts w:ascii="Arial" w:hAnsi="Arial"/>
          <w:b w:val="0"/>
          <w:i w:val="0"/>
          <w:color w:val="000000"/>
          <w:sz w:val="22"/>
        </w:rPr>
      </w:r>
      <w:r>
        <w:rPr>
          <w:rFonts w:ascii="Arial" w:hAnsi="Arial"/>
          <w:b/>
          <w:i w:val="0"/>
          <w:color w:val="000000"/>
          <w:sz w:val="22"/>
        </w:rPr>
        <w:t>Регіональний та загальнонаціональний вплив</w:t>
      </w:r>
      <w:r>
        <w:rPr>
          <w:rFonts w:ascii="Arial" w:hAnsi="Arial"/>
          <w:b w:val="0"/>
          <w:i w:val="0"/>
          <w:color w:val="000000"/>
          <w:sz w:val="22"/>
        </w:rPr>
      </w:r>
    </w:p>
    <w:p>
      <w:pPr>
        <w:spacing w:before="0" w:after="120"/>
      </w:pPr>
      <w:r>
        <w:rPr>
          <w:rFonts w:ascii="Arial" w:hAnsi="Arial"/>
          <w:b w:val="0"/>
          <w:i w:val="0"/>
          <w:color w:val="000000"/>
          <w:sz w:val="22"/>
        </w:rPr>
        <w:t>Запорізький регіон є енергетичним серцем України: він формував близько 25% загальнонаціонального виробництва електроенергії до початку повномасштабного вторгнення. Підготовка 120 інженерів, що розуміють специфіку децентралізованих систем і resilience engineering, безпосередньо посилює регіональний потенціал відновлення. Промислові партнери (Запоріжжяобленерго, Укренерго) беруть участь у НПР, що забезпечує пряме транслювання нових компетенцій у практику відновлення.</w:t>
      </w:r>
    </w:p>
    <w:p>
      <w:pPr>
        <w:spacing w:before="0" w:after="120"/>
      </w:pPr>
      <w:r>
        <w:rPr>
          <w:rFonts w:ascii="Arial" w:hAnsi="Arial"/>
          <w:b w:val="0"/>
          <w:i w:val="0"/>
          <w:color w:val="000000"/>
          <w:sz w:val="22"/>
        </w:rPr>
        <w:t>На загальнонаціональному рівні «Посібник з реплікації», що розробляється в рамках РП5, дозволить іншим українським ЗВО — зокрема Харківському політехнічному інституту, Одеській політехніці, Дніпровській політехніці — впровадити аналогічні програмні модулі без повторення всього процесу розробки. Орієнтовне охоплення посібника: 5–8 університетів протягом 3 років після завершення проєкту, що потенційно подвоїть кількість підготовлених фахівців.</w:t>
      </w:r>
    </w:p>
    <w:p>
      <w:pPr>
        <w:spacing w:before="0" w:after="120"/>
      </w:pPr>
      <w:r>
        <w:rPr>
          <w:rFonts w:ascii="Arial" w:hAnsi="Arial"/>
          <w:b w:val="0"/>
          <w:i w:val="0"/>
          <w:color w:val="000000"/>
          <w:sz w:val="22"/>
        </w:rPr>
      </w:r>
      <w:r>
        <w:rPr>
          <w:rFonts w:ascii="Arial" w:hAnsi="Arial"/>
          <w:b/>
          <w:i w:val="0"/>
          <w:color w:val="000000"/>
          <w:sz w:val="22"/>
        </w:rPr>
        <w:t>Вплив на рівень програми Nansen EDU та ширшого контексту</w:t>
      </w:r>
      <w:r>
        <w:rPr>
          <w:rFonts w:ascii="Arial" w:hAnsi="Arial"/>
          <w:b w:val="0"/>
          <w:i w:val="0"/>
          <w:color w:val="000000"/>
          <w:sz w:val="22"/>
        </w:rPr>
      </w:r>
    </w:p>
    <w:p>
      <w:pPr>
        <w:spacing w:before="0" w:after="120"/>
      </w:pPr>
      <w:r>
        <w:rPr>
          <w:rFonts w:ascii="Arial" w:hAnsi="Arial"/>
          <w:b w:val="0"/>
          <w:i w:val="0"/>
          <w:color w:val="000000"/>
          <w:sz w:val="22"/>
        </w:rPr>
        <w:t>SmartEnergy-UA напряму відповідає трьом цілям програми Nansen EDU: (1) зміцнює здатність українських університетів надавати якісну освіту у пріоритетній сфері — через нові акредитовані модулі та підвищення кваліфікації НПП; (2) розширює доступ до кваліфікованих фахівців у критично важливому для відновлення секторі — через 120 підготовлених інженерів; (3) закладає основу для довгострокової інституційної співпраці між NTNU та двома українськими університетами — через формалізовану дорожню карту, спільні лабораторії та канал майбутніх спільних заявок на Horizon Europe.</w:t>
      </w:r>
    </w:p>
    <w:p>
      <w:pPr>
        <w:spacing w:before="0" w:after="120"/>
      </w:pPr>
      <w:r>
        <w:rPr>
          <w:rFonts w:ascii="Arial" w:hAnsi="Arial"/>
          <w:b w:val="0"/>
          <w:i w:val="0"/>
          <w:color w:val="000000"/>
          <w:sz w:val="22"/>
        </w:rPr>
      </w:r>
      <w:r>
        <w:rPr>
          <w:rFonts w:ascii="Arial" w:hAnsi="Arial"/>
          <w:b/>
          <w:i w:val="0"/>
          <w:color w:val="000000"/>
          <w:sz w:val="22"/>
        </w:rPr>
        <w:t>План дисемінації</w:t>
      </w:r>
      <w:r>
        <w:rPr>
          <w:rFonts w:ascii="Arial" w:hAnsi="Arial"/>
          <w:b w:val="0"/>
          <w:i w:val="0"/>
          <w:color w:val="000000"/>
          <w:sz w:val="22"/>
        </w:rPr>
      </w:r>
    </w:p>
    <w:p>
      <w:pPr>
        <w:spacing w:before="0" w:after="120"/>
      </w:pPr>
      <w:r>
        <w:rPr>
          <w:rFonts w:ascii="Arial" w:hAnsi="Arial"/>
          <w:b w:val="0"/>
          <w:i w:val="0"/>
          <w:color w:val="000000"/>
          <w:sz w:val="22"/>
        </w:rPr>
        <w:t xml:space="preserve">Проєкт реалізує три взаємодоповнюючих канали дисемінації: (а) </w:t>
      </w:r>
      <w:r>
        <w:rPr>
          <w:rFonts w:ascii="Arial" w:hAnsi="Arial"/>
          <w:b w:val="0"/>
          <w:i/>
          <w:color w:val="000000"/>
          <w:sz w:val="22"/>
        </w:rPr>
        <w:t>Наукові публікації</w:t>
      </w:r>
      <w:r>
        <w:rPr>
          <w:rFonts w:ascii="Arial" w:hAnsi="Arial"/>
          <w:b w:val="0"/>
          <w:i w:val="0"/>
          <w:color w:val="000000"/>
          <w:sz w:val="22"/>
        </w:rPr>
        <w:t>: ≥5 рецензованих статей у міжнародних журналах (</w:t>
      </w:r>
      <w:r>
        <w:rPr>
          <w:rFonts w:ascii="Arial" w:hAnsi="Arial"/>
          <w:b w:val="0"/>
          <w:i/>
          <w:color w:val="000000"/>
          <w:sz w:val="22"/>
        </w:rPr>
        <w:t>European Journal of Engineering Education</w:t>
      </w:r>
      <w:r>
        <w:rPr>
          <w:rFonts w:ascii="Arial" w:hAnsi="Arial"/>
          <w:b w:val="0"/>
          <w:i w:val="0"/>
          <w:color w:val="000000"/>
          <w:sz w:val="22"/>
        </w:rPr>
        <w:t xml:space="preserve">, </w:t>
      </w:r>
      <w:r>
        <w:rPr>
          <w:rFonts w:ascii="Arial" w:hAnsi="Arial"/>
          <w:b w:val="0"/>
          <w:i/>
          <w:color w:val="000000"/>
          <w:sz w:val="22"/>
        </w:rPr>
        <w:t>Energy for Sustainable Development</w:t>
      </w:r>
      <w:r>
        <w:rPr>
          <w:rFonts w:ascii="Arial" w:hAnsi="Arial"/>
          <w:b w:val="0"/>
          <w:i w:val="0"/>
          <w:color w:val="000000"/>
          <w:sz w:val="22"/>
        </w:rPr>
        <w:t xml:space="preserve">, </w:t>
      </w:r>
      <w:r>
        <w:rPr>
          <w:rFonts w:ascii="Arial" w:hAnsi="Arial"/>
          <w:b w:val="0"/>
          <w:i/>
          <w:color w:val="000000"/>
          <w:sz w:val="22"/>
        </w:rPr>
        <w:t>Renewable and Sustainable Energy Reviews</w:t>
      </w:r>
      <w:r>
        <w:rPr>
          <w:rFonts w:ascii="Arial" w:hAnsi="Arial"/>
          <w:b w:val="0"/>
          <w:i w:val="0"/>
          <w:color w:val="000000"/>
          <w:sz w:val="22"/>
        </w:rPr>
        <w:t xml:space="preserve">) та матеріали конференцій (IEEE PowerTech, EEEIC). (б) </w:t>
      </w:r>
      <w:r>
        <w:rPr>
          <w:rFonts w:ascii="Arial" w:hAnsi="Arial"/>
          <w:b w:val="0"/>
          <w:i/>
          <w:color w:val="000000"/>
          <w:sz w:val="22"/>
        </w:rPr>
        <w:t>Відкриті освітні ресурси (OER)</w:t>
      </w:r>
      <w:r>
        <w:rPr>
          <w:rFonts w:ascii="Arial" w:hAnsi="Arial"/>
          <w:b w:val="0"/>
          <w:i w:val="0"/>
          <w:color w:val="000000"/>
          <w:sz w:val="22"/>
        </w:rPr>
        <w:t xml:space="preserve">: Усі 5 модулів у форматі CC BY 4.0 на платформі EdEra або Prometheus (провідних Ukrainian MOOC-платформах) — безкоштовний доступ для будь-якого студента або НПП в Україні. (в) </w:t>
      </w:r>
      <w:r>
        <w:rPr>
          <w:rFonts w:ascii="Arial" w:hAnsi="Arial"/>
          <w:b w:val="0"/>
          <w:i/>
          <w:color w:val="000000"/>
          <w:sz w:val="22"/>
        </w:rPr>
        <w:t>Мережеві заходи</w:t>
      </w:r>
      <w:r>
        <w:rPr>
          <w:rFonts w:ascii="Arial" w:hAnsi="Arial"/>
          <w:b w:val="0"/>
          <w:i w:val="0"/>
          <w:color w:val="000000"/>
          <w:sz w:val="22"/>
        </w:rPr>
        <w:t>: 3 відкриті онлайн-конференції для широкої аудиторії (~200 учасників/конференція); презентація результатів на щорічних форумах HK-dir та Nansen EDU Network.</w:t>
      </w:r>
    </w:p>
    <w:p w14:paraId="7E3D6B21" w14:textId="77777777" w:rsidR="000233C9" w:rsidRPr="003462FB" w:rsidRDefault="000233C9" w:rsidP="000233C9">
      <w:pPr>
        <w:pStyle w:val="Ingenmellomrom"/>
      </w:pPr>
    </w:p>
    <w:p w14:paraId="338F553E" w14:textId="77777777" w:rsidR="000233C9" w:rsidRDefault="000233C9" w:rsidP="000233C9">
      <w:pPr>
        <w:pStyle w:val="Ingenmellomrom"/>
      </w:pPr>
    </w:p>
    <w:p w14:paraId="3E3572ED" w14:textId="77777777" w:rsidR="00BF65CE" w:rsidRDefault="00BF65CE" w:rsidP="000233C9">
      <w:pPr>
        <w:pStyle w:val="Ingenmellomrom"/>
      </w:pPr>
    </w:p>
    <w:p w14:paraId="635081B5" w14:textId="77777777" w:rsidR="00BF65CE" w:rsidRPr="003462FB" w:rsidRDefault="00BF65CE" w:rsidP="000233C9">
      <w:pPr>
        <w:pStyle w:val="Ingenmellomrom"/>
      </w:pPr>
    </w:p>
    <w:p w14:paraId="1CC603B7" w14:textId="3D52C567" w:rsidR="000233C9" w:rsidRPr="003462FB" w:rsidRDefault="000233C9" w:rsidP="000233C9">
      <w:pPr>
        <w:pStyle w:val="Ingenmellomrom"/>
        <w:rPr>
          <w:b/>
          <w:bCs/>
        </w:rPr>
      </w:pPr>
      <w:r w:rsidRPr="003462FB">
        <w:rPr>
          <w:b/>
          <w:bCs/>
        </w:rPr>
        <w:t>4.2</w:t>
      </w:r>
      <w:r w:rsidRPr="003462FB">
        <w:rPr>
          <w:b/>
          <w:bCs/>
        </w:rPr>
        <w:tab/>
        <w:t>Duration of the impact and evaluation of the project's impact</w:t>
      </w:r>
    </w:p>
    <w:p w14:paraId="7389554D" w14:textId="77777777" w:rsidR="000233C9" w:rsidRPr="003462FB" w:rsidRDefault="000233C9" w:rsidP="000233C9">
      <w:pPr>
        <w:pStyle w:val="Ingenmellomrom"/>
      </w:pPr>
    </w:p>
    <w:p w14:paraId="4A777873" w14:textId="77777777" w:rsidR="000233C9" w:rsidRPr="003462FB" w:rsidRDefault="000233C9" w:rsidP="000233C9">
      <w:pPr>
        <w:pStyle w:val="Ingenmellomrom"/>
      </w:pPr>
    </w:p>
    <w:p w14:paraId="6454C1EC" w14:textId="64B7C09D" w:rsidR="000233C9" w:rsidRPr="003462FB" w:rsidRDefault="000233C9" w:rsidP="000233C9">
      <w:pPr>
        <w:pStyle w:val="Ingenmellomrom"/>
      </w:pPr>
      <w:r/>
    </w:p>
    <w:p>
      <w:pPr>
        <w:spacing w:before="0" w:after="120"/>
      </w:pPr>
      <w:r>
        <w:rPr>
          <w:rFonts w:ascii="Arial" w:hAnsi="Arial"/>
          <w:b w:val="0"/>
          <w:i w:val="0"/>
          <w:color w:val="000000"/>
          <w:sz w:val="22"/>
        </w:rPr>
      </w:r>
      <w:r>
        <w:rPr>
          <w:rFonts w:ascii="Arial" w:hAnsi="Arial"/>
          <w:b/>
          <w:i w:val="0"/>
          <w:color w:val="000000"/>
          <w:sz w:val="22"/>
        </w:rPr>
        <w:t>4.2 Тривалість впливу та оцінка результатів проєкту</w:t>
      </w:r>
      <w:r>
        <w:rPr>
          <w:rFonts w:ascii="Arial" w:hAnsi="Arial"/>
          <w:b w:val="0"/>
          <w:i w:val="0"/>
          <w:color w:val="000000"/>
          <w:sz w:val="22"/>
        </w:rPr>
      </w:r>
    </w:p>
    <w:p>
      <w:pPr>
        <w:spacing w:before="0" w:after="120"/>
      </w:pPr>
      <w:r>
        <w:rPr>
          <w:rFonts w:ascii="Arial" w:hAnsi="Arial"/>
          <w:b w:val="0"/>
          <w:i w:val="0"/>
          <w:color w:val="000000"/>
          <w:sz w:val="22"/>
        </w:rPr>
      </w:r>
      <w:r>
        <w:rPr>
          <w:rFonts w:ascii="Arial" w:hAnsi="Arial"/>
          <w:b/>
          <w:i w:val="0"/>
          <w:color w:val="000000"/>
          <w:sz w:val="22"/>
        </w:rPr>
        <w:t>План стійкості після завершення фінансування</w:t>
      </w:r>
      <w:r>
        <w:rPr>
          <w:rFonts w:ascii="Arial" w:hAnsi="Arial"/>
          <w:b w:val="0"/>
          <w:i w:val="0"/>
          <w:color w:val="000000"/>
          <w:sz w:val="22"/>
        </w:rPr>
      </w:r>
    </w:p>
    <w:p>
      <w:pPr>
        <w:spacing w:before="0" w:after="120"/>
      </w:pPr>
      <w:r>
        <w:rPr>
          <w:rFonts w:ascii="Arial" w:hAnsi="Arial"/>
          <w:b w:val="0"/>
          <w:i w:val="0"/>
          <w:color w:val="000000"/>
          <w:sz w:val="22"/>
        </w:rPr>
        <w:t>Стійкість результатів SmartEnergy-UA забезпечується через три взаємопідсилюючі механізми:</w:t>
      </w:r>
    </w:p>
    <w:p>
      <w:pPr>
        <w:spacing w:before="0" w:after="120"/>
      </w:pPr>
      <w:r>
        <w:rPr>
          <w:rFonts w:ascii="Arial" w:hAnsi="Arial"/>
          <w:b w:val="0"/>
          <w:i w:val="0"/>
          <w:color w:val="000000"/>
          <w:sz w:val="22"/>
        </w:rPr>
      </w:r>
      <w:r>
        <w:rPr>
          <w:rFonts w:ascii="Arial" w:hAnsi="Arial"/>
          <w:b w:val="0"/>
          <w:i/>
          <w:color w:val="000000"/>
          <w:sz w:val="22"/>
        </w:rPr>
        <w:t>Структурна інтеграція</w:t>
      </w:r>
      <w:r>
        <w:rPr>
          <w:rFonts w:ascii="Arial" w:hAnsi="Arial"/>
          <w:b w:val="0"/>
          <w:i w:val="0"/>
          <w:color w:val="000000"/>
          <w:sz w:val="22"/>
        </w:rPr>
        <w:t>: Всі 5 навчальних модулів розробляються та акредитуються відповідно до вимог НАЗЯВО (Національного агентства із забезпечення якості вищої освіти України) та стандартів НРК. Акредитація означає, що модулі автоматично включаються до щорічних навчальних планів обох університетів без потреби у щорічному перезатвердженні. Витрати на підтримання акредитованих курсів (зарплата НПП) покриваються з базових університетських бюджетів — це ключовий механізм фінансової стійкості поза межами донорського фінансування.</w:t>
      </w:r>
    </w:p>
    <w:p>
      <w:pPr>
        <w:spacing w:before="0" w:after="120"/>
      </w:pPr>
      <w:r>
        <w:rPr>
          <w:rFonts w:ascii="Arial" w:hAnsi="Arial"/>
          <w:b w:val="0"/>
          <w:i w:val="0"/>
          <w:color w:val="000000"/>
          <w:sz w:val="22"/>
        </w:rPr>
      </w:r>
      <w:r>
        <w:rPr>
          <w:rFonts w:ascii="Arial" w:hAnsi="Arial"/>
          <w:b w:val="0"/>
          <w:i/>
          <w:color w:val="000000"/>
          <w:sz w:val="22"/>
        </w:rPr>
        <w:t>Фізична інфраструктура</w:t>
      </w:r>
      <w:r>
        <w:rPr>
          <w:rFonts w:ascii="Arial" w:hAnsi="Arial"/>
          <w:b w:val="0"/>
          <w:i w:val="0"/>
          <w:color w:val="000000"/>
          <w:sz w:val="22"/>
        </w:rPr>
        <w:t>: Дві демонстраційні мікромережеві установки (Живі лабораторії) залишаються на балансі ЗНУ та УП2 після завершення проєкту. Оскільки вони одночасно є навчальними об'єктами та реальними системами енергопостачання кампусів, вони мають вбудований стимул для технічного обслуговування та розвитку незалежно від зовнішнього фінансування.</w:t>
      </w:r>
    </w:p>
    <w:p>
      <w:pPr>
        <w:spacing w:before="0" w:after="120"/>
      </w:pPr>
      <w:r>
        <w:rPr>
          <w:rFonts w:ascii="Arial" w:hAnsi="Arial"/>
          <w:b w:val="0"/>
          <w:i w:val="0"/>
          <w:color w:val="000000"/>
          <w:sz w:val="22"/>
        </w:rPr>
      </w:r>
      <w:r>
        <w:rPr>
          <w:rFonts w:ascii="Arial" w:hAnsi="Arial"/>
          <w:b w:val="0"/>
          <w:i/>
          <w:color w:val="000000"/>
          <w:sz w:val="22"/>
        </w:rPr>
        <w:t>Інституційна та фінансова безперервність</w:t>
      </w:r>
      <w:r>
        <w:rPr>
          <w:rFonts w:ascii="Arial" w:hAnsi="Arial"/>
          <w:b w:val="0"/>
          <w:i w:val="0"/>
          <w:color w:val="000000"/>
          <w:sz w:val="22"/>
        </w:rPr>
        <w:t>: Дорожня карта NTNU–ЗНУ 2026–2028 передбачає, що SmartEnergy-UA є «фундаментом» (Рік 2026), на якому у 2027–2028 роках будуються спільні дослідницькі пілоти та великомасштабні заявки на Horizon Europe (Call HORIZON-CL5-2027 «Resilient and sustainable energy systems»). Консорціум планує подати принаймні одну заявку на Horizon Europe впродовж 2027–2028 років, яка використає розроблені курси, лабораторії та мережу контактів як основу для масштабної дослідницько-освітньої діяльності. Потенційне партнерство з Durham University (UK) та TU Bergakademie Freiberg (DE), які вже мають угоди з ЗНУ, розширює географічний масштаб подальшої співпраці.</w:t>
      </w:r>
    </w:p>
    <w:p>
      <w:pPr>
        <w:spacing w:before="0" w:after="120"/>
      </w:pPr>
      <w:r>
        <w:rPr>
          <w:rFonts w:ascii="Arial" w:hAnsi="Arial"/>
          <w:b w:val="0"/>
          <w:i w:val="0"/>
          <w:color w:val="000000"/>
          <w:sz w:val="22"/>
        </w:rPr>
      </w:r>
      <w:r>
        <w:rPr>
          <w:rFonts w:ascii="Arial" w:hAnsi="Arial"/>
          <w:b/>
          <w:i w:val="0"/>
          <w:color w:val="000000"/>
          <w:sz w:val="22"/>
        </w:rPr>
        <w:t>Методологія оцінки</w:t>
      </w:r>
      <w:r>
        <w:rPr>
          <w:rFonts w:ascii="Arial" w:hAnsi="Arial"/>
          <w:b w:val="0"/>
          <w:i w:val="0"/>
          <w:color w:val="000000"/>
          <w:sz w:val="22"/>
        </w:rPr>
      </w:r>
    </w:p>
    <w:p>
      <w:pPr>
        <w:spacing w:before="0" w:after="120"/>
      </w:pPr>
      <w:r>
        <w:rPr>
          <w:rFonts w:ascii="Arial" w:hAnsi="Arial"/>
          <w:b w:val="0"/>
          <w:i w:val="0"/>
          <w:color w:val="000000"/>
          <w:sz w:val="22"/>
        </w:rPr>
        <w:t>Проєкт реалізує трирівневу систему оцінки:</w:t>
      </w:r>
    </w:p>
    <w:p>
      <w:pPr>
        <w:spacing w:before="0" w:after="120"/>
      </w:pPr>
      <w:r>
        <w:rPr>
          <w:rFonts w:ascii="Arial" w:hAnsi="Arial"/>
          <w:b w:val="0"/>
          <w:i w:val="0"/>
          <w:color w:val="000000"/>
          <w:sz w:val="22"/>
        </w:rPr>
      </w:r>
      <w:r>
        <w:rPr>
          <w:rFonts w:ascii="Arial" w:hAnsi="Arial"/>
          <w:b w:val="0"/>
          <w:i/>
          <w:color w:val="000000"/>
          <w:sz w:val="22"/>
        </w:rPr>
        <w:t>Рівень 1 — Оцінка компетентностей студентів</w:t>
      </w:r>
      <w:r>
        <w:rPr>
          <w:rFonts w:ascii="Arial" w:hAnsi="Arial"/>
          <w:b w:val="0"/>
          <w:i w:val="0"/>
          <w:color w:val="000000"/>
          <w:sz w:val="22"/>
        </w:rPr>
        <w:t>: На початку та наприкінці кожного модуля студенти проходять стандартизований тест компетентностей (pre/post assessment). Мінімальний прохідний бал — 70%. Результати агрегуються та аналізуються щосеместрово НПР. Показники успішності включають до щорічного звіту до HK-dir.</w:t>
      </w:r>
    </w:p>
    <w:p>
      <w:pPr>
        <w:spacing w:before="0" w:after="120"/>
      </w:pPr>
      <w:r>
        <w:rPr>
          <w:rFonts w:ascii="Arial" w:hAnsi="Arial"/>
          <w:b w:val="0"/>
          <w:i w:val="0"/>
          <w:color w:val="000000"/>
          <w:sz w:val="22"/>
        </w:rPr>
      </w:r>
      <w:r>
        <w:rPr>
          <w:rFonts w:ascii="Arial" w:hAnsi="Arial"/>
          <w:b w:val="0"/>
          <w:i/>
          <w:color w:val="000000"/>
          <w:sz w:val="22"/>
        </w:rPr>
        <w:t>Рівень 2 — Оцінка задоволеності та якості</w:t>
      </w:r>
      <w:r>
        <w:rPr>
          <w:rFonts w:ascii="Arial" w:hAnsi="Arial"/>
          <w:b w:val="0"/>
          <w:i w:val="0"/>
          <w:color w:val="000000"/>
          <w:sz w:val="22"/>
        </w:rPr>
        <w:t>: Наприкінці кожного модуля студенти та НПП заповнюють стандартизовані анонімні анкети (адаптована версія студентських анкет NTNU). Результати аналізуються менеджером проєкту та подаються на НПР для прийняття коригувальних заходів у наступному семестрі.</w:t>
      </w:r>
    </w:p>
    <w:p>
      <w:pPr>
        <w:spacing w:before="0" w:after="120"/>
      </w:pPr>
      <w:r>
        <w:rPr>
          <w:rFonts w:ascii="Arial" w:hAnsi="Arial"/>
          <w:b w:val="0"/>
          <w:i w:val="0"/>
          <w:color w:val="000000"/>
          <w:sz w:val="22"/>
        </w:rPr>
      </w:r>
      <w:r>
        <w:rPr>
          <w:rFonts w:ascii="Arial" w:hAnsi="Arial"/>
          <w:b w:val="0"/>
          <w:i/>
          <w:color w:val="000000"/>
          <w:sz w:val="22"/>
        </w:rPr>
        <w:t>Рівень 3 — Відстеження трудовлаштування</w:t>
      </w:r>
      <w:r>
        <w:rPr>
          <w:rFonts w:ascii="Arial" w:hAnsi="Arial"/>
          <w:b w:val="0"/>
          <w:i w:val="0"/>
          <w:color w:val="000000"/>
          <w:sz w:val="22"/>
        </w:rPr>
        <w:t>: Через 12 та 24 місяці після завершення навчання проводиться відстеження кар'єрних траєкторій студентів-випускників програми (цільовий показник: ≥60% працевлаштовані у відповідній сфері або продовжують навчання в аспірантурі).</w:t>
      </w:r>
    </w:p>
    <w:p>
      <w:pPr>
        <w:spacing w:before="0" w:after="120"/>
      </w:pPr>
      <w:r>
        <w:rPr>
          <w:rFonts w:ascii="Arial" w:hAnsi="Arial"/>
          <w:b w:val="0"/>
          <w:i w:val="0"/>
          <w:color w:val="000000"/>
          <w:sz w:val="22"/>
        </w:rPr>
      </w:r>
      <w:r>
        <w:rPr>
          <w:rFonts w:ascii="Arial" w:hAnsi="Arial"/>
          <w:b w:val="0"/>
          <w:i/>
          <w:color w:val="000000"/>
          <w:sz w:val="22"/>
        </w:rPr>
        <w:t>Зовнішня оцінка</w:t>
      </w:r>
      <w:r>
        <w:rPr>
          <w:rFonts w:ascii="Arial" w:hAnsi="Arial"/>
          <w:b w:val="0"/>
          <w:i w:val="0"/>
          <w:color w:val="000000"/>
          <w:sz w:val="22"/>
        </w:rPr>
        <w:t>: Наприкінці Року 2 та Року 3 проводиться зовнішня оцінка, яку здійснює незалежний міжнародний оцінювач (фахівець з інженерної освіти та/або енергетики, не пов'язаний із жодним партнером). Оцінювач готує звіт із рекомендаціями, що розміщується у відкритому доступі на вебсайті проєкту.</w:t>
      </w:r>
    </w:p>
    <w:p>
      <w:pPr>
        <w:spacing w:before="0" w:after="120"/>
      </w:pPr>
      <w:r>
        <w:rPr>
          <w:rFonts w:ascii="Arial" w:hAnsi="Arial"/>
          <w:b w:val="0"/>
          <w:i w:val="0"/>
          <w:color w:val="000000"/>
          <w:sz w:val="22"/>
        </w:rPr>
      </w:r>
      <w:r>
        <w:rPr>
          <w:rFonts w:ascii="Arial" w:hAnsi="Arial"/>
          <w:b w:val="0"/>
          <w:i/>
          <w:color w:val="000000"/>
          <w:sz w:val="22"/>
        </w:rPr>
        <w:t>Звітність до HK-dir</w:t>
      </w:r>
      <w:r>
        <w:rPr>
          <w:rFonts w:ascii="Arial" w:hAnsi="Arial"/>
          <w:b w:val="0"/>
          <w:i w:val="0"/>
          <w:color w:val="000000"/>
          <w:sz w:val="22"/>
        </w:rPr>
        <w:t>: Щорічний звіт (activity + financial) відповідно до вимог грантової угоди. Проміжний і фінальний звіти включають матрицю логфрейму з фактичними значеннями індикаторів.</w:t>
      </w:r>
    </w:p>
    <w:p w14:paraId="22A05506" w14:textId="77777777" w:rsidR="000233C9" w:rsidRPr="003462FB" w:rsidRDefault="000233C9" w:rsidP="000233C9">
      <w:pPr>
        <w:pStyle w:val="Ingenmellomrom"/>
      </w:pPr>
    </w:p>
    <w:p w14:paraId="7BEA9C4B" w14:textId="77777777" w:rsidR="000233C9" w:rsidRPr="003462FB" w:rsidRDefault="000233C9" w:rsidP="000233C9">
      <w:pPr>
        <w:pStyle w:val="Ingenmellomrom"/>
      </w:pPr>
    </w:p>
    <w:p w14:paraId="727AF6A2" w14:textId="77777777" w:rsidR="000233C9" w:rsidRPr="003462FB" w:rsidRDefault="000233C9" w:rsidP="000233C9">
      <w:pPr>
        <w:pStyle w:val="Ingenmellomrom"/>
      </w:pPr>
    </w:p>
    <w:p w14:paraId="72549BC3" w14:textId="77777777" w:rsidR="000233C9" w:rsidRPr="003462FB" w:rsidRDefault="000233C9" w:rsidP="000233C9">
      <w:pPr>
        <w:pStyle w:val="Ingenmellomrom"/>
      </w:pPr>
    </w:p>
    <w:p w14:paraId="32E86BDF" w14:textId="77777777" w:rsidR="000233C9" w:rsidRPr="003462FB" w:rsidRDefault="000233C9" w:rsidP="000233C9">
      <w:pPr>
        <w:pStyle w:val="Ingenmellomrom"/>
      </w:pPr>
    </w:p>
    <w:p w14:paraId="197F105F" w14:textId="77777777" w:rsidR="000233C9" w:rsidRPr="003462FB" w:rsidRDefault="000233C9" w:rsidP="000233C9">
      <w:pPr>
        <w:pStyle w:val="Ingenmellomrom"/>
      </w:pPr>
    </w:p>
    <w:p w14:paraId="3AA3D57E" w14:textId="77777777" w:rsidR="000233C9" w:rsidRPr="003462FB" w:rsidRDefault="000233C9" w:rsidP="000233C9">
      <w:pPr>
        <w:spacing w:after="200" w:line="276" w:lineRule="auto"/>
        <w:rPr>
          <w:rFonts w:eastAsiaTheme="majorEastAsia" w:cstheme="majorBidi"/>
          <w:b/>
          <w:bCs/>
          <w:sz w:val="32"/>
          <w:szCs w:val="24"/>
        </w:rPr>
      </w:pPr>
      <w:r w:rsidRPr="003462FB">
        <w:br w:type="page"/>
      </w:r>
    </w:p>
    <w:p w14:paraId="3A421977" w14:textId="77777777" w:rsidR="000233C9" w:rsidRPr="003462FB" w:rsidRDefault="000233C9" w:rsidP="000233C9">
      <w:pPr>
        <w:pStyle w:val="Overskrift2"/>
        <w:rPr>
          <w:sz w:val="32"/>
          <w:szCs w:val="24"/>
        </w:rPr>
      </w:pPr>
      <w:r w:rsidRPr="003462FB">
        <w:rPr>
          <w:sz w:val="32"/>
          <w:szCs w:val="24"/>
        </w:rPr>
        <w:t>5</w:t>
      </w:r>
      <w:r w:rsidRPr="003462FB">
        <w:rPr>
          <w:sz w:val="32"/>
          <w:szCs w:val="24"/>
        </w:rPr>
        <w:tab/>
        <w:t>Reference list</w:t>
      </w:r>
    </w:p>
    <w:p w14:paraId="14D7CA24" w14:textId="77777777" w:rsidR="000233C9" w:rsidRPr="003462FB" w:rsidRDefault="000233C9" w:rsidP="000233C9">
      <w:pPr>
        <w:pStyle w:val="Ingenmellomrom"/>
      </w:pPr>
    </w:p>
    <w:p w14:paraId="4D8D8060" w14:textId="77777777" w:rsidR="000233C9" w:rsidRPr="003462FB" w:rsidRDefault="000233C9" w:rsidP="000233C9">
      <w:pPr>
        <w:pStyle w:val="Ingenmellomrom"/>
      </w:pPr>
    </w:p>
    <w:p w14:paraId="4882C448" w14:textId="77777777" w:rsidR="000233C9" w:rsidRPr="003462FB" w:rsidRDefault="000233C9" w:rsidP="000233C9">
      <w:pPr>
        <w:pStyle w:val="Ingenmellomrom"/>
      </w:pPr>
      <w:r/>
    </w:p>
    <w:p w14:paraId="5BB0DD17" w14:textId="77777777" w:rsidR="000233C9" w:rsidRPr="003462FB" w:rsidRDefault="000233C9" w:rsidP="000233C9">
      <w:pPr>
        <w:pStyle w:val="Ingenmellomrom"/>
        <w:rPr>
          <w:sz w:val="18"/>
          <w:szCs w:val="18"/>
        </w:rPr>
      </w:pPr>
    </w:p>
    <w:p w14:paraId="2B1E9A84" w14:textId="77777777" w:rsidR="000233C9" w:rsidRPr="003462FB" w:rsidRDefault="000233C9" w:rsidP="000233C9">
      <w:pPr>
        <w:pStyle w:val="Ingenmellomrom"/>
        <w:numPr>
          <w:ilvl w:val="0"/>
          <w:numId w:val="2"/>
        </w:numPr>
        <w:rPr>
          <w:sz w:val="18"/>
          <w:szCs w:val="18"/>
        </w:rPr>
      </w:pPr>
      <w:r/>
      <w:r>
        <w:rPr>
          <w:rFonts w:ascii="Arial" w:hAnsi="Arial"/>
          <w:b w:val="0"/>
          <w:i w:val="0"/>
          <w:color w:val="000000"/>
          <w:sz w:val="20"/>
        </w:rPr>
        <w:t>[1] International Energy Agency (IEA). (2024). Ukraine Energy Sector Situation Report. IEA, Paris. https://www.iea.org/reports/ukraine-energy-sector-situation</w:t>
      </w:r>
    </w:p>
    <w:p>
      <w:pPr/>
      <w:r>
        <w:rPr>
          <w:rFonts w:ascii="Arial" w:hAnsi="Arial"/>
          <w:b w:val="0"/>
          <w:i w:val="0"/>
          <w:color w:val="000000"/>
          <w:sz w:val="20"/>
        </w:rPr>
        <w:t>[2] International Renewable Energy Agency (IRENA). (2023). Ukraine Renewable Energy Reconstruction Roadmap. IRENA, Abu Dhabi.</w:t>
      </w:r>
    </w:p>
    <w:p>
      <w:pPr/>
      <w:r>
        <w:rPr>
          <w:rFonts w:ascii="Arial" w:hAnsi="Arial"/>
          <w:b w:val="0"/>
          <w:i w:val="0"/>
          <w:color w:val="000000"/>
          <w:sz w:val="20"/>
        </w:rPr>
        <w:t>[3] World Bank. (2024). Ukraine Rapid Damage and Needs Assessment (RDNA3): March 2022 – December 2023. World Bank Group, Washington D.C.</w:t>
      </w:r>
    </w:p>
    <w:p>
      <w:pPr/>
      <w:r>
        <w:rPr>
          <w:rFonts w:ascii="Arial" w:hAnsi="Arial"/>
          <w:b w:val="0"/>
          <w:i w:val="0"/>
          <w:color w:val="000000"/>
          <w:sz w:val="20"/>
        </w:rPr>
        <w:t>[4] Міністерство освіти і науки України (МОН). (2024). Аналітичний звіт: Стан підготовки фахівців у сфері електроенергетики, електротехніки та електромеханіки (спеціальність 141) у закладах вищої освіти України. МОН, Київ.</w:t>
      </w:r>
    </w:p>
    <w:p>
      <w:pPr/>
      <w:r>
        <w:rPr>
          <w:rFonts w:ascii="Arial" w:hAnsi="Arial"/>
          <w:b w:val="0"/>
          <w:i w:val="0"/>
          <w:color w:val="000000"/>
          <w:sz w:val="20"/>
        </w:rPr>
        <w:t>[5] European Commission / EACEA. (2023). Erasmus+ Programme Guide 2024: Ukrainian Higher Education Sector Assessment. Publications Office of the EU, Brussels.</w:t>
      </w:r>
    </w:p>
    <w:p>
      <w:pPr/>
      <w:r>
        <w:rPr>
          <w:rFonts w:ascii="Arial" w:hAnsi="Arial"/>
          <w:b w:val="0"/>
          <w:i w:val="0"/>
          <w:color w:val="000000"/>
          <w:sz w:val="20"/>
        </w:rPr>
        <w:t>[6] Cabinet of Ministers of Ukraine. (2022, updated 2024). National Recovery Plan of Ukraine (NRP). Kyiv. https://www.kmu.gov.ua/en/natsionalnij-plan-vidnovlennya-ukraini</w:t>
      </w:r>
    </w:p>
    <w:p>
      <w:pPr/>
      <w:r>
        <w:rPr>
          <w:rFonts w:ascii="Arial" w:hAnsi="Arial"/>
          <w:b w:val="0"/>
          <w:i w:val="0"/>
          <w:color w:val="000000"/>
          <w:sz w:val="20"/>
        </w:rPr>
        <w:t>[7] International Energy Agency (IEA). (2022). Recommendations for an Immediate Emergency Plan for the Ukrainian Energy Sector. IEA, Paris.</w:t>
      </w:r>
    </w:p>
    <w:p>
      <w:pPr/>
      <w:r>
        <w:rPr>
          <w:rFonts w:ascii="Arial" w:hAnsi="Arial"/>
          <w:b w:val="0"/>
          <w:i w:val="0"/>
          <w:color w:val="000000"/>
          <w:sz w:val="20"/>
        </w:rPr>
        <w:t>[8] Transparency International. (2024). Corruption Perceptions Index 2023. Transparency International, Berlin. https://www.transparency.org/en/cpi/2023</w:t>
      </w:r>
    </w:p>
    <w:p>
      <w:pPr/>
      <w:r>
        <w:rPr>
          <w:rFonts w:ascii="Arial" w:hAnsi="Arial"/>
          <w:b w:val="0"/>
          <w:i w:val="0"/>
          <w:color w:val="000000"/>
          <w:sz w:val="20"/>
        </w:rPr>
        <w:t>[9] Lund, H., Østergaard, P. A., Connolly, D., &amp; Mathiesen, B. V. (2017). Smart energy and smart energy systems. Energy, 137, 556–565. https://doi.org/10.1016/j.energy.2017.05.123</w:t>
      </w:r>
    </w:p>
    <w:p>
      <w:pPr/>
      <w:r>
        <w:rPr>
          <w:rFonts w:ascii="Arial" w:hAnsi="Arial"/>
          <w:b w:val="0"/>
          <w:i w:val="0"/>
          <w:color w:val="000000"/>
          <w:sz w:val="20"/>
        </w:rPr>
        <w:t>[10] Hussain, A., Bui, V.-H., &amp; Kim, H.-M. (2019). Microgrids as a resilience resource and strategies used by microgrids for enhancing resilience. Applied Energy, 240, 56–72. https://doi.org/10.1016/j.apenergy.2019.02.055</w:t>
      </w:r>
    </w:p>
    <w:p>
      <w:pPr/>
      <w:r>
        <w:rPr>
          <w:rFonts w:ascii="Arial" w:hAnsi="Arial"/>
          <w:b w:val="0"/>
          <w:i w:val="0"/>
          <w:color w:val="000000"/>
          <w:sz w:val="20"/>
        </w:rPr>
        <w:t>[11] Pepermans, G., Driesen, J., Haeseldonckx, D., Belmans, R., &amp; D'haeseleer, W. (2005). Distributed generation: definition, benefits and issues. Energy Policy, 33(6), 787–798. https://doi.org/10.1016/j.enpol.2003.10.004</w:t>
      </w:r>
    </w:p>
    <w:p>
      <w:pPr/>
      <w:r>
        <w:rPr>
          <w:rFonts w:ascii="Arial" w:hAnsi="Arial"/>
          <w:b w:val="0"/>
          <w:i w:val="0"/>
          <w:color w:val="000000"/>
          <w:sz w:val="20"/>
        </w:rPr>
        <w:t>[12] Mills, J. E., &amp; Treagust, D. F. (2003). Engineering education — Is problem-based or project-based learning the answer? Australasian Journal of Engineering Education, 3(2), 2–16.</w:t>
      </w:r>
    </w:p>
    <w:p>
      <w:pPr/>
      <w:r>
        <w:rPr>
          <w:rFonts w:ascii="Arial" w:hAnsi="Arial"/>
          <w:b w:val="0"/>
          <w:i w:val="0"/>
          <w:color w:val="000000"/>
          <w:sz w:val="20"/>
        </w:rPr>
        <w:t>[13] European Commission. (2022). REPowerEU Plan. COM(2022) 230 final. European Commission, Brussels.</w:t>
      </w:r>
    </w:p>
    <w:p>
      <w:pPr/>
      <w:r>
        <w:rPr>
          <w:rFonts w:ascii="Arial" w:hAnsi="Arial"/>
          <w:b w:val="0"/>
          <w:i w:val="0"/>
          <w:color w:val="000000"/>
          <w:sz w:val="20"/>
        </w:rPr>
        <w:t>[14] Norwegian Ministry of Foreign Affairs. (2022). Norway's Support to Ukraine — Nansen Support Programme. Government of Norway, Oslo. https://www.regjeringen.no/en/topics/foreign-affairs/humanitarian-efforts/ukraine</w:t>
      </w:r>
    </w:p>
    <w:p>
      <w:pPr/>
      <w:r>
        <w:rPr>
          <w:rFonts w:ascii="Arial" w:hAnsi="Arial"/>
          <w:b w:val="0"/>
          <w:i w:val="0"/>
          <w:color w:val="000000"/>
          <w:sz w:val="20"/>
        </w:rPr>
        <w:t>[15] IEEE Standard 1547-2018. (2018). IEEE Standard for Interconnection and Interoperability of Distributed Energy Resources with Associated Electric Power Systems Interfaces. IEEE, New York. https://doi.org/10.1109/IEEESTD.2018.8332112</w:t>
      </w:r>
    </w:p>
    <w:p w14:paraId="682EF5B7" w14:textId="77777777" w:rsidR="000233C9" w:rsidRPr="003462FB" w:rsidRDefault="000233C9" w:rsidP="000233C9">
      <w:pPr>
        <w:pStyle w:val="Ingenmellomrom"/>
      </w:pPr>
    </w:p>
    <w:p w14:paraId="6C955AA6" w14:textId="77777777" w:rsidR="000233C9" w:rsidRPr="003462FB" w:rsidRDefault="000233C9" w:rsidP="000233C9">
      <w:pPr>
        <w:pStyle w:val="Ingenmellomrom"/>
      </w:pPr>
    </w:p>
    <w:p w14:paraId="38C38518" w14:textId="77777777" w:rsidR="000233C9" w:rsidRPr="003462FB" w:rsidRDefault="000233C9" w:rsidP="000233C9">
      <w:pPr>
        <w:pStyle w:val="Ingenmellomrom"/>
      </w:pPr>
    </w:p>
    <w:p w14:paraId="6DB84E47" w14:textId="77777777" w:rsidR="00772FFA" w:rsidRPr="003462FB" w:rsidRDefault="00772FFA" w:rsidP="00DB6B9E"/>
    <w:sectPr w:rsidR="00772FFA" w:rsidRPr="003462FB" w:rsidSect="006B03FD">
      <w:footerReference w:type="default" r:id="rId15"/>
      <w:headerReference w:type="first" r:id="rId16"/>
      <w:footerReference w:type="first" r:id="rId17"/>
      <w:endnotePr>
        <w:numFmt w:val="decimal"/>
      </w:endnotePr>
      <w:pgSz w:w="11906" w:h="16838" w:code="9"/>
      <w:pgMar w:top="85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BA4" w14:textId="77777777" w:rsidR="009B517A" w:rsidRDefault="009B517A" w:rsidP="000233C9">
      <w:pPr>
        <w:spacing w:after="0" w:line="240" w:lineRule="auto"/>
      </w:pPr>
      <w:r>
        <w:separator/>
      </w:r>
    </w:p>
  </w:endnote>
  <w:endnote w:type="continuationSeparator" w:id="0">
    <w:p w14:paraId="3F6C9238" w14:textId="77777777" w:rsidR="009B517A" w:rsidRDefault="009B517A" w:rsidP="000233C9">
      <w:pPr>
        <w:spacing w:after="0" w:line="240" w:lineRule="auto"/>
      </w:pPr>
      <w:r>
        <w:continuationSeparator/>
      </w:r>
    </w:p>
  </w:endnote>
  <w:endnote w:type="continuationNotice" w:id="1">
    <w:p w14:paraId="7AE5864B" w14:textId="77777777" w:rsidR="009B517A" w:rsidRDefault="009B5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CB96" w14:textId="77777777" w:rsidR="006B03FD" w:rsidRPr="002C6AB0" w:rsidRDefault="000233C9" w:rsidP="006B03FD">
    <w:pPr>
      <w:pStyle w:val="Bunntekst"/>
      <w:jc w:val="center"/>
      <w:rPr>
        <w:rFonts w:cstheme="minorHAnsi"/>
        <w:sz w:val="18"/>
        <w:szCs w:val="18"/>
      </w:rPr>
    </w:pPr>
    <w:r>
      <w:rPr>
        <w:snapToGrid w:val="0"/>
        <w:sz w:val="18"/>
        <w:szCs w:val="18"/>
      </w:rP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1</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59EF1880" w14:textId="77777777" w:rsidR="006B03FD" w:rsidRDefault="006B03FD">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4F3D" w14:textId="77777777" w:rsidR="006B03FD" w:rsidRPr="002C6AB0" w:rsidRDefault="000233C9" w:rsidP="006B03FD">
    <w:pPr>
      <w:pStyle w:val="Bunntekst"/>
      <w:jc w:val="right"/>
      <w:rPr>
        <w:rFonts w:cstheme="minorHAnsi"/>
        <w:sz w:val="18"/>
        <w:szCs w:val="18"/>
      </w:rPr>
    </w:pPr>
    <w:r>
      <w:rPr>
        <w:snapToGrid w:val="0"/>
        <w:sz w:val="18"/>
        <w:szCs w:val="18"/>
      </w:rPr>
      <w:tab/>
    </w:r>
    <w: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2</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27A1C635" w14:textId="77777777" w:rsidR="006B03FD" w:rsidRDefault="006B03FD">
    <w:pPr>
      <w:pStyle w:val="Bunntekst"/>
    </w:pPr>
  </w:p>
  <w:p w14:paraId="043D9A3A" w14:textId="77777777" w:rsidR="006B03FD" w:rsidRDefault="006B03F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7169" w14:textId="77777777" w:rsidR="009B517A" w:rsidRDefault="009B517A" w:rsidP="000233C9">
      <w:pPr>
        <w:spacing w:after="0" w:line="240" w:lineRule="auto"/>
      </w:pPr>
      <w:r>
        <w:separator/>
      </w:r>
    </w:p>
  </w:footnote>
  <w:footnote w:type="continuationSeparator" w:id="0">
    <w:p w14:paraId="79E2E86F" w14:textId="77777777" w:rsidR="009B517A" w:rsidRDefault="009B517A" w:rsidP="000233C9">
      <w:pPr>
        <w:spacing w:after="0" w:line="240" w:lineRule="auto"/>
      </w:pPr>
      <w:r>
        <w:continuationSeparator/>
      </w:r>
    </w:p>
  </w:footnote>
  <w:footnote w:type="continuationNotice" w:id="1">
    <w:p w14:paraId="2B0512EE" w14:textId="77777777" w:rsidR="009B517A" w:rsidRDefault="009B5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611" w14:textId="222241B3" w:rsidR="006B03FD" w:rsidRPr="00946220" w:rsidRDefault="000233C9" w:rsidP="006B03FD">
    <w:pPr>
      <w:pStyle w:val="Topptekst"/>
      <w:rPr>
        <w:i/>
        <w:iCs/>
        <w:sz w:val="20"/>
      </w:rPr>
    </w:pPr>
    <w:r>
      <w:rPr>
        <w:noProof/>
      </w:rPr>
      <w:drawing>
        <wp:anchor distT="0" distB="0" distL="114300" distR="114300" simplePos="0" relativeHeight="251658240" behindDoc="0" locked="0" layoutInCell="1" allowOverlap="1" wp14:anchorId="173F3736" wp14:editId="23DF0481">
          <wp:simplePos x="0" y="0"/>
          <wp:positionH relativeFrom="column">
            <wp:posOffset>5476875</wp:posOffset>
          </wp:positionH>
          <wp:positionV relativeFrom="paragraph">
            <wp:posOffset>-353060</wp:posOffset>
          </wp:positionV>
          <wp:extent cx="978958" cy="619125"/>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78958" cy="619125"/>
                  </a:xfrm>
                  <a:prstGeom prst="rect">
                    <a:avLst/>
                  </a:prstGeom>
                </pic:spPr>
              </pic:pic>
            </a:graphicData>
          </a:graphic>
        </wp:anchor>
      </w:drawing>
    </w:r>
    <w:r>
      <w:rPr>
        <w:i/>
        <w:iCs/>
        <w:sz w:val="20"/>
        <w:szCs w:val="20"/>
      </w:rPr>
      <w:t xml:space="preserve"> </w:t>
    </w:r>
  </w:p>
  <w:p w14:paraId="2D93A241" w14:textId="77777777" w:rsidR="006B03FD" w:rsidRDefault="006B03F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149"/>
    <w:multiLevelType w:val="hybridMultilevel"/>
    <w:tmpl w:val="B42EF65A"/>
    <w:lvl w:ilvl="0" w:tplc="57781D8A">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640570DB"/>
    <w:multiLevelType w:val="hybridMultilevel"/>
    <w:tmpl w:val="B4B4D4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AC7115"/>
    <w:multiLevelType w:val="hybridMultilevel"/>
    <w:tmpl w:val="FAB0BECA"/>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8B45D4E"/>
    <w:multiLevelType w:val="hybridMultilevel"/>
    <w:tmpl w:val="A2A8B1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21565899">
    <w:abstractNumId w:val="2"/>
  </w:num>
  <w:num w:numId="2" w16cid:durableId="990476752">
    <w:abstractNumId w:val="3"/>
  </w:num>
  <w:num w:numId="3" w16cid:durableId="535312299">
    <w:abstractNumId w:val="0"/>
  </w:num>
  <w:num w:numId="4" w16cid:durableId="453211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C9"/>
    <w:rsid w:val="000037E6"/>
    <w:rsid w:val="000211AE"/>
    <w:rsid w:val="000233C9"/>
    <w:rsid w:val="00027798"/>
    <w:rsid w:val="00062FC1"/>
    <w:rsid w:val="00080C7B"/>
    <w:rsid w:val="00081F5E"/>
    <w:rsid w:val="0008644F"/>
    <w:rsid w:val="00090DBE"/>
    <w:rsid w:val="000972A2"/>
    <w:rsid w:val="000B52D6"/>
    <w:rsid w:val="000E0CA4"/>
    <w:rsid w:val="000E2235"/>
    <w:rsid w:val="000E33EA"/>
    <w:rsid w:val="001053CD"/>
    <w:rsid w:val="00110FA1"/>
    <w:rsid w:val="001240E1"/>
    <w:rsid w:val="0012530A"/>
    <w:rsid w:val="00146203"/>
    <w:rsid w:val="0015396D"/>
    <w:rsid w:val="00157A21"/>
    <w:rsid w:val="00172582"/>
    <w:rsid w:val="0018428B"/>
    <w:rsid w:val="00195594"/>
    <w:rsid w:val="00196B2D"/>
    <w:rsid w:val="001A1F1D"/>
    <w:rsid w:val="001A321E"/>
    <w:rsid w:val="001B1E59"/>
    <w:rsid w:val="001C648A"/>
    <w:rsid w:val="001C6633"/>
    <w:rsid w:val="001D048B"/>
    <w:rsid w:val="001D7ED4"/>
    <w:rsid w:val="00211BB3"/>
    <w:rsid w:val="00276ACB"/>
    <w:rsid w:val="0028088C"/>
    <w:rsid w:val="002936F8"/>
    <w:rsid w:val="002960EF"/>
    <w:rsid w:val="002A2FA1"/>
    <w:rsid w:val="002C5A14"/>
    <w:rsid w:val="002C6576"/>
    <w:rsid w:val="002E4FC0"/>
    <w:rsid w:val="00303A96"/>
    <w:rsid w:val="003113CC"/>
    <w:rsid w:val="00332D50"/>
    <w:rsid w:val="003462FB"/>
    <w:rsid w:val="0037312A"/>
    <w:rsid w:val="003751F6"/>
    <w:rsid w:val="00376235"/>
    <w:rsid w:val="00395C5F"/>
    <w:rsid w:val="0039775D"/>
    <w:rsid w:val="003A19D5"/>
    <w:rsid w:val="003C436B"/>
    <w:rsid w:val="003C59D5"/>
    <w:rsid w:val="003C64EA"/>
    <w:rsid w:val="003C7BCD"/>
    <w:rsid w:val="003D3D3F"/>
    <w:rsid w:val="003D79EF"/>
    <w:rsid w:val="003F6585"/>
    <w:rsid w:val="004107A8"/>
    <w:rsid w:val="00424441"/>
    <w:rsid w:val="00436D38"/>
    <w:rsid w:val="00442588"/>
    <w:rsid w:val="004526EB"/>
    <w:rsid w:val="00462095"/>
    <w:rsid w:val="004654E4"/>
    <w:rsid w:val="00477B9C"/>
    <w:rsid w:val="004936FE"/>
    <w:rsid w:val="004A6CFF"/>
    <w:rsid w:val="004A766F"/>
    <w:rsid w:val="004C1B6A"/>
    <w:rsid w:val="004C5181"/>
    <w:rsid w:val="004D0BC0"/>
    <w:rsid w:val="004D4190"/>
    <w:rsid w:val="004E02E8"/>
    <w:rsid w:val="004E0F4A"/>
    <w:rsid w:val="004E1E2A"/>
    <w:rsid w:val="004F2596"/>
    <w:rsid w:val="004F4E48"/>
    <w:rsid w:val="00500451"/>
    <w:rsid w:val="00510851"/>
    <w:rsid w:val="0051185D"/>
    <w:rsid w:val="005134D1"/>
    <w:rsid w:val="00520704"/>
    <w:rsid w:val="00524B31"/>
    <w:rsid w:val="00531C41"/>
    <w:rsid w:val="005325FF"/>
    <w:rsid w:val="00533ED0"/>
    <w:rsid w:val="00543F1D"/>
    <w:rsid w:val="00550F22"/>
    <w:rsid w:val="0055759A"/>
    <w:rsid w:val="00557694"/>
    <w:rsid w:val="00557787"/>
    <w:rsid w:val="00564589"/>
    <w:rsid w:val="005808DB"/>
    <w:rsid w:val="0059169C"/>
    <w:rsid w:val="005A019D"/>
    <w:rsid w:val="005A196A"/>
    <w:rsid w:val="005D1AD4"/>
    <w:rsid w:val="005D5413"/>
    <w:rsid w:val="005F5770"/>
    <w:rsid w:val="00612935"/>
    <w:rsid w:val="00622C1E"/>
    <w:rsid w:val="00641E2D"/>
    <w:rsid w:val="00654771"/>
    <w:rsid w:val="00670291"/>
    <w:rsid w:val="00670B70"/>
    <w:rsid w:val="006768BA"/>
    <w:rsid w:val="006773B5"/>
    <w:rsid w:val="00695943"/>
    <w:rsid w:val="00695FDE"/>
    <w:rsid w:val="006B03FD"/>
    <w:rsid w:val="006B2451"/>
    <w:rsid w:val="006C6B82"/>
    <w:rsid w:val="006D7631"/>
    <w:rsid w:val="006E07BD"/>
    <w:rsid w:val="006E6565"/>
    <w:rsid w:val="006E6AF6"/>
    <w:rsid w:val="006F3F87"/>
    <w:rsid w:val="0070088A"/>
    <w:rsid w:val="007024BC"/>
    <w:rsid w:val="00704CDA"/>
    <w:rsid w:val="0071222F"/>
    <w:rsid w:val="00733A52"/>
    <w:rsid w:val="00735B71"/>
    <w:rsid w:val="007417CC"/>
    <w:rsid w:val="007438A4"/>
    <w:rsid w:val="0074512E"/>
    <w:rsid w:val="00750FB2"/>
    <w:rsid w:val="00772FFA"/>
    <w:rsid w:val="007815EC"/>
    <w:rsid w:val="00782660"/>
    <w:rsid w:val="00792DB2"/>
    <w:rsid w:val="007A1E85"/>
    <w:rsid w:val="007C5CB5"/>
    <w:rsid w:val="007E41FF"/>
    <w:rsid w:val="007E5889"/>
    <w:rsid w:val="007E6D39"/>
    <w:rsid w:val="007F534E"/>
    <w:rsid w:val="007F7EC0"/>
    <w:rsid w:val="00811909"/>
    <w:rsid w:val="00823410"/>
    <w:rsid w:val="00824026"/>
    <w:rsid w:val="008501D3"/>
    <w:rsid w:val="00853D83"/>
    <w:rsid w:val="00876C80"/>
    <w:rsid w:val="00880D89"/>
    <w:rsid w:val="00885C43"/>
    <w:rsid w:val="00895FEF"/>
    <w:rsid w:val="008A2C11"/>
    <w:rsid w:val="008D0446"/>
    <w:rsid w:val="008E27AB"/>
    <w:rsid w:val="009046DD"/>
    <w:rsid w:val="00911B7A"/>
    <w:rsid w:val="00932E7E"/>
    <w:rsid w:val="00934296"/>
    <w:rsid w:val="00937BFD"/>
    <w:rsid w:val="00957110"/>
    <w:rsid w:val="009630AA"/>
    <w:rsid w:val="00963B0D"/>
    <w:rsid w:val="009648C4"/>
    <w:rsid w:val="009A02BA"/>
    <w:rsid w:val="009A0C51"/>
    <w:rsid w:val="009B4CF7"/>
    <w:rsid w:val="009B517A"/>
    <w:rsid w:val="009C7E1C"/>
    <w:rsid w:val="009D25AF"/>
    <w:rsid w:val="009D2C0E"/>
    <w:rsid w:val="009F59E1"/>
    <w:rsid w:val="00A13FE0"/>
    <w:rsid w:val="00A1691B"/>
    <w:rsid w:val="00A34699"/>
    <w:rsid w:val="00A36951"/>
    <w:rsid w:val="00A52A90"/>
    <w:rsid w:val="00A67CA6"/>
    <w:rsid w:val="00A83B1B"/>
    <w:rsid w:val="00A876AC"/>
    <w:rsid w:val="00AA2426"/>
    <w:rsid w:val="00AA5F79"/>
    <w:rsid w:val="00AC19F1"/>
    <w:rsid w:val="00AC2B9E"/>
    <w:rsid w:val="00AC4663"/>
    <w:rsid w:val="00AD4B47"/>
    <w:rsid w:val="00AF328D"/>
    <w:rsid w:val="00B1195E"/>
    <w:rsid w:val="00B24705"/>
    <w:rsid w:val="00B44257"/>
    <w:rsid w:val="00B56DC9"/>
    <w:rsid w:val="00B6718E"/>
    <w:rsid w:val="00B81BC6"/>
    <w:rsid w:val="00BB3434"/>
    <w:rsid w:val="00BC15ED"/>
    <w:rsid w:val="00BC5596"/>
    <w:rsid w:val="00BC7E28"/>
    <w:rsid w:val="00BD0535"/>
    <w:rsid w:val="00BD1C8F"/>
    <w:rsid w:val="00BD5B10"/>
    <w:rsid w:val="00BF07BE"/>
    <w:rsid w:val="00BF65CE"/>
    <w:rsid w:val="00BF7016"/>
    <w:rsid w:val="00C0131C"/>
    <w:rsid w:val="00C24EF9"/>
    <w:rsid w:val="00C255AE"/>
    <w:rsid w:val="00C30471"/>
    <w:rsid w:val="00C62562"/>
    <w:rsid w:val="00C66341"/>
    <w:rsid w:val="00C7310C"/>
    <w:rsid w:val="00C773D8"/>
    <w:rsid w:val="00CA5FB4"/>
    <w:rsid w:val="00CB1B55"/>
    <w:rsid w:val="00CB290E"/>
    <w:rsid w:val="00CC68AB"/>
    <w:rsid w:val="00CD6161"/>
    <w:rsid w:val="00CE1797"/>
    <w:rsid w:val="00CE563E"/>
    <w:rsid w:val="00CE7E88"/>
    <w:rsid w:val="00CF37A2"/>
    <w:rsid w:val="00D040CC"/>
    <w:rsid w:val="00D05BF0"/>
    <w:rsid w:val="00D23603"/>
    <w:rsid w:val="00D2368B"/>
    <w:rsid w:val="00D24654"/>
    <w:rsid w:val="00D60674"/>
    <w:rsid w:val="00DB6B9E"/>
    <w:rsid w:val="00DC4156"/>
    <w:rsid w:val="00DC4FB0"/>
    <w:rsid w:val="00DE12D3"/>
    <w:rsid w:val="00DE1F77"/>
    <w:rsid w:val="00E047C4"/>
    <w:rsid w:val="00E52741"/>
    <w:rsid w:val="00E5362D"/>
    <w:rsid w:val="00E64EB2"/>
    <w:rsid w:val="00E74B56"/>
    <w:rsid w:val="00E858C0"/>
    <w:rsid w:val="00E93643"/>
    <w:rsid w:val="00E9636F"/>
    <w:rsid w:val="00EB581D"/>
    <w:rsid w:val="00EB5D7A"/>
    <w:rsid w:val="00EC34F7"/>
    <w:rsid w:val="00EC6861"/>
    <w:rsid w:val="00EC7FA6"/>
    <w:rsid w:val="00EE0254"/>
    <w:rsid w:val="00EF086E"/>
    <w:rsid w:val="00F169A0"/>
    <w:rsid w:val="00F4186C"/>
    <w:rsid w:val="00F55AFE"/>
    <w:rsid w:val="00F93CEC"/>
    <w:rsid w:val="00FB3B4C"/>
    <w:rsid w:val="02A1D714"/>
    <w:rsid w:val="0832A6B3"/>
    <w:rsid w:val="098A452C"/>
    <w:rsid w:val="09A3E492"/>
    <w:rsid w:val="0BC37BC6"/>
    <w:rsid w:val="1227BA6E"/>
    <w:rsid w:val="13B1CEC3"/>
    <w:rsid w:val="15CE6474"/>
    <w:rsid w:val="172B74D5"/>
    <w:rsid w:val="2120E269"/>
    <w:rsid w:val="232C2154"/>
    <w:rsid w:val="2B5C8157"/>
    <w:rsid w:val="30B5BB36"/>
    <w:rsid w:val="40121F6F"/>
    <w:rsid w:val="46111121"/>
    <w:rsid w:val="46DA2808"/>
    <w:rsid w:val="4D0E68A2"/>
    <w:rsid w:val="4E8B605A"/>
    <w:rsid w:val="525EA8D1"/>
    <w:rsid w:val="59B25891"/>
    <w:rsid w:val="5C015223"/>
    <w:rsid w:val="5DF320F5"/>
    <w:rsid w:val="5EF07E07"/>
    <w:rsid w:val="686A632C"/>
    <w:rsid w:val="74F1A771"/>
    <w:rsid w:val="7609E3EE"/>
    <w:rsid w:val="7D009CA5"/>
    <w:rsid w:val="7D6FBA63"/>
    <w:rsid w:val="7FD077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0101"/>
  <w15:chartTrackingRefBased/>
  <w15:docId w15:val="{03467658-A53B-4ADC-AEE4-BF967E77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9"/>
    <w:rPr>
      <w:color w:val="000000" w:themeColor="text1"/>
    </w:rPr>
  </w:style>
  <w:style w:type="paragraph" w:styleId="Overskrift2">
    <w:name w:val="heading 2"/>
    <w:basedOn w:val="Normal"/>
    <w:next w:val="Normal"/>
    <w:link w:val="Overskrift2Tegn"/>
    <w:uiPriority w:val="9"/>
    <w:unhideWhenUsed/>
    <w:qFormat/>
    <w:rsid w:val="000233C9"/>
    <w:pPr>
      <w:keepNext/>
      <w:keepLines/>
      <w:spacing w:before="200" w:after="0"/>
      <w:outlineLvl w:val="1"/>
    </w:pPr>
    <w:rPr>
      <w:rFonts w:eastAsiaTheme="majorEastAsia" w:cstheme="majorBidi"/>
      <w:b/>
      <w:bCs/>
      <w:sz w:val="3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0233C9"/>
    <w:rPr>
      <w:rFonts w:eastAsiaTheme="majorEastAsia" w:cstheme="majorBidi"/>
      <w:b/>
      <w:bCs/>
      <w:color w:val="000000" w:themeColor="text1"/>
      <w:sz w:val="36"/>
      <w:szCs w:val="26"/>
    </w:rPr>
  </w:style>
  <w:style w:type="paragraph" w:styleId="Topptekst">
    <w:name w:val="header"/>
    <w:basedOn w:val="Normal"/>
    <w:link w:val="TopptekstTegn"/>
    <w:uiPriority w:val="99"/>
    <w:unhideWhenUsed/>
    <w:rsid w:val="000233C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233C9"/>
    <w:rPr>
      <w:color w:val="000000" w:themeColor="text1"/>
    </w:rPr>
  </w:style>
  <w:style w:type="paragraph" w:styleId="Bunntekst">
    <w:name w:val="footer"/>
    <w:basedOn w:val="Normal"/>
    <w:link w:val="BunntekstTegn"/>
    <w:unhideWhenUsed/>
    <w:rsid w:val="000233C9"/>
    <w:pPr>
      <w:tabs>
        <w:tab w:val="center" w:pos="4536"/>
        <w:tab w:val="right" w:pos="9072"/>
      </w:tabs>
      <w:spacing w:after="0" w:line="240" w:lineRule="auto"/>
    </w:pPr>
  </w:style>
  <w:style w:type="character" w:customStyle="1" w:styleId="BunntekstTegn">
    <w:name w:val="Bunntekst Tegn"/>
    <w:basedOn w:val="Standardskriftforavsnitt"/>
    <w:link w:val="Bunntekst"/>
    <w:rsid w:val="000233C9"/>
    <w:rPr>
      <w:color w:val="000000" w:themeColor="text1"/>
    </w:rPr>
  </w:style>
  <w:style w:type="table" w:styleId="Tabellrutenett">
    <w:name w:val="Table Grid"/>
    <w:basedOn w:val="Vanligtabell"/>
    <w:uiPriority w:val="59"/>
    <w:rsid w:val="00023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0233C9"/>
    <w:pPr>
      <w:spacing w:after="0" w:line="240" w:lineRule="auto"/>
    </w:pPr>
    <w:rPr>
      <w:color w:val="000000" w:themeColor="text1"/>
    </w:rPr>
  </w:style>
  <w:style w:type="character" w:styleId="Sidetall">
    <w:name w:val="page number"/>
    <w:basedOn w:val="Standardskriftforavsnitt"/>
    <w:rsid w:val="000233C9"/>
  </w:style>
  <w:style w:type="character" w:styleId="Hyperkobling">
    <w:name w:val="Hyperlink"/>
    <w:basedOn w:val="Standardskriftforavsnitt"/>
    <w:uiPriority w:val="99"/>
    <w:unhideWhenUsed/>
    <w:rsid w:val="000233C9"/>
    <w:rPr>
      <w:color w:val="0563C1" w:themeColor="hyperlink"/>
      <w:u w:val="single"/>
    </w:rPr>
  </w:style>
  <w:style w:type="character" w:styleId="Merknadsreferanse">
    <w:name w:val="annotation reference"/>
    <w:basedOn w:val="Standardskriftforavsnitt"/>
    <w:uiPriority w:val="99"/>
    <w:semiHidden/>
    <w:unhideWhenUsed/>
    <w:rsid w:val="000233C9"/>
    <w:rPr>
      <w:sz w:val="16"/>
      <w:szCs w:val="16"/>
    </w:rPr>
  </w:style>
  <w:style w:type="paragraph" w:styleId="Merknadstekst">
    <w:name w:val="annotation text"/>
    <w:basedOn w:val="Normal"/>
    <w:link w:val="MerknadstekstTegn"/>
    <w:uiPriority w:val="99"/>
    <w:unhideWhenUsed/>
    <w:rsid w:val="000233C9"/>
    <w:pPr>
      <w:spacing w:line="240" w:lineRule="auto"/>
    </w:pPr>
    <w:rPr>
      <w:sz w:val="20"/>
      <w:szCs w:val="20"/>
    </w:rPr>
  </w:style>
  <w:style w:type="character" w:customStyle="1" w:styleId="MerknadstekstTegn">
    <w:name w:val="Merknadstekst Tegn"/>
    <w:basedOn w:val="Standardskriftforavsnitt"/>
    <w:link w:val="Merknadstekst"/>
    <w:uiPriority w:val="99"/>
    <w:rsid w:val="000233C9"/>
    <w:rPr>
      <w:color w:val="000000" w:themeColor="text1"/>
      <w:sz w:val="20"/>
      <w:szCs w:val="20"/>
    </w:rPr>
  </w:style>
  <w:style w:type="character" w:styleId="Omtale">
    <w:name w:val="Mention"/>
    <w:basedOn w:val="Standardskriftforavsnitt"/>
    <w:uiPriority w:val="99"/>
    <w:unhideWhenUsed/>
    <w:rsid w:val="000233C9"/>
    <w:rPr>
      <w:color w:val="2B579A"/>
      <w:shd w:val="clear" w:color="auto" w:fill="E1DFDD"/>
    </w:rPr>
  </w:style>
  <w:style w:type="paragraph" w:styleId="Sluttnotetekst">
    <w:name w:val="endnote text"/>
    <w:basedOn w:val="Normal"/>
    <w:link w:val="SluttnotetekstTegn"/>
    <w:uiPriority w:val="99"/>
    <w:semiHidden/>
    <w:unhideWhenUsed/>
    <w:rsid w:val="000233C9"/>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233C9"/>
    <w:rPr>
      <w:color w:val="000000" w:themeColor="text1"/>
      <w:sz w:val="20"/>
      <w:szCs w:val="20"/>
    </w:rPr>
  </w:style>
  <w:style w:type="character" w:styleId="Sluttnotereferanse">
    <w:name w:val="endnote reference"/>
    <w:basedOn w:val="Standardskriftforavsnitt"/>
    <w:uiPriority w:val="99"/>
    <w:semiHidden/>
    <w:unhideWhenUsed/>
    <w:rsid w:val="000233C9"/>
    <w:rPr>
      <w:vertAlign w:val="superscript"/>
    </w:rPr>
  </w:style>
  <w:style w:type="character" w:customStyle="1" w:styleId="normaltextrun">
    <w:name w:val="normaltextrun"/>
    <w:basedOn w:val="Standardskriftforavsnitt"/>
    <w:rsid w:val="007F534E"/>
  </w:style>
  <w:style w:type="character" w:styleId="Ulstomtale">
    <w:name w:val="Unresolved Mention"/>
    <w:basedOn w:val="Standardskriftforavsnitt"/>
    <w:uiPriority w:val="99"/>
    <w:semiHidden/>
    <w:unhideWhenUsed/>
    <w:rsid w:val="008A2C11"/>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695FDE"/>
    <w:rPr>
      <w:b/>
      <w:bCs/>
    </w:rPr>
  </w:style>
  <w:style w:type="character" w:customStyle="1" w:styleId="KommentaremneTegn">
    <w:name w:val="Kommentaremne Tegn"/>
    <w:basedOn w:val="MerknadstekstTegn"/>
    <w:link w:val="Kommentaremne"/>
    <w:uiPriority w:val="99"/>
    <w:semiHidden/>
    <w:rsid w:val="00695FDE"/>
    <w:rPr>
      <w:b/>
      <w:bCs/>
      <w:color w:val="000000" w:themeColor="text1"/>
      <w:sz w:val="20"/>
      <w:szCs w:val="20"/>
    </w:rPr>
  </w:style>
  <w:style w:type="paragraph" w:styleId="Revisjon">
    <w:name w:val="Revision"/>
    <w:hidden/>
    <w:uiPriority w:val="99"/>
    <w:semiHidden/>
    <w:rsid w:val="000972A2"/>
    <w:pPr>
      <w:spacing w:after="0" w:line="240" w:lineRule="auto"/>
    </w:pPr>
    <w:rPr>
      <w:color w:val="000000" w:themeColor="text1"/>
    </w:rPr>
  </w:style>
  <w:style w:type="character" w:styleId="Fulgthyperkobling">
    <w:name w:val="FollowedHyperlink"/>
    <w:basedOn w:val="Standardskriftforavsnitt"/>
    <w:uiPriority w:val="99"/>
    <w:semiHidden/>
    <w:unhideWhenUsed/>
    <w:rsid w:val="00477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kdir.no/en/guidelines-and-tools-for-responsible-international-knowledge-coope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kraina@hkdir.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presso.hkdir.no/login?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kdir.no/spredning-av-prosjektresult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3D173B90734304CBDCBAA2E57E3E6F0" ma:contentTypeVersion="8" ma:contentTypeDescription="Opprett et nytt dokument." ma:contentTypeScope="" ma:versionID="7f6602d71897db1f40ca7fc6655a394d">
  <xsd:schema xmlns:xsd="http://www.w3.org/2001/XMLSchema" xmlns:xs="http://www.w3.org/2001/XMLSchema" xmlns:p="http://schemas.microsoft.com/office/2006/metadata/properties" xmlns:ns2="fece2902-b34a-4503-9084-58d3448d1b6f" targetNamespace="http://schemas.microsoft.com/office/2006/metadata/properties" ma:root="true" ma:fieldsID="e243789437e6679ca0acbea0821d1154" ns2:_="">
    <xsd:import namespace="fece2902-b34a-4503-9084-58d3448d1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e2902-b34a-4503-9084-58d3448d1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C446C-5F74-4AE1-AA98-C74E0B2F023D}">
  <ds:schemaRefs>
    <ds:schemaRef ds:uri="http://schemas.microsoft.com/sharepoint/v3/contenttype/forms"/>
  </ds:schemaRefs>
</ds:datastoreItem>
</file>

<file path=customXml/itemProps2.xml><?xml version="1.0" encoding="utf-8"?>
<ds:datastoreItem xmlns:ds="http://schemas.openxmlformats.org/officeDocument/2006/customXml" ds:itemID="{2A5C391D-7D2A-45B9-BEDC-0ED53D534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e2902-b34a-4503-9084-58d3448d1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BEE83-6B21-47BC-AFAF-773C2CEC4D3E}">
  <ds:schemaRefs>
    <ds:schemaRef ds:uri="http://schemas.openxmlformats.org/officeDocument/2006/bibliography"/>
  </ds:schemaRefs>
</ds:datastoreItem>
</file>

<file path=customXml/itemProps4.xml><?xml version="1.0" encoding="utf-8"?>
<ds:datastoreItem xmlns:ds="http://schemas.openxmlformats.org/officeDocument/2006/customXml" ds:itemID="{9613EB61-E060-4C69-B0AD-016D01C02E79}">
  <ds:schemaRefs>
    <ds:schemaRef ds:uri="fece2902-b34a-4503-9084-58d3448d1b6f"/>
    <ds:schemaRef ds:uri="http://purl.org/dc/term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2049</Words>
  <Characters>10864</Characters>
  <Application>Microsoft Office Word</Application>
  <DocSecurity>0</DocSecurity>
  <Lines>90</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Torgeir Hovden</dc:creator>
  <cp:keywords/>
  <dc:description/>
  <cp:lastModifiedBy>Herdis Kolle</cp:lastModifiedBy>
  <cp:revision>2</cp:revision>
  <dcterms:created xsi:type="dcterms:W3CDTF">2025-12-01T08:49:00Z</dcterms:created>
  <dcterms:modified xsi:type="dcterms:W3CDTF">2025-12-01T08:49:00Z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0x010100F3D173B90734304CBDCBAA2E57E3E6F0</vt:lpwstr>
  </property>
  <property fmtid="{D5CDD505-2E9C-101B-9397-08002B2CF9AE}" pid="3" name="TaxKeyword">
    <vt:lpwstr/>
  </property>
  <property fmtid="{D5CDD505-2E9C-101B-9397-08002B2CF9AE}" pid="4" name="Order">
    <vt:r8>223900</vt:r8>
  </property>
  <property fmtid="{D5CDD505-2E9C-101B-9397-08002B2CF9AE}" pid="5" name="xd_Signature">
    <vt:bool>false</vt:bool>
  </property>
  <property fmtid="{D5CDD505-2E9C-101B-9397-08002B2CF9AE}" pid="6" name="Ekstern">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Arkivverdig">
    <vt:bool>false</vt:bool>
  </property>
  <property fmtid="{D5CDD505-2E9C-101B-9397-08002B2CF9AE}" pid="11" name="_ExtendedDescription">
    <vt:lpwstr/>
  </property>
  <property fmtid="{D5CDD505-2E9C-101B-9397-08002B2CF9AE}" pid="12" name="Klassifisering">
    <vt:lpwstr>Intern</vt:lpwstr>
  </property>
  <property fmtid="{D5CDD505-2E9C-101B-9397-08002B2CF9AE}" pid="13" name="TriggerFlowInfo">
    <vt:lpwstr/>
  </property>
  <property fmtid="{D5CDD505-2E9C-101B-9397-08002B2CF9AE}" pid="14" name="MediaServiceImageTags">
    <vt:lpwstr/>
  </property>
  <property fmtid="{D5CDD505-2E9C-101B-9397-08002B2CF9AE}" pid="15" name="MSIP_Label_2724d2c2-06b5-4830-8a42-89f80414a936_Enabled">
    <vt:lpwstr>true</vt:lpwstr>
  </property>
  <property fmtid="{D5CDD505-2E9C-101B-9397-08002B2CF9AE}" pid="16" name="MSIP_Label_2724d2c2-06b5-4830-8a42-89f80414a936_SetDate">
    <vt:lpwstr>2025-11-12T14:04:32Z</vt:lpwstr>
  </property>
  <property fmtid="{D5CDD505-2E9C-101B-9397-08002B2CF9AE}" pid="17" name="MSIP_Label_2724d2c2-06b5-4830-8a42-89f80414a936_Method">
    <vt:lpwstr>Privileged</vt:lpwstr>
  </property>
  <property fmtid="{D5CDD505-2E9C-101B-9397-08002B2CF9AE}" pid="18" name="MSIP_Label_2724d2c2-06b5-4830-8a42-89f80414a936_Name">
    <vt:lpwstr>Intern</vt:lpwstr>
  </property>
  <property fmtid="{D5CDD505-2E9C-101B-9397-08002B2CF9AE}" pid="19" name="MSIP_Label_2724d2c2-06b5-4830-8a42-89f80414a936_SiteId">
    <vt:lpwstr>1ec46890-73f8-4a2a-9b2c-9a6611f1c922</vt:lpwstr>
  </property>
  <property fmtid="{D5CDD505-2E9C-101B-9397-08002B2CF9AE}" pid="20" name="MSIP_Label_2724d2c2-06b5-4830-8a42-89f80414a936_ActionId">
    <vt:lpwstr>4bd84c1b-47e8-425a-b75e-14ec83d09deb</vt:lpwstr>
  </property>
  <property fmtid="{D5CDD505-2E9C-101B-9397-08002B2CF9AE}" pid="21" name="MSIP_Label_2724d2c2-06b5-4830-8a42-89f80414a936_ContentBits">
    <vt:lpwstr>0</vt:lpwstr>
  </property>
  <property fmtid="{D5CDD505-2E9C-101B-9397-08002B2CF9AE}" pid="22" name="MSIP_Label_2724d2c2-06b5-4830-8a42-89f80414a936_Tag">
    <vt:lpwstr>10, 0, 1, 1</vt:lpwstr>
  </property>
</Properties>
</file>