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1B6C" w14:textId="14FC6BE6" w:rsidR="000233C9" w:rsidRPr="003462FB" w:rsidRDefault="000233C9" w:rsidP="000233C9">
      <w:pPr>
        <w:pStyle w:val="Ingenmellomrom"/>
        <w:jc w:val="center"/>
        <w:rPr>
          <w:b/>
          <w:bCs/>
          <w:sz w:val="44"/>
          <w:szCs w:val="44"/>
        </w:rPr>
      </w:pPr>
      <w:r w:rsidRPr="003462FB">
        <w:rPr>
          <w:b/>
          <w:bCs/>
          <w:sz w:val="44"/>
          <w:szCs w:val="44"/>
        </w:rPr>
        <w:t>PROJECT DESCRIPTION</w:t>
      </w:r>
      <w:r w:rsidR="00B44257">
        <w:rPr>
          <w:b/>
          <w:bCs/>
          <w:sz w:val="44"/>
          <w:szCs w:val="44"/>
        </w:rPr>
        <w:t xml:space="preserve"> NANSEN EDU 2025</w:t>
      </w:r>
    </w:p>
    <w:p w14:paraId="11A5E9E9" w14:textId="77777777" w:rsidR="000233C9" w:rsidRPr="003462FB" w:rsidRDefault="000233C9" w:rsidP="000233C9">
      <w:pPr>
        <w:pStyle w:val="Ingenmellomrom"/>
      </w:pPr>
    </w:p>
    <w:tbl>
      <w:tblPr>
        <w:tblStyle w:val="Tabellrutenett"/>
        <w:tblW w:w="0" w:type="auto"/>
        <w:tblLook w:val="04A0" w:firstRow="1" w:lastRow="0" w:firstColumn="1" w:lastColumn="0" w:noHBand="0" w:noVBand="1"/>
      </w:tblPr>
      <w:tblGrid>
        <w:gridCol w:w="2122"/>
        <w:gridCol w:w="7506"/>
      </w:tblGrid>
      <w:tr w:rsidR="000233C9" w:rsidRPr="003462FB" w14:paraId="3A1B461F" w14:textId="77777777" w:rsidTr="006B03FD">
        <w:tc>
          <w:tcPr>
            <w:tcW w:w="2122" w:type="dxa"/>
            <w:shd w:val="clear" w:color="auto" w:fill="F7CAAC" w:themeFill="accent2" w:themeFillTint="66"/>
          </w:tcPr>
          <w:p w14:paraId="250B43DF" w14:textId="77777777" w:rsidR="000233C9" w:rsidRPr="003462FB" w:rsidRDefault="000233C9" w:rsidP="006B03FD">
            <w:pPr>
              <w:pStyle w:val="Ingenmellomrom"/>
              <w:rPr>
                <w:b/>
                <w:bCs/>
              </w:rPr>
            </w:pPr>
            <w:r w:rsidRPr="003462FB">
              <w:rPr>
                <w:b/>
                <w:bCs/>
              </w:rPr>
              <w:t>Project number:</w:t>
            </w:r>
          </w:p>
        </w:tc>
        <w:tc>
          <w:tcPr>
            <w:tcW w:w="7506" w:type="dxa"/>
          </w:tcPr>
          <w:p w14:paraId="3C378CA4" w14:textId="77777777" w:rsidR="000233C9" w:rsidRPr="003462FB" w:rsidRDefault="000233C9" w:rsidP="006B03FD">
            <w:pPr>
              <w:pStyle w:val="Ingenmellomrom"/>
            </w:pPr>
            <w:r w:rsidRPr="003462FB">
              <w:t>Enter the project number from the online application form in Espresso.</w:t>
            </w:r>
          </w:p>
        </w:tc>
      </w:tr>
      <w:tr w:rsidR="000233C9" w:rsidRPr="003462FB" w14:paraId="402479C5" w14:textId="77777777" w:rsidTr="006B03FD">
        <w:tc>
          <w:tcPr>
            <w:tcW w:w="2122" w:type="dxa"/>
            <w:shd w:val="clear" w:color="auto" w:fill="F7CAAC" w:themeFill="accent2" w:themeFillTint="66"/>
          </w:tcPr>
          <w:p w14:paraId="435DE53C" w14:textId="77777777" w:rsidR="000233C9" w:rsidRPr="003462FB" w:rsidRDefault="000233C9" w:rsidP="006B03FD">
            <w:pPr>
              <w:pStyle w:val="Ingenmellomrom"/>
              <w:rPr>
                <w:b/>
                <w:bCs/>
              </w:rPr>
            </w:pPr>
            <w:r w:rsidRPr="003462FB">
              <w:rPr>
                <w:b/>
                <w:bCs/>
              </w:rPr>
              <w:t>Project title:</w:t>
            </w:r>
          </w:p>
        </w:tc>
        <w:tc>
          <w:tcPr>
            <w:tcW w:w="7506" w:type="dxa"/>
          </w:tcPr>
          <w:p>
            <w:r>
              <w:t>Digital Twins and AI for Flexible Energy Systems Education (DigiTwin-Energy)</w:t>
            </w:r>
          </w:p>
        </w:tc>
      </w:tr>
      <w:tr w:rsidR="000233C9" w:rsidRPr="003462FB" w14:paraId="452A1CE6" w14:textId="77777777" w:rsidTr="006B03FD">
        <w:tc>
          <w:tcPr>
            <w:tcW w:w="2122" w:type="dxa"/>
            <w:shd w:val="clear" w:color="auto" w:fill="F7CAAC" w:themeFill="accent2" w:themeFillTint="66"/>
          </w:tcPr>
          <w:p w14:paraId="526047D1" w14:textId="77777777" w:rsidR="000233C9" w:rsidRPr="003462FB" w:rsidRDefault="000233C9" w:rsidP="006B03FD">
            <w:pPr>
              <w:pStyle w:val="Ingenmellomrom"/>
              <w:rPr>
                <w:b/>
                <w:bCs/>
              </w:rPr>
            </w:pPr>
            <w:r w:rsidRPr="003462FB">
              <w:rPr>
                <w:b/>
                <w:bCs/>
              </w:rPr>
              <w:t>Applicant institution:</w:t>
            </w:r>
          </w:p>
        </w:tc>
        <w:tc>
          <w:tcPr>
            <w:tcW w:w="7506" w:type="dxa"/>
          </w:tcPr>
          <w:p>
            <w:r>
              <w:t>NTNU — Norwegian University of Science and Technology</w:t>
            </w:r>
          </w:p>
        </w:tc>
      </w:tr>
    </w:tbl>
    <w:p w14:paraId="7BA37F90" w14:textId="77777777" w:rsidR="000233C9" w:rsidRPr="003462FB" w:rsidRDefault="000233C9" w:rsidP="000233C9">
      <w:pPr>
        <w:pStyle w:val="Ingenmellomrom"/>
      </w:pPr>
    </w:p>
    <w:p w14:paraId="4E93097A" w14:textId="77777777" w:rsidR="000233C9" w:rsidRPr="003462FB" w:rsidRDefault="000233C9" w:rsidP="000233C9">
      <w:pPr>
        <w:pStyle w:val="Ingenmellomrom"/>
      </w:pPr>
    </w:p>
    <w:p w14:paraId="0BCFF2B3"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439E6291"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1</w:t>
      </w:r>
      <w:r w:rsidRPr="003462FB">
        <w:rPr>
          <w:b/>
          <w:bCs/>
          <w:sz w:val="32"/>
          <w:szCs w:val="32"/>
        </w:rPr>
        <w:tab/>
        <w:t>Relevance of the project</w:t>
      </w:r>
    </w:p>
    <w:p w14:paraId="510AF068" w14:textId="77777777" w:rsidR="000233C9" w:rsidRPr="003462FB" w:rsidRDefault="000233C9" w:rsidP="000233C9">
      <w:pPr>
        <w:pStyle w:val="Ingenmellomrom"/>
        <w:rPr>
          <w:b/>
          <w:bCs/>
        </w:rPr>
      </w:pPr>
    </w:p>
    <w:p w14:paraId="2BB59462" w14:textId="720A48CC" w:rsidR="000233C9" w:rsidRPr="003462FB" w:rsidRDefault="000233C9" w:rsidP="000233C9">
      <w:pPr>
        <w:pStyle w:val="Ingenmellomrom"/>
        <w:rPr>
          <w:b/>
          <w:bCs/>
        </w:rPr>
      </w:pPr>
      <w:r w:rsidRPr="003462FB">
        <w:rPr>
          <w:b/>
          <w:bCs/>
        </w:rPr>
        <w:t>1.1</w:t>
      </w:r>
      <w:r w:rsidRPr="003462FB">
        <w:rPr>
          <w:b/>
          <w:bCs/>
        </w:rPr>
        <w:tab/>
        <w:t xml:space="preserve"> Background and needs of the project </w:t>
      </w:r>
    </w:p>
    <w:p w14:paraId="700A3BD4" w14:textId="77777777" w:rsidR="000233C9" w:rsidRPr="003462FB" w:rsidRDefault="000233C9" w:rsidP="000233C9">
      <w:pPr>
        <w:pStyle w:val="Ingenmellomrom"/>
      </w:pPr>
    </w:p>
    <w:p w14:paraId="2BF94707" w14:textId="77777777" w:rsidR="000233C9" w:rsidRPr="003462FB" w:rsidRDefault="000233C9" w:rsidP="000233C9">
      <w:pPr>
        <w:pStyle w:val="Ingenmellomrom"/>
      </w:pPr>
    </w:p>
    <w:p w14:paraId="1526B522" w14:textId="758671D8" w:rsidR="000233C9" w:rsidRPr="003462FB" w:rsidRDefault="000233C9" w:rsidP="000233C9">
      <w:pPr>
        <w:pStyle w:val="Ingenmellomrom"/>
      </w:pPr>
      <w:r/>
    </w:p>
    <w:p>
      <w:pPr>
        <w:spacing w:before="160" w:after="80"/>
      </w:pPr>
      <w:r>
        <w:rPr>
          <w:rFonts w:ascii="Arial" w:hAnsi="Arial"/>
          <w:b/>
          <w:i w:val="0"/>
          <w:color w:val="000000"/>
          <w:sz w:val="22"/>
        </w:rPr>
        <w:t>Background and Needs of the Project</w:t>
      </w:r>
    </w:p>
    <w:p>
      <w:pPr>
        <w:spacing w:before="160" w:after="80"/>
      </w:pPr>
      <w:r>
        <w:rPr>
          <w:rFonts w:ascii="Arial" w:hAnsi="Arial"/>
          <w:b/>
          <w:i w:val="0"/>
          <w:color w:val="000000"/>
          <w:sz w:val="22"/>
        </w:rPr>
        <w:t>The Ukrainian Energy Crisis: A Structural and Educational Emergency</w:t>
      </w:r>
    </w:p>
    <w:p>
      <w:pPr>
        <w:spacing w:before="0" w:after="120"/>
      </w:pPr>
      <w:r>
        <w:rPr>
          <w:rFonts w:ascii="Arial" w:hAnsi="Arial"/>
          <w:b w:val="0"/>
          <w:i w:val="0"/>
          <w:color w:val="000000"/>
          <w:sz w:val="22"/>
        </w:rPr>
        <w:t>Russia's full-scale invasion of Ukraine, launched in February 2022, has inflicted catastrophic damage on Ukrainian energy infrastructure. According to the International Energy Agency (IEA) and the World Bank Ukraine Rapid Damage Assessment (2024), more than 70% of Ukraine's thermal generation capacity and approximately 40% of its transmission infrastructure have been damaged or destroyed by targeted strikes [1, 2]. The Zaporizhzhia region — home to Europe's largest nuclear power plant (ZNPP, 6 GW capacity), the Dnieper Hydroelectric Station (Dnipro HPP, 1.5 GW, whose dam was partially destroyed in June 2023), and a major industrial electricity consumer base — has suffered disproportionate infrastructure losses and remains a frontline combat zone as of 2025 [3]. Winter 2023–2024 saw scheduled blackouts averaging 12–18 hours per day across Ukraine, with Zaporizhzhia among the most severely affected oblasts. The Ukrainian Ministry of Energy has identified intelligent, resilient, and decentralised energy system management — including digital monitoring, predictive control, and AI-driven optimisation — as a reconstruction priority under the Ukraine Recovery Plan (URP) and the REPowerUkraine framework [4].</w:t>
      </w:r>
    </w:p>
    <w:p>
      <w:pPr>
        <w:spacing w:before="0" w:after="120"/>
      </w:pPr>
      <w:r>
        <w:rPr>
          <w:rFonts w:ascii="Arial" w:hAnsi="Arial"/>
          <w:b w:val="0"/>
          <w:i w:val="0"/>
          <w:color w:val="000000"/>
          <w:sz w:val="22"/>
        </w:rPr>
        <w:t>This energy crisis is simultaneously an educational crisis. Ukraine's higher education system has historically produced strong electrical engineering graduates, but curricula across most technical universities predate the digital transformation of energy systems. A 2023 survey conducted across seven Ukrainian technical universities by the Ukrainian Higher Education Reform Experts (HEREs) team found that fewer than 12% of energy engineering programmes include any dedicated instruction on digital twin (DT) architecture, and fewer than 8% incorporate physics-informed machine learning or AI-driven grid optimisation [5]. IoT-based real-time monitoring, SCADA integration at the course level, and cybersecurity for energy infrastructure are effectively absent from standard undergraduate and master's curricula. The result is a structural skills gap: Ukrainian grid operators, energy companies, and reconstruction engineers urgently need professionals competent in the technologies that modern, resilient energy systems require, yet the higher education system cannot yet supply them.</w:t>
      </w:r>
    </w:p>
    <w:p>
      <w:pPr>
        <w:spacing w:before="0" w:after="120"/>
      </w:pPr>
      <w:r>
        <w:rPr>
          <w:rFonts w:ascii="Arial" w:hAnsi="Arial"/>
          <w:b w:val="0"/>
          <w:i w:val="0"/>
          <w:color w:val="000000"/>
          <w:sz w:val="22"/>
        </w:rPr>
        <w:t>Zaporizhzhia National University (ZNU) occupies a uniquely critical position in this context. As one of the primary higher education institutions serving a frontline industrial region — and the only comprehensive research university remaining operationally active in Zaporizhzhia oblast — ZNU bears an outsized responsibility for producing the skilled workforce that regional energy reconstruction demands. ZNU's Engineering Educational and Scientific Institute, its Hydropower Professional College, and its Faculty of Mathematics together constitute an existing interdisciplinary base for energy systems, high-performance computing, and AI/ML research. However, ZNU staff and students are working under extreme wartime conditions: regular air-raid alerts, power outages, psychological stress, and the displacement of approximately 30% of pre-war students. Despite these conditions, ZNU has maintained academic continuity through blended delivery, cloud migration to Microsoft Azure, and rooftop solar backup power — demonstrating precisely the institutional resilience that the Nansen EDU programme aims to support.</w:t>
      </w:r>
    </w:p>
    <w:p>
      <w:pPr>
        <w:spacing w:before="160" w:after="80"/>
      </w:pPr>
      <w:r>
        <w:rPr>
          <w:rFonts w:ascii="Arial" w:hAnsi="Arial"/>
          <w:b/>
          <w:i w:val="0"/>
          <w:color w:val="000000"/>
          <w:sz w:val="22"/>
        </w:rPr>
        <w:t>Target Groups and Their Specific Needs</w:t>
      </w:r>
    </w:p>
    <w:p>
      <w:pPr>
        <w:spacing w:before="0" w:after="120"/>
      </w:pPr>
      <w:r>
        <w:rPr>
          <w:rFonts w:ascii="Arial" w:hAnsi="Arial"/>
          <w:b w:val="0"/>
          <w:i w:val="0"/>
          <w:color w:val="000000"/>
          <w:sz w:val="22"/>
        </w:rPr>
        <w:t>The DigiTwin-Energy project addresses four interconnected target groups:</w:t>
      </w:r>
    </w:p>
    <w:p>
      <w:pPr>
        <w:spacing w:before="0" w:after="120"/>
      </w:pPr>
      <w:r>
        <w:rPr>
          <w:rFonts w:ascii="Arial" w:hAnsi="Arial"/>
          <w:b w:val="0"/>
          <w:i w:val="0"/>
          <w:color w:val="000000"/>
          <w:sz w:val="22"/>
        </w:rPr>
      </w:r>
      <w:r>
        <w:rPr>
          <w:rFonts w:ascii="Arial" w:hAnsi="Arial"/>
          <w:b/>
          <w:i w:val="0"/>
          <w:color w:val="000000"/>
          <w:sz w:val="22"/>
        </w:rPr>
        <w:t>1. Ukrainian master's and senior bachelor's students in energy engineering, electrical engineering, computer science, and applied mathematics</w:t>
      </w:r>
      <w:r>
        <w:rPr>
          <w:rFonts w:ascii="Arial" w:hAnsi="Arial"/>
          <w:b w:val="0"/>
          <w:i w:val="0"/>
          <w:color w:val="000000"/>
          <w:sz w:val="22"/>
        </w:rPr>
        <w:t xml:space="preserve"> (primary beneficiaries). The project will directly train a minimum of 180 students across the three-year period: 60 students per year across ZNU and the second Ukrainian partner institution (Partner 2, to be confirmed), through new joint courses integrated into accredited degree programmes. These students currently lack exposure to digital twin modelling environments, physics-informed neural networks (PINNs), and real-time cyber-physical systems. DigiTwin-Energy will equip them with market-ready competencies aligned with European energy sector employer requirements.</w:t>
      </w:r>
    </w:p>
    <w:p>
      <w:pPr>
        <w:spacing w:before="0" w:after="120"/>
      </w:pPr>
      <w:r>
        <w:rPr>
          <w:rFonts w:ascii="Arial" w:hAnsi="Arial"/>
          <w:b w:val="0"/>
          <w:i w:val="0"/>
          <w:color w:val="000000"/>
          <w:sz w:val="22"/>
        </w:rPr>
      </w:r>
      <w:r>
        <w:rPr>
          <w:rFonts w:ascii="Arial" w:hAnsi="Arial"/>
          <w:b/>
          <w:i w:val="0"/>
          <w:color w:val="000000"/>
          <w:sz w:val="22"/>
        </w:rPr>
        <w:t>2. Academic staff at Ukrainian partner institutions</w:t>
      </w:r>
      <w:r>
        <w:rPr>
          <w:rFonts w:ascii="Arial" w:hAnsi="Arial"/>
          <w:b w:val="0"/>
          <w:i w:val="0"/>
          <w:color w:val="000000"/>
          <w:sz w:val="22"/>
        </w:rPr>
        <w:t xml:space="preserve"> (secondary but structurally critical beneficiaries). Curriculum reform without faculty development is unsustainable. DigiTwin-Energy will provide intensive upskilling for a minimum of 24 Ukrainian academic staff (12 per institution) through NTNU-led training workshops, co-teaching arrangements, and research exchanges. Staff will develop the didactic competence to teach digital twin methodology, AI simulation, and cybersecurity independently after project end.</w:t>
      </w:r>
    </w:p>
    <w:p>
      <w:pPr>
        <w:spacing w:before="0" w:after="120"/>
      </w:pPr>
      <w:r>
        <w:rPr>
          <w:rFonts w:ascii="Arial" w:hAnsi="Arial"/>
          <w:b w:val="0"/>
          <w:i w:val="0"/>
          <w:color w:val="000000"/>
          <w:sz w:val="22"/>
        </w:rPr>
      </w:r>
      <w:r>
        <w:rPr>
          <w:rFonts w:ascii="Arial" w:hAnsi="Arial"/>
          <w:b/>
          <w:i w:val="0"/>
          <w:color w:val="000000"/>
          <w:sz w:val="22"/>
        </w:rPr>
        <w:t>3. Ukrainian energy sector professionals and grid operators</w:t>
      </w:r>
      <w:r>
        <w:rPr>
          <w:rFonts w:ascii="Arial" w:hAnsi="Arial"/>
          <w:b w:val="0"/>
          <w:i w:val="0"/>
          <w:color w:val="000000"/>
          <w:sz w:val="22"/>
        </w:rPr>
        <w:t xml:space="preserve"> (indirect beneficiaries). The project establishes a Living Lab (WP4) in partnership with regional energy industry stakeholders, including Ukrenergo (national transmission system operator) regional divisions and local distribution system operators (DSOs). Through industry-embedded pilot projects, approximately 40 industry practitioners will be exposed to digital twin tools and methodologies over the project period.</w:t>
      </w:r>
    </w:p>
    <w:p>
      <w:pPr>
        <w:spacing w:before="0" w:after="120"/>
      </w:pPr>
      <w:r>
        <w:rPr>
          <w:rFonts w:ascii="Arial" w:hAnsi="Arial"/>
          <w:b w:val="0"/>
          <w:i w:val="0"/>
          <w:color w:val="000000"/>
          <w:sz w:val="22"/>
        </w:rPr>
      </w:r>
      <w:r>
        <w:rPr>
          <w:rFonts w:ascii="Arial" w:hAnsi="Arial"/>
          <w:b/>
          <w:i w:val="0"/>
          <w:color w:val="000000"/>
          <w:sz w:val="22"/>
        </w:rPr>
        <w:t>4. The broader Ukrainian higher education ecosystem</w:t>
      </w:r>
      <w:r>
        <w:rPr>
          <w:rFonts w:ascii="Arial" w:hAnsi="Arial"/>
          <w:b w:val="0"/>
          <w:i w:val="0"/>
          <w:color w:val="000000"/>
          <w:sz w:val="22"/>
        </w:rPr>
        <w:t xml:space="preserve"> (systemic beneficiaries). All developed curricula, simulation datasets, and teaching materials will be published as Open Educational Resources (OER) in Ukrainian and English, available for adoption by any Ukrainian HEI. The project targets at least five additional Ukrainian universities adopting DigiTwin-Energy course modules by Year 3.</w:t>
      </w:r>
    </w:p>
    <w:p>
      <w:pPr>
        <w:spacing w:before="160" w:after="80"/>
      </w:pPr>
      <w:r>
        <w:rPr>
          <w:rFonts w:ascii="Arial" w:hAnsi="Arial"/>
          <w:b/>
          <w:i w:val="0"/>
          <w:color w:val="000000"/>
          <w:sz w:val="22"/>
        </w:rPr>
        <w:t>Planned Results: SMART Objectives</w:t>
      </w:r>
    </w:p>
    <w:p>
      <w:pPr>
        <w:spacing w:before="0" w:after="120"/>
      </w:pPr>
      <w:r>
        <w:rPr>
          <w:rFonts w:ascii="Arial" w:hAnsi="Arial"/>
          <w:b w:val="0"/>
          <w:i w:val="0"/>
          <w:color w:val="000000"/>
          <w:sz w:val="22"/>
        </w:rPr>
        <w:t>The DigiTwin-Energy project commits to the following measurable results by June 2029 (baseline: January 2026):</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R1 — Curriculum</w:t>
      </w:r>
      <w:r>
        <w:rPr>
          <w:rFonts w:ascii="Arial" w:hAnsi="Arial"/>
          <w:b w:val="0"/>
          <w:i w:val="0"/>
          <w:color w:val="000000"/>
          <w:sz w:val="22"/>
        </w:rPr>
        <w:t>: Develop and accredit 4 new joint graduate-level course modules (totalling ≥ 24 ECTS) covering digital twin architecture, physics-informed neural networks for energy modelling, real-time SCADA/IoT integration, and cybersecurity for digital energy infrastructure. Baseline: 0 such courses exist at partner institutions.</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R2 — Students trained</w:t>
      </w:r>
      <w:r>
        <w:rPr>
          <w:rFonts w:ascii="Arial" w:hAnsi="Arial"/>
          <w:b w:val="0"/>
          <w:i w:val="0"/>
          <w:color w:val="000000"/>
          <w:sz w:val="22"/>
        </w:rPr>
        <w:t>: Minimum 180 students complete at least one DigiTwin-Energy module with a pass grade, of whom ≥ 40% are women. Baseline: 0 students enrolled in DT-specific energy courses.</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R3 — Staff developed</w:t>
      </w:r>
      <w:r>
        <w:rPr>
          <w:rFonts w:ascii="Arial" w:hAnsi="Arial"/>
          <w:b w:val="0"/>
          <w:i w:val="0"/>
          <w:color w:val="000000"/>
          <w:sz w:val="22"/>
        </w:rPr>
        <w:t>: Minimum 24 Ukrainian academic staff complete the NTNU-led faculty development programme and demonstrate competence to deliver course modules independently. Baseline: &lt; 3 ZNU staff with DT teaching competence.</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R4 — Exchanges</w:t>
      </w:r>
      <w:r>
        <w:rPr>
          <w:rFonts w:ascii="Arial" w:hAnsi="Arial"/>
          <w:b w:val="0"/>
          <w:i w:val="0"/>
          <w:color w:val="000000"/>
          <w:sz w:val="22"/>
        </w:rPr>
        <w:t>: Minimum 12 student exchanges to NTNU (6-month stays) and 18 staff short-term exchanges (5–10 days each, combining in-person and digital formats). All physically feasible exchanges will occur via climate-responsible transport.</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R5 — Living Lab pilots</w:t>
      </w:r>
      <w:r>
        <w:rPr>
          <w:rFonts w:ascii="Arial" w:hAnsi="Arial"/>
          <w:b w:val="0"/>
          <w:i w:val="0"/>
          <w:color w:val="000000"/>
          <w:sz w:val="22"/>
        </w:rPr>
        <w:t>: Minimum 3 completed industry-embedded pilot projects in which student teams apply digital twin tools to real Ukrainian energy assets (substation models, renewable microgrids, distribution network segments), with documented industry partner feedback.</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R6 — Open Educational Resources</w:t>
      </w:r>
      <w:r>
        <w:rPr>
          <w:rFonts w:ascii="Arial" w:hAnsi="Arial"/>
          <w:b w:val="0"/>
          <w:i w:val="0"/>
          <w:color w:val="000000"/>
          <w:sz w:val="22"/>
        </w:rPr>
        <w:t>: Full curriculum package (syllabi, datasets, simulation environments, assessment rubrics) published under Creative Commons licence on a public platform, downloaded or accessed by ≥ 500 users within 12 months of release.</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R7 — Institutional embedding</w:t>
      </w:r>
      <w:r>
        <w:rPr>
          <w:rFonts w:ascii="Arial" w:hAnsi="Arial"/>
          <w:b w:val="0"/>
          <w:i w:val="0"/>
          <w:color w:val="000000"/>
          <w:sz w:val="22"/>
        </w:rPr>
        <w:t>: All 4 course modules formally approved for inclusion in ZNU and Partner 2 degree programmes by the end of Year 2, ensuring continuity beyond project funding.</w:t>
      </w:r>
    </w:p>
    <w:p w14:paraId="08FF87D0" w14:textId="77777777" w:rsidR="000233C9" w:rsidRPr="003462FB" w:rsidRDefault="000233C9" w:rsidP="000233C9">
      <w:pPr>
        <w:pStyle w:val="Ingenmellomrom"/>
      </w:pPr>
    </w:p>
    <w:p w14:paraId="4E09DB5A" w14:textId="77777777" w:rsidR="000233C9" w:rsidRPr="003462FB" w:rsidRDefault="000233C9" w:rsidP="000233C9">
      <w:pPr>
        <w:pStyle w:val="Ingenmellomrom"/>
        <w:rPr>
          <w:b/>
          <w:bCs/>
        </w:rPr>
      </w:pPr>
    </w:p>
    <w:p w14:paraId="6B30ECA6" w14:textId="77777777" w:rsidR="000233C9" w:rsidRPr="003462FB" w:rsidRDefault="000233C9" w:rsidP="000233C9">
      <w:pPr>
        <w:pStyle w:val="Ingenmellomrom"/>
      </w:pPr>
    </w:p>
    <w:p w14:paraId="4EF39E28" w14:textId="77777777" w:rsidR="000233C9" w:rsidRPr="003462FB" w:rsidRDefault="000233C9" w:rsidP="000233C9">
      <w:pPr>
        <w:pStyle w:val="Ingenmellomrom"/>
      </w:pPr>
    </w:p>
    <w:p w14:paraId="73073620" w14:textId="77777777" w:rsidR="000233C9" w:rsidRPr="003462FB" w:rsidRDefault="000233C9" w:rsidP="000233C9">
      <w:pPr>
        <w:pStyle w:val="Ingenmellomrom"/>
        <w:rPr>
          <w:b/>
          <w:bCs/>
        </w:rPr>
      </w:pPr>
      <w:r w:rsidRPr="003462FB">
        <w:rPr>
          <w:b/>
          <w:bCs/>
        </w:rPr>
        <w:t xml:space="preserve">1.2 </w:t>
      </w:r>
      <w:r w:rsidRPr="003462FB">
        <w:rPr>
          <w:b/>
          <w:bCs/>
        </w:rPr>
        <w:tab/>
        <w:t xml:space="preserve">The project's alignment with other activities/measures and any innovative elements </w:t>
      </w:r>
    </w:p>
    <w:p w14:paraId="76B46268" w14:textId="77777777" w:rsidR="000233C9" w:rsidRPr="003462FB" w:rsidRDefault="000233C9" w:rsidP="000233C9">
      <w:pPr>
        <w:pStyle w:val="Ingenmellomrom"/>
      </w:pPr>
    </w:p>
    <w:p w14:paraId="7D9CC889" w14:textId="77777777" w:rsidR="000233C9" w:rsidRPr="003462FB" w:rsidRDefault="000233C9" w:rsidP="000233C9">
      <w:pPr>
        <w:pStyle w:val="Ingenmellomrom"/>
      </w:pPr>
    </w:p>
    <w:p w14:paraId="02C62CA4" w14:textId="2B9AF084" w:rsidR="000233C9" w:rsidRPr="003462FB" w:rsidRDefault="000233C9" w:rsidP="000233C9">
      <w:pPr>
        <w:pStyle w:val="Ingenmellomrom"/>
      </w:pPr>
      <w:r/>
    </w:p>
    <w:p>
      <w:pPr>
        <w:spacing w:before="160" w:after="80"/>
      </w:pPr>
      <w:r>
        <w:rPr>
          <w:rFonts w:ascii="Arial" w:hAnsi="Arial"/>
          <w:b/>
          <w:i w:val="0"/>
          <w:color w:val="000000"/>
          <w:sz w:val="22"/>
        </w:rPr>
        <w:t>Alignment with Other Activities and Innovative Elements</w:t>
      </w:r>
    </w:p>
    <w:p>
      <w:pPr>
        <w:spacing w:before="160" w:after="80"/>
      </w:pPr>
      <w:r>
        <w:rPr>
          <w:rFonts w:ascii="Arial" w:hAnsi="Arial"/>
          <w:b/>
          <w:i w:val="0"/>
          <w:color w:val="000000"/>
          <w:sz w:val="22"/>
        </w:rPr>
        <w:t>Building on Established Partner Strengths</w:t>
      </w:r>
    </w:p>
    <w:p>
      <w:pPr>
        <w:spacing w:before="0" w:after="120"/>
      </w:pPr>
      <w:r>
        <w:rPr>
          <w:rFonts w:ascii="Arial" w:hAnsi="Arial"/>
          <w:b w:val="0"/>
          <w:i w:val="0"/>
          <w:color w:val="000000"/>
          <w:sz w:val="22"/>
        </w:rPr>
        <w:t>DigiTwin-Energy is not a greenfield initiative; it is grounded in substantive prior activities at both NTNU and ZNU. NTNU's Department of Engineering Cybernetics is internationally recognised for research in cyber-physical systems, model-based control, and digital twin methodology, with the NTNU Gemini Centre for Digital Twin Technology (est. 2020) providing direct access to industry-scale DT implementations in the oil and gas, maritime, and energy sectors [6]. NTNU's collaboration with SINTEF — Norway's largest independent research organisation — means that DigiTwin-Energy curricula will be informed by applied industrial DT deployments, not merely theoretical models. NTNU's extensive experience in international educational partnerships, including as a coordinator and partner in multiple Erasmus+ and Horizon Europe projects, provides the administrative infrastructure and quality assurance mechanisms needed to manage a complex trilateral consortium.</w:t>
      </w:r>
    </w:p>
    <w:p>
      <w:pPr>
        <w:spacing w:before="0" w:after="120"/>
      </w:pPr>
      <w:r>
        <w:rPr>
          <w:rFonts w:ascii="Arial" w:hAnsi="Arial"/>
          <w:b w:val="0"/>
          <w:i w:val="0"/>
          <w:color w:val="000000"/>
          <w:sz w:val="22"/>
        </w:rPr>
        <w:t>At ZNU, the Laboratory of Parallel and Distributed Computing within the Faculty of Mathematics provides the high-performance computing resources necessary to run energy system simulations and train machine learning models at realistic scale. ZNU's Engineering Educational and Scientific Institute has active research combining IoT sensor data with industrial process modelling. ZNU has already deployed Microsoft Azure cloud infrastructure for data storage and computational services — a critical pre-condition for hosting and running digital twin deployments in a low-connectivity, power-interrupted wartime environment. The 2025 bilateral roadmap agreed between NTNU and ZNU (2026–2028: Foundation → Pilots → Scaling) directly prefigures the DigiTwin-Energy work plan, confirming that this project formalises a partnership that is already institutionally committed.</w:t>
      </w:r>
    </w:p>
    <w:p>
      <w:pPr>
        <w:spacing w:before="160" w:after="80"/>
      </w:pPr>
      <w:r>
        <w:rPr>
          <w:rFonts w:ascii="Arial" w:hAnsi="Arial"/>
          <w:b/>
          <w:i w:val="0"/>
          <w:color w:val="000000"/>
          <w:sz w:val="22"/>
        </w:rPr>
        <w:t>Complementarity with Existing International Programmes</w:t>
      </w:r>
    </w:p>
    <w:p>
      <w:pPr>
        <w:spacing w:before="0" w:after="120"/>
      </w:pPr>
      <w:r>
        <w:rPr>
          <w:rFonts w:ascii="Arial" w:hAnsi="Arial"/>
          <w:b w:val="0"/>
          <w:i w:val="0"/>
          <w:color w:val="000000"/>
          <w:sz w:val="22"/>
        </w:rPr>
        <w:t>The proposers have conducted thorough due diligence on existing initiatives to ensure DigiTwin-Energy adds genuine value rather than duplicating ongoing work:</w:t>
      </w:r>
    </w:p>
    <w:p>
      <w:pPr>
        <w:spacing w:before="0" w:after="120"/>
      </w:pPr>
      <w:r>
        <w:rPr>
          <w:rFonts w:ascii="Arial" w:hAnsi="Arial"/>
          <w:b w:val="0"/>
          <w:i w:val="0"/>
          <w:color w:val="000000"/>
          <w:sz w:val="22"/>
        </w:rPr>
      </w:r>
      <w:r>
        <w:rPr>
          <w:rFonts w:ascii="Arial" w:hAnsi="Arial"/>
          <w:b/>
          <w:i w:val="0"/>
          <w:color w:val="000000"/>
          <w:sz w:val="22"/>
        </w:rPr>
        <w:t>Erasmus+ (KA2 Capacity Building in Higher Education)</w:t>
      </w:r>
      <w:r>
        <w:rPr>
          <w:rFonts w:ascii="Arial" w:hAnsi="Arial"/>
          <w:b w:val="0"/>
          <w:i w:val="0"/>
          <w:color w:val="000000"/>
          <w:sz w:val="22"/>
        </w:rPr>
        <w:t>: ZNU currently participates in 14 active Erasmus+ projects, several of which address general digital skills or engineering education modernisation. None of these projects focus specifically on digital twin technology for energy systems. DigiTwin-Energy is explicitly designed to complement, not replicate, ZNU's Erasmus+ portfolio. Where ZNU's Erasmus+ projects have developed foundational digital infrastructure (e.g., LMS platforms, blended learning workflows), DigiTwin-Energy will build advanced domain-specific content on top of this foundation.</w:t>
      </w:r>
    </w:p>
    <w:p>
      <w:pPr>
        <w:spacing w:before="0" w:after="120"/>
      </w:pPr>
      <w:r>
        <w:rPr>
          <w:rFonts w:ascii="Arial" w:hAnsi="Arial"/>
          <w:b w:val="0"/>
          <w:i w:val="0"/>
          <w:color w:val="000000"/>
          <w:sz w:val="22"/>
        </w:rPr>
      </w:r>
      <w:r>
        <w:rPr>
          <w:rFonts w:ascii="Arial" w:hAnsi="Arial"/>
          <w:b/>
          <w:i w:val="0"/>
          <w:color w:val="000000"/>
          <w:sz w:val="22"/>
        </w:rPr>
        <w:t>Horizon Europe / MSCA</w:t>
      </w:r>
      <w:r>
        <w:rPr>
          <w:rFonts w:ascii="Arial" w:hAnsi="Arial"/>
          <w:b w:val="0"/>
          <w:i w:val="0"/>
          <w:color w:val="000000"/>
          <w:sz w:val="22"/>
        </w:rPr>
        <w:t>: ZNU's three active MSCA projects are primarily researcher-mobility and research-collaboration focused, generating academic outputs rather than structured educational programmes. DigiTwin-Energy's emphasis on curriculum development, student training at scale, and open educational resources fills a gap that MSCA funding structures cannot address.</w:t>
      </w:r>
    </w:p>
    <w:p>
      <w:pPr>
        <w:spacing w:before="0" w:after="120"/>
      </w:pPr>
      <w:r>
        <w:rPr>
          <w:rFonts w:ascii="Arial" w:hAnsi="Arial"/>
          <w:b w:val="0"/>
          <w:i w:val="0"/>
          <w:color w:val="000000"/>
          <w:sz w:val="22"/>
        </w:rPr>
      </w:r>
      <w:r>
        <w:rPr>
          <w:rFonts w:ascii="Arial" w:hAnsi="Arial"/>
          <w:b/>
          <w:i w:val="0"/>
          <w:color w:val="000000"/>
          <w:sz w:val="22"/>
        </w:rPr>
        <w:t>DAAD Ukraine Digital</w:t>
      </w:r>
      <w:r>
        <w:rPr>
          <w:rFonts w:ascii="Arial" w:hAnsi="Arial"/>
          <w:b w:val="0"/>
          <w:i w:val="0"/>
          <w:color w:val="000000"/>
          <w:sz w:val="22"/>
        </w:rPr>
        <w:t>: ZNU's DAAD-funded project focuses on digital competences broadly construed. DigiTwin-Energy's narrow, deep focus on digital twin architecture for energy systems — including physics-informed neural networks, SCADA integration, and predictive maintenance — represents a distinct and more technically specialised intervention.</w:t>
      </w:r>
    </w:p>
    <w:p>
      <w:pPr>
        <w:spacing w:before="0" w:after="120"/>
      </w:pPr>
      <w:r>
        <w:rPr>
          <w:rFonts w:ascii="Arial" w:hAnsi="Arial"/>
          <w:b w:val="0"/>
          <w:i w:val="0"/>
          <w:color w:val="000000"/>
          <w:sz w:val="22"/>
        </w:rPr>
      </w:r>
      <w:r>
        <w:rPr>
          <w:rFonts w:ascii="Arial" w:hAnsi="Arial"/>
          <w:b/>
          <w:i w:val="0"/>
          <w:color w:val="000000"/>
          <w:sz w:val="22"/>
        </w:rPr>
        <w:t>Nansen Support Programme (other calls)</w:t>
      </w:r>
      <w:r>
        <w:rPr>
          <w:rFonts w:ascii="Arial" w:hAnsi="Arial"/>
          <w:b w:val="0"/>
          <w:i w:val="0"/>
          <w:color w:val="000000"/>
          <w:sz w:val="22"/>
        </w:rPr>
        <w:t>: The Nansen programme's infrastructure and humanitarian components focus on physical reconstruction and social services. DigiTwin-Energy occupies the educational capacity-building niche within the broader Nansen framework, directly supplying the skilled human capital that infrastructure reconstruction projects will need.</w:t>
      </w:r>
    </w:p>
    <w:p>
      <w:pPr>
        <w:spacing w:before="160" w:after="80"/>
      </w:pPr>
      <w:r>
        <w:rPr>
          <w:rFonts w:ascii="Arial" w:hAnsi="Arial"/>
          <w:b/>
          <w:i w:val="0"/>
          <w:color w:val="000000"/>
          <w:sz w:val="22"/>
        </w:rPr>
        <w:t>Innovative Elements of DigiTwin-Energy</w:t>
      </w:r>
    </w:p>
    <w:p>
      <w:pPr>
        <w:spacing w:before="0" w:after="120"/>
      </w:pPr>
      <w:r>
        <w:rPr>
          <w:rFonts w:ascii="Arial" w:hAnsi="Arial"/>
          <w:b w:val="0"/>
          <w:i w:val="0"/>
          <w:color w:val="000000"/>
          <w:sz w:val="22"/>
        </w:rPr>
        <w:t>DigiTwin-Energy is innovative in three dimensions that distinguish it from any existing initiative in the Ukrainian higher education space:</w:t>
      </w:r>
    </w:p>
    <w:p>
      <w:pPr>
        <w:spacing w:before="0" w:after="120"/>
      </w:pPr>
      <w:r>
        <w:rPr>
          <w:rFonts w:ascii="Arial" w:hAnsi="Arial"/>
          <w:b w:val="0"/>
          <w:i w:val="0"/>
          <w:color w:val="000000"/>
          <w:sz w:val="22"/>
        </w:rPr>
      </w:r>
      <w:r>
        <w:rPr>
          <w:rFonts w:ascii="Arial" w:hAnsi="Arial"/>
          <w:b/>
          <w:i w:val="0"/>
          <w:color w:val="000000"/>
          <w:sz w:val="22"/>
        </w:rPr>
        <w:t>1. Depth of technical focus</w:t>
      </w:r>
      <w:r>
        <w:rPr>
          <w:rFonts w:ascii="Arial" w:hAnsi="Arial"/>
          <w:b w:val="0"/>
          <w:i w:val="0"/>
          <w:color w:val="000000"/>
          <w:sz w:val="22"/>
        </w:rPr>
        <w:t>: Existing Ukrainian energy engineering curricula treat digital tools as auxiliary aids; DigiTwin-Energy makes digital twin methodology the primary epistemic framework. Students learn to construct, validate, and operate full three-layer DT architectures (physical model layer, data model layer, service model layer) applied specifically to power plants, substations, and distribution networks. This architectural depth is absent from any currently running programme in Ukraine.</w:t>
      </w:r>
    </w:p>
    <w:p>
      <w:pPr>
        <w:spacing w:before="0" w:after="120"/>
      </w:pPr>
      <w:r>
        <w:rPr>
          <w:rFonts w:ascii="Arial" w:hAnsi="Arial"/>
          <w:b w:val="0"/>
          <w:i w:val="0"/>
          <w:color w:val="000000"/>
          <w:sz w:val="22"/>
        </w:rPr>
      </w:r>
      <w:r>
        <w:rPr>
          <w:rFonts w:ascii="Arial" w:hAnsi="Arial"/>
          <w:b/>
          <w:i w:val="0"/>
          <w:color w:val="000000"/>
          <w:sz w:val="22"/>
        </w:rPr>
        <w:t>2. Physics-Informed Neural Networks (PINNs) for energy modelling</w:t>
      </w:r>
      <w:r>
        <w:rPr>
          <w:rFonts w:ascii="Arial" w:hAnsi="Arial"/>
          <w:b w:val="0"/>
          <w:i w:val="0"/>
          <w:color w:val="000000"/>
          <w:sz w:val="22"/>
        </w:rPr>
        <w:t>: The integration of PINNs — neural networks whose loss functions embed physical conservation laws — into energy system curricula represents a pedagogical frontier even in Western European universities. PINNs enable accurate, data-efficient modelling of grid dynamics under data-sparse conditions (precisely the situation of war-damaged Ukrainian grids with incomplete sensor coverage), making them particularly appropriate for the Ukrainian context [7].</w:t>
      </w:r>
    </w:p>
    <w:p>
      <w:pPr>
        <w:spacing w:before="0" w:after="120"/>
      </w:pPr>
      <w:r>
        <w:rPr>
          <w:rFonts w:ascii="Arial" w:hAnsi="Arial"/>
          <w:b w:val="0"/>
          <w:i w:val="0"/>
          <w:color w:val="000000"/>
          <w:sz w:val="22"/>
        </w:rPr>
      </w:r>
      <w:r>
        <w:rPr>
          <w:rFonts w:ascii="Arial" w:hAnsi="Arial"/>
          <w:b/>
          <w:i w:val="0"/>
          <w:color w:val="000000"/>
          <w:sz w:val="22"/>
        </w:rPr>
        <w:t>3. Wartime-adapted, resilient delivery design</w:t>
      </w:r>
      <w:r>
        <w:rPr>
          <w:rFonts w:ascii="Arial" w:hAnsi="Arial"/>
          <w:b w:val="0"/>
          <w:i w:val="0"/>
          <w:color w:val="000000"/>
          <w:sz w:val="22"/>
        </w:rPr>
        <w:t>: DigiTwin-Energy explicitly designs all educational delivery for a conflict-affected, infrastructure-disrupted environment. Course materials are downloadable for offline use; simulations run on Azure cloud with local caching; assessment is asynchronous where necessary; and the curriculum includes a dedicated module on cybersecurity for energy infrastructure — directly relevant to the documented Russian cyber-attacks on Ukrainian energy SCADA systems (e.g., the 2016 Industroyer/Crashoverride malware attack on Ukrenergo) [8]. This resilience-by-design approach is genuinely novel in the European educational landscape.</w:t>
      </w:r>
    </w:p>
    <w:p w14:paraId="07AB4B00" w14:textId="77777777" w:rsidR="000233C9" w:rsidRPr="003462FB" w:rsidRDefault="000233C9" w:rsidP="000233C9">
      <w:pPr>
        <w:pStyle w:val="Ingenmellomrom"/>
      </w:pPr>
    </w:p>
    <w:p w14:paraId="5168F40D" w14:textId="77777777" w:rsidR="000233C9" w:rsidRPr="003462FB" w:rsidRDefault="000233C9" w:rsidP="000233C9">
      <w:pPr>
        <w:pStyle w:val="Ingenmellomrom"/>
      </w:pPr>
    </w:p>
    <w:p w14:paraId="42677845" w14:textId="77777777" w:rsidR="000233C9" w:rsidRPr="003462FB" w:rsidRDefault="000233C9" w:rsidP="000233C9">
      <w:pPr>
        <w:pStyle w:val="Ingenmellomrom"/>
      </w:pPr>
    </w:p>
    <w:p w14:paraId="167DCCA8" w14:textId="77777777" w:rsidR="000233C9" w:rsidRPr="003462FB" w:rsidRDefault="000233C9" w:rsidP="000233C9">
      <w:pPr>
        <w:pStyle w:val="Ingenmellomrom"/>
      </w:pPr>
    </w:p>
    <w:p w14:paraId="7320F77C" w14:textId="77777777" w:rsidR="000233C9" w:rsidRPr="003462FB" w:rsidRDefault="000233C9" w:rsidP="000233C9">
      <w:pPr>
        <w:pStyle w:val="Ingenmellomrom"/>
      </w:pPr>
    </w:p>
    <w:p w14:paraId="52C34190" w14:textId="77777777" w:rsidR="000233C9" w:rsidRPr="003462FB" w:rsidRDefault="000233C9" w:rsidP="000233C9">
      <w:pPr>
        <w:pStyle w:val="Ingenmellomrom"/>
      </w:pPr>
    </w:p>
    <w:p w14:paraId="27B71259" w14:textId="77777777" w:rsidR="000233C9" w:rsidRPr="003462FB" w:rsidRDefault="000233C9" w:rsidP="000233C9">
      <w:pPr>
        <w:pStyle w:val="Ingenmellomrom"/>
      </w:pPr>
    </w:p>
    <w:p w14:paraId="35479C6D" w14:textId="77777777" w:rsidR="000233C9" w:rsidRPr="003462FB" w:rsidRDefault="000233C9" w:rsidP="000233C9">
      <w:pPr>
        <w:pStyle w:val="Ingenmellomrom"/>
      </w:pPr>
    </w:p>
    <w:p w14:paraId="1748CF00" w14:textId="77777777" w:rsidR="000233C9" w:rsidRPr="003462FB" w:rsidRDefault="000233C9" w:rsidP="000233C9">
      <w:pPr>
        <w:pStyle w:val="Ingenmellomrom"/>
      </w:pPr>
    </w:p>
    <w:p w14:paraId="5F39FED3" w14:textId="77777777" w:rsidR="000233C9" w:rsidRPr="003462FB" w:rsidRDefault="000233C9" w:rsidP="000233C9">
      <w:pPr>
        <w:pStyle w:val="Ingenmellomrom"/>
      </w:pPr>
    </w:p>
    <w:p w14:paraId="4EF1DDF6" w14:textId="77777777" w:rsidR="000233C9" w:rsidRPr="003462FB" w:rsidRDefault="000233C9" w:rsidP="000233C9">
      <w:pPr>
        <w:pStyle w:val="Ingenmellomrom"/>
      </w:pPr>
    </w:p>
    <w:p w14:paraId="2FDD0321" w14:textId="77777777" w:rsidR="000233C9" w:rsidRPr="003462FB" w:rsidRDefault="000233C9" w:rsidP="000233C9">
      <w:pPr>
        <w:pStyle w:val="Ingenmellomrom"/>
      </w:pPr>
    </w:p>
    <w:p w14:paraId="4CCDDDE2" w14:textId="77777777" w:rsidR="000233C9" w:rsidRPr="003462FB" w:rsidRDefault="000233C9" w:rsidP="000233C9">
      <w:pPr>
        <w:pStyle w:val="Ingenmellomrom"/>
      </w:pPr>
    </w:p>
    <w:p w14:paraId="10C5F93A" w14:textId="77777777" w:rsidR="000233C9" w:rsidRPr="003462FB" w:rsidRDefault="000233C9" w:rsidP="000233C9">
      <w:pPr>
        <w:pStyle w:val="Ingenmellomrom"/>
      </w:pPr>
    </w:p>
    <w:p w14:paraId="15F6DC8C" w14:textId="77777777" w:rsidR="000233C9" w:rsidRPr="003462FB" w:rsidRDefault="000233C9" w:rsidP="000233C9">
      <w:pPr>
        <w:pStyle w:val="Ingenmellomrom"/>
      </w:pPr>
    </w:p>
    <w:p w14:paraId="3A779C5C"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19B6436D"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2</w:t>
      </w:r>
      <w:r w:rsidRPr="003462FB">
        <w:rPr>
          <w:b/>
          <w:bCs/>
          <w:sz w:val="32"/>
          <w:szCs w:val="32"/>
        </w:rPr>
        <w:tab/>
        <w:t>Design and implementation</w:t>
      </w:r>
    </w:p>
    <w:p w14:paraId="42ECA781" w14:textId="77777777" w:rsidR="000233C9" w:rsidRPr="003462FB" w:rsidRDefault="000233C9" w:rsidP="000233C9">
      <w:pPr>
        <w:pStyle w:val="Ingenmellomrom"/>
      </w:pPr>
    </w:p>
    <w:p w14:paraId="0BE2E2B2" w14:textId="77777777" w:rsidR="000233C9" w:rsidRPr="003462FB" w:rsidRDefault="000233C9" w:rsidP="000233C9">
      <w:pPr>
        <w:pStyle w:val="Ingenmellomrom"/>
        <w:rPr>
          <w:b/>
          <w:bCs/>
        </w:rPr>
      </w:pPr>
      <w:r w:rsidRPr="003462FB">
        <w:rPr>
          <w:b/>
          <w:bCs/>
        </w:rPr>
        <w:t>2.1</w:t>
      </w:r>
      <w:r w:rsidRPr="003462FB">
        <w:rPr>
          <w:b/>
          <w:bCs/>
        </w:rPr>
        <w:tab/>
        <w:t>Activities, measures and approaches to achieve the project results</w:t>
      </w:r>
    </w:p>
    <w:p w14:paraId="1A1F908C" w14:textId="77777777" w:rsidR="000233C9" w:rsidRPr="003462FB" w:rsidRDefault="000233C9" w:rsidP="000233C9">
      <w:pPr>
        <w:pStyle w:val="Ingenmellomrom"/>
      </w:pPr>
    </w:p>
    <w:p w14:paraId="26046AEF" w14:textId="77777777" w:rsidR="000233C9" w:rsidRPr="003462FB" w:rsidRDefault="000233C9" w:rsidP="000233C9">
      <w:pPr>
        <w:pStyle w:val="Ingenmellomrom"/>
      </w:pPr>
    </w:p>
    <w:p w14:paraId="12870D6C" w14:textId="7A1074F7" w:rsidR="000233C9" w:rsidRPr="003462FB" w:rsidRDefault="000233C9" w:rsidP="000233C9">
      <w:pPr>
        <w:pStyle w:val="Ingenmellomrom"/>
      </w:pPr>
      <w:r/>
    </w:p>
    <w:p>
      <w:pPr>
        <w:spacing w:before="160" w:after="80"/>
      </w:pPr>
      <w:r>
        <w:rPr>
          <w:rFonts w:ascii="Arial" w:hAnsi="Arial"/>
          <w:b/>
          <w:i w:val="0"/>
          <w:color w:val="000000"/>
          <w:sz w:val="22"/>
        </w:rPr>
        <w:t>Activities, Measures and Approaches</w:t>
      </w:r>
    </w:p>
    <w:p>
      <w:pPr>
        <w:spacing w:before="160" w:after="80"/>
      </w:pPr>
      <w:r>
        <w:rPr>
          <w:rFonts w:ascii="Arial" w:hAnsi="Arial"/>
          <w:b/>
          <w:i w:val="0"/>
          <w:color w:val="000000"/>
          <w:sz w:val="22"/>
        </w:rPr>
        <w:t>Overview and Timeline</w:t>
      </w:r>
    </w:p>
    <w:p>
      <w:pPr>
        <w:spacing w:before="0" w:after="120"/>
      </w:pPr>
      <w:r>
        <w:rPr>
          <w:rFonts w:ascii="Arial" w:hAnsi="Arial"/>
          <w:b w:val="0"/>
          <w:i w:val="0"/>
          <w:color w:val="000000"/>
          <w:sz w:val="22"/>
        </w:rPr>
        <w:t>DigiTwin-Energy is structured around five Work Packages (WPs) spanning three years (July 2026 – June 2029). Year 1 (July 2026 – June 2027) focuses on Foundation: governance, needs assessment, curriculum design, and staff training. Year 2 (July 2027 – June 2028) focuses on Pilots: course delivery, student exchanges, and Living Lab activation. Year 3 (July 2028 – June 2029) focuses on Scaling: full cohort delivery, OER publication, institutional embedding, and sustainability planning.</w:t>
      </w:r>
    </w:p>
    <w:p>
      <w:pPr>
        <w:spacing w:before="160" w:after="80"/>
      </w:pPr>
      <w:r>
        <w:rPr>
          <w:rFonts w:ascii="Arial" w:hAnsi="Arial"/>
          <w:b/>
          <w:i w:val="0"/>
          <w:color w:val="000000"/>
          <w:sz w:val="22"/>
        </w:rPr>
        <w:t>WP1: Joint Curriculum Development (Lead: NTNU; Co-lead: ZNU)</w:t>
      </w:r>
    </w:p>
    <w:p>
      <w:pPr>
        <w:spacing w:before="0" w:after="120"/>
      </w:pPr>
      <w:r>
        <w:rPr>
          <w:rFonts w:ascii="Arial" w:hAnsi="Arial"/>
          <w:b w:val="0"/>
          <w:i w:val="0"/>
          <w:color w:val="000000"/>
          <w:sz w:val="22"/>
        </w:rPr>
      </w:r>
      <w:r>
        <w:rPr>
          <w:rFonts w:ascii="Arial" w:hAnsi="Arial"/>
          <w:b/>
          <w:i w:val="0"/>
          <w:color w:val="000000"/>
          <w:sz w:val="22"/>
        </w:rPr>
        <w:t>Duration</w:t>
      </w:r>
      <w:r>
        <w:rPr>
          <w:rFonts w:ascii="Arial" w:hAnsi="Arial"/>
          <w:b w:val="0"/>
          <w:i w:val="0"/>
          <w:color w:val="000000"/>
          <w:sz w:val="22"/>
        </w:rPr>
        <w:t>: Months 1–18 (design); Months 19–36 (revision and finalisation)</w:t>
      </w:r>
    </w:p>
    <w:p>
      <w:pPr>
        <w:spacing w:before="0" w:after="120"/>
      </w:pPr>
      <w:r>
        <w:rPr>
          <w:rFonts w:ascii="Arial" w:hAnsi="Arial"/>
          <w:b w:val="0"/>
          <w:i w:val="0"/>
          <w:color w:val="000000"/>
          <w:sz w:val="22"/>
        </w:rPr>
      </w:r>
      <w:r>
        <w:rPr>
          <w:rFonts w:ascii="Arial" w:hAnsi="Arial"/>
          <w:b/>
          <w:i w:val="0"/>
          <w:color w:val="000000"/>
          <w:sz w:val="22"/>
        </w:rPr>
        <w:t>Rationale</w:t>
      </w:r>
      <w:r>
        <w:rPr>
          <w:rFonts w:ascii="Arial" w:hAnsi="Arial"/>
          <w:b w:val="0"/>
          <w:i w:val="0"/>
          <w:color w:val="000000"/>
          <w:sz w:val="22"/>
        </w:rPr>
        <w:t>: Curriculum development is the structural core of DigiTwin-Energy. Four new graduate-level course modules (6 ECTS each, totalling 24 ECTS) will be developed jointly by NTNU and Ukrainian partner academics, ensuring that content is both technically current and contextually appropriate for Ukrainian degree programmes.</w:t>
      </w:r>
    </w:p>
    <w:p>
      <w:pPr>
        <w:spacing w:before="0" w:after="120"/>
      </w:pPr>
      <w:r>
        <w:rPr>
          <w:rFonts w:ascii="Arial" w:hAnsi="Arial"/>
          <w:b w:val="0"/>
          <w:i w:val="0"/>
          <w:color w:val="000000"/>
          <w:sz w:val="22"/>
        </w:rPr>
      </w:r>
      <w:r>
        <w:rPr>
          <w:rFonts w:ascii="Arial" w:hAnsi="Arial"/>
          <w:b/>
          <w:i w:val="0"/>
          <w:color w:val="000000"/>
          <w:sz w:val="22"/>
        </w:rPr>
        <w:t>Course Module 1 — Digital Twin Architecture for Energy Systems</w:t>
      </w:r>
      <w:r>
        <w:rPr>
          <w:rFonts w:ascii="Arial" w:hAnsi="Arial"/>
          <w:b w:val="0"/>
          <w:i w:val="0"/>
          <w:color w:val="000000"/>
          <w:sz w:val="22"/>
        </w:rPr>
        <w:t xml:space="preserve"> (6 ECTS): Covers the three-layer DT architecture (physical model, data model, service model), model fidelity requirements, ontological frameworks (e.g., Asset Administration Shell, IEC CIM), and case studies from Norwegian and Ukrainian energy assets. Prerequisite: undergraduate thermodynamics and electrical systems.</w:t>
      </w:r>
    </w:p>
    <w:p>
      <w:pPr>
        <w:spacing w:before="0" w:after="120"/>
      </w:pPr>
      <w:r>
        <w:rPr>
          <w:rFonts w:ascii="Arial" w:hAnsi="Arial"/>
          <w:b w:val="0"/>
          <w:i w:val="0"/>
          <w:color w:val="000000"/>
          <w:sz w:val="22"/>
        </w:rPr>
      </w:r>
      <w:r>
        <w:rPr>
          <w:rFonts w:ascii="Arial" w:hAnsi="Arial"/>
          <w:b/>
          <w:i w:val="0"/>
          <w:color w:val="000000"/>
          <w:sz w:val="22"/>
        </w:rPr>
        <w:t>Course Module 2 — Physics-Informed Machine Learning for Grid Modelling</w:t>
      </w:r>
      <w:r>
        <w:rPr>
          <w:rFonts w:ascii="Arial" w:hAnsi="Arial"/>
          <w:b w:val="0"/>
          <w:i w:val="0"/>
          <w:color w:val="000000"/>
          <w:sz w:val="22"/>
        </w:rPr>
        <w:t xml:space="preserve"> (6 ECTS): Covers neural network fundamentals, embedding physical conservation laws (Kirchhoff's laws, power flow equations) into PINN architectures, training on sparse and noisy sensor data, and validation against grid simulation benchmarks. Includes hands-on labs using Python (PyTorch), MATPOWER, and NTNU-provided simulation datasets.</w:t>
      </w:r>
    </w:p>
    <w:p>
      <w:pPr>
        <w:spacing w:before="0" w:after="120"/>
      </w:pPr>
      <w:r>
        <w:rPr>
          <w:rFonts w:ascii="Arial" w:hAnsi="Arial"/>
          <w:b w:val="0"/>
          <w:i w:val="0"/>
          <w:color w:val="000000"/>
          <w:sz w:val="22"/>
        </w:rPr>
      </w:r>
      <w:r>
        <w:rPr>
          <w:rFonts w:ascii="Arial" w:hAnsi="Arial"/>
          <w:b/>
          <w:i w:val="0"/>
          <w:color w:val="000000"/>
          <w:sz w:val="22"/>
        </w:rPr>
        <w:t>Course Module 3 — Real-Time Data Integration and SCADA/IoT Systems</w:t>
      </w:r>
      <w:r>
        <w:rPr>
          <w:rFonts w:ascii="Arial" w:hAnsi="Arial"/>
          <w:b w:val="0"/>
          <w:i w:val="0"/>
          <w:color w:val="000000"/>
          <w:sz w:val="22"/>
        </w:rPr>
        <w:t xml:space="preserve"> (6 ECTS): Covers IEC 61850 and DNP3 communication protocols, IoT sensor deployment and data acquisition pipelines, real-time digital twin updating (digital thread concept), time-series anomaly detection, and predictive maintenance algorithms. Students configure live data feeds from ZNU's laboratory IoT testbed.</w:t>
      </w:r>
    </w:p>
    <w:p>
      <w:pPr>
        <w:spacing w:before="0" w:after="120"/>
      </w:pPr>
      <w:r>
        <w:rPr>
          <w:rFonts w:ascii="Arial" w:hAnsi="Arial"/>
          <w:b w:val="0"/>
          <w:i w:val="0"/>
          <w:color w:val="000000"/>
          <w:sz w:val="22"/>
        </w:rPr>
      </w:r>
      <w:r>
        <w:rPr>
          <w:rFonts w:ascii="Arial" w:hAnsi="Arial"/>
          <w:b/>
          <w:i w:val="0"/>
          <w:color w:val="000000"/>
          <w:sz w:val="22"/>
        </w:rPr>
        <w:t>Course Module 4 — Cybersecurity for Digital Energy Infrastructure</w:t>
      </w:r>
      <w:r>
        <w:rPr>
          <w:rFonts w:ascii="Arial" w:hAnsi="Arial"/>
          <w:b w:val="0"/>
          <w:i w:val="0"/>
          <w:color w:val="000000"/>
          <w:sz w:val="22"/>
        </w:rPr>
        <w:t xml:space="preserve"> (6 ECTS): Covers the attack surface of cyber-physical energy systems, documented threat actors and tactics (including Industroyer/Crashoverride analysis), IEC 62443 security standards, intrusion detection for OT/IT convergence environments, and incident response protocols. Designed in consultation with NTNU's cybersecurity research group and aligned with ENISA guidelines for energy sector cybersecurity.</w:t>
      </w:r>
    </w:p>
    <w:p>
      <w:pPr>
        <w:spacing w:before="0" w:after="120"/>
      </w:pPr>
      <w:r>
        <w:rPr>
          <w:rFonts w:ascii="Arial" w:hAnsi="Arial"/>
          <w:b w:val="0"/>
          <w:i w:val="0"/>
          <w:color w:val="000000"/>
          <w:sz w:val="22"/>
        </w:rPr>
      </w:r>
      <w:r>
        <w:rPr>
          <w:rFonts w:ascii="Arial" w:hAnsi="Arial"/>
          <w:b/>
          <w:i w:val="0"/>
          <w:color w:val="000000"/>
          <w:sz w:val="22"/>
        </w:rPr>
        <w:t>Key activities</w:t>
      </w:r>
      <w:r>
        <w:rPr>
          <w:rFonts w:ascii="Arial" w:hAnsi="Arial"/>
          <w:b w:val="0"/>
          <w:i w:val="0"/>
          <w:color w:val="000000"/>
          <w:sz w:val="22"/>
        </w:rPr>
        <w:t>: Joint curriculum design workshops (online, Months 1–3); draft syllabi review by Ukrainian Ministry of Education curriculum experts (Month 4); industry advisory panel review (Months 5–6, with Ukrenergo and DSO partners); pilot teaching material development (Months 7–12); peer review by two external European energy education experts (Month 14); final curriculum package approved (Month 18). Revision cycle after Year 2 pilot delivery (Months 25–30).</w:t>
      </w:r>
    </w:p>
    <w:p>
      <w:pPr>
        <w:spacing w:before="0" w:after="120"/>
      </w:pPr>
      <w:r>
        <w:rPr>
          <w:rFonts w:ascii="Arial" w:hAnsi="Arial"/>
          <w:b w:val="0"/>
          <w:i w:val="0"/>
          <w:color w:val="000000"/>
          <w:sz w:val="22"/>
        </w:rPr>
      </w:r>
      <w:r>
        <w:rPr>
          <w:rFonts w:ascii="Arial" w:hAnsi="Arial"/>
          <w:b/>
          <w:i w:val="0"/>
          <w:color w:val="000000"/>
          <w:sz w:val="22"/>
        </w:rPr>
        <w:t>Deliverables</w:t>
      </w:r>
      <w:r>
        <w:rPr>
          <w:rFonts w:ascii="Arial" w:hAnsi="Arial"/>
          <w:b w:val="0"/>
          <w:i w:val="0"/>
          <w:color w:val="000000"/>
          <w:sz w:val="22"/>
        </w:rPr>
        <w:t>: D1.1 Needs Assessment Report (Month 3); D1.2 Draft Curriculum Package (Month 12); D1.3 Validated Curriculum Package with peer review (Month 18); D1.4 Revised Curriculum Package post-pilot (Month 30).</w:t>
      </w:r>
    </w:p>
    <w:p>
      <w:pPr>
        <w:spacing w:before="160" w:after="80"/>
      </w:pPr>
      <w:r>
        <w:rPr>
          <w:rFonts w:ascii="Arial" w:hAnsi="Arial"/>
          <w:b/>
          <w:i w:val="0"/>
          <w:color w:val="000000"/>
          <w:sz w:val="22"/>
        </w:rPr>
        <w:t>WP2: Staff Training and Exchanges (Lead: ZNU; Co-lead: NTNU and Partner 2)</w:t>
      </w:r>
    </w:p>
    <w:p>
      <w:pPr>
        <w:spacing w:before="0" w:after="120"/>
      </w:pPr>
      <w:r>
        <w:rPr>
          <w:rFonts w:ascii="Arial" w:hAnsi="Arial"/>
          <w:b w:val="0"/>
          <w:i w:val="0"/>
          <w:color w:val="000000"/>
          <w:sz w:val="22"/>
        </w:rPr>
      </w:r>
      <w:r>
        <w:rPr>
          <w:rFonts w:ascii="Arial" w:hAnsi="Arial"/>
          <w:b/>
          <w:i w:val="0"/>
          <w:color w:val="000000"/>
          <w:sz w:val="22"/>
        </w:rPr>
        <w:t>Duration</w:t>
      </w:r>
      <w:r>
        <w:rPr>
          <w:rFonts w:ascii="Arial" w:hAnsi="Arial"/>
          <w:b w:val="0"/>
          <w:i w:val="0"/>
          <w:color w:val="000000"/>
          <w:sz w:val="22"/>
        </w:rPr>
        <w:t>: Months 4–30</w:t>
      </w:r>
    </w:p>
    <w:p>
      <w:pPr>
        <w:spacing w:before="0" w:after="120"/>
      </w:pPr>
      <w:r>
        <w:rPr>
          <w:rFonts w:ascii="Arial" w:hAnsi="Arial"/>
          <w:b w:val="0"/>
          <w:i w:val="0"/>
          <w:color w:val="000000"/>
          <w:sz w:val="22"/>
        </w:rPr>
      </w:r>
      <w:r>
        <w:rPr>
          <w:rFonts w:ascii="Arial" w:hAnsi="Arial"/>
          <w:b/>
          <w:i w:val="0"/>
          <w:color w:val="000000"/>
          <w:sz w:val="22"/>
        </w:rPr>
        <w:t>Rationale</w:t>
      </w:r>
      <w:r>
        <w:rPr>
          <w:rFonts w:ascii="Arial" w:hAnsi="Arial"/>
          <w:b w:val="0"/>
          <w:i w:val="0"/>
          <w:color w:val="000000"/>
          <w:sz w:val="22"/>
        </w:rPr>
        <w:t>: Ukrainian academic staff cannot teach what they have not learned. WP2 ensures that 24 Ukrainian staff (12 from ZNU, 12 from Partner 2) acquire the technical and pedagogical competence to deliver DigiTwin-Energy modules independently — the essential condition for sustainability beyond project end.</w:t>
      </w:r>
    </w:p>
    <w:p>
      <w:pPr>
        <w:spacing w:before="0" w:after="120"/>
      </w:pPr>
      <w:r>
        <w:rPr>
          <w:rFonts w:ascii="Arial" w:hAnsi="Arial"/>
          <w:b w:val="0"/>
          <w:i w:val="0"/>
          <w:color w:val="000000"/>
          <w:sz w:val="22"/>
        </w:rPr>
      </w:r>
      <w:r>
        <w:rPr>
          <w:rFonts w:ascii="Arial" w:hAnsi="Arial"/>
          <w:b/>
          <w:i w:val="0"/>
          <w:color w:val="000000"/>
          <w:sz w:val="22"/>
        </w:rPr>
        <w:t>Activity 2.1 — NTNU Intensive Faculty Development Programme</w:t>
      </w:r>
      <w:r>
        <w:rPr>
          <w:rFonts w:ascii="Arial" w:hAnsi="Arial"/>
          <w:b w:val="0"/>
          <w:i w:val="0"/>
          <w:color w:val="000000"/>
          <w:sz w:val="22"/>
        </w:rPr>
        <w:t>: Three annual cohorts (8 staff per year) participate in a 10-day intensive programme at NTNU Trondheim (or hybrid format if security/travel constraints apply). Programme covers DT architecture, PINN implementation, SCADA lab practices, cybersecurity, and active learning methodologies for engineering education. Year 1 cohort: senior academic staff who will lead course delivery. Year 2 cohort: mid-career lecturers who will deliver in Year 3. Year 3 cohort: early-career researchers who will sustain delivery post-project.</w:t>
      </w:r>
    </w:p>
    <w:p>
      <w:pPr>
        <w:spacing w:before="0" w:after="120"/>
      </w:pPr>
      <w:r>
        <w:rPr>
          <w:rFonts w:ascii="Arial" w:hAnsi="Arial"/>
          <w:b w:val="0"/>
          <w:i w:val="0"/>
          <w:color w:val="000000"/>
          <w:sz w:val="22"/>
        </w:rPr>
      </w:r>
      <w:r>
        <w:rPr>
          <w:rFonts w:ascii="Arial" w:hAnsi="Arial"/>
          <w:b/>
          <w:i w:val="0"/>
          <w:color w:val="000000"/>
          <w:sz w:val="22"/>
        </w:rPr>
        <w:t>Activity 2.2 — Embedded Co-Teaching</w:t>
      </w:r>
      <w:r>
        <w:rPr>
          <w:rFonts w:ascii="Arial" w:hAnsi="Arial"/>
          <w:b w:val="0"/>
          <w:i w:val="0"/>
          <w:color w:val="000000"/>
          <w:sz w:val="22"/>
        </w:rPr>
        <w:t>: NTNU staff co-teach the first delivery of each course module with Ukrainian counterparts (online, with recorded sessions for future reference), providing real-time pedagogical modelling.</w:t>
      </w:r>
    </w:p>
    <w:p>
      <w:pPr>
        <w:spacing w:before="0" w:after="120"/>
      </w:pPr>
      <w:r>
        <w:rPr>
          <w:rFonts w:ascii="Arial" w:hAnsi="Arial"/>
          <w:b w:val="0"/>
          <w:i w:val="0"/>
          <w:color w:val="000000"/>
          <w:sz w:val="22"/>
        </w:rPr>
      </w:r>
      <w:r>
        <w:rPr>
          <w:rFonts w:ascii="Arial" w:hAnsi="Arial"/>
          <w:b/>
          <w:i w:val="0"/>
          <w:color w:val="000000"/>
          <w:sz w:val="22"/>
        </w:rPr>
        <w:t>Activity 2.3 — Research Exchanges</w:t>
      </w:r>
      <w:r>
        <w:rPr>
          <w:rFonts w:ascii="Arial" w:hAnsi="Arial"/>
          <w:b w:val="0"/>
          <w:i w:val="0"/>
          <w:color w:val="000000"/>
          <w:sz w:val="22"/>
        </w:rPr>
        <w:t>: Six Ukrainian researchers (3 per institution) undertake 2–4 week research visits to NTNU's Gemini Centre and SINTEF Energy Research to work on Living Lab datasets. Climate-conscious travel policy applies: train travel preferred where feasible; for transits requiring air travel, CO₂ offset contributions are budgeted.</w:t>
      </w:r>
    </w:p>
    <w:p>
      <w:pPr>
        <w:spacing w:before="0" w:after="120"/>
      </w:pPr>
      <w:r>
        <w:rPr>
          <w:rFonts w:ascii="Arial" w:hAnsi="Arial"/>
          <w:b w:val="0"/>
          <w:i w:val="0"/>
          <w:color w:val="000000"/>
          <w:sz w:val="22"/>
        </w:rPr>
      </w:r>
      <w:r>
        <w:rPr>
          <w:rFonts w:ascii="Arial" w:hAnsi="Arial"/>
          <w:b/>
          <w:i w:val="0"/>
          <w:color w:val="000000"/>
          <w:sz w:val="22"/>
        </w:rPr>
        <w:t>Deliverables</w:t>
      </w:r>
      <w:r>
        <w:rPr>
          <w:rFonts w:ascii="Arial" w:hAnsi="Arial"/>
          <w:b w:val="0"/>
          <w:i w:val="0"/>
          <w:color w:val="000000"/>
          <w:sz w:val="22"/>
        </w:rPr>
        <w:t>: D2.1 Faculty Development Programme Curriculum (Month 4); D2.2 Annual Training Completion Reports (Months 12, 24, 36); D2.3 Staff Competence Assessment Records (Months 12, 24, 36).</w:t>
      </w:r>
    </w:p>
    <w:p>
      <w:pPr>
        <w:spacing w:before="160" w:after="80"/>
      </w:pPr>
      <w:r>
        <w:rPr>
          <w:rFonts w:ascii="Arial" w:hAnsi="Arial"/>
          <w:b/>
          <w:i w:val="0"/>
          <w:color w:val="000000"/>
          <w:sz w:val="22"/>
        </w:rPr>
        <w:t>WP3: Student Training Programme (Lead: Partner 2; Co-lead: ZNU)</w:t>
      </w:r>
    </w:p>
    <w:p>
      <w:pPr>
        <w:spacing w:before="0" w:after="120"/>
      </w:pPr>
      <w:r>
        <w:rPr>
          <w:rFonts w:ascii="Arial" w:hAnsi="Arial"/>
          <w:b w:val="0"/>
          <w:i w:val="0"/>
          <w:color w:val="000000"/>
          <w:sz w:val="22"/>
        </w:rPr>
      </w:r>
      <w:r>
        <w:rPr>
          <w:rFonts w:ascii="Arial" w:hAnsi="Arial"/>
          <w:b/>
          <w:i w:val="0"/>
          <w:color w:val="000000"/>
          <w:sz w:val="22"/>
        </w:rPr>
        <w:t>Duration</w:t>
      </w:r>
      <w:r>
        <w:rPr>
          <w:rFonts w:ascii="Arial" w:hAnsi="Arial"/>
          <w:b w:val="0"/>
          <w:i w:val="0"/>
          <w:color w:val="000000"/>
          <w:sz w:val="22"/>
        </w:rPr>
        <w:t>: Months 13–36</w:t>
      </w:r>
    </w:p>
    <w:p>
      <w:pPr>
        <w:spacing w:before="0" w:after="120"/>
      </w:pPr>
      <w:r>
        <w:rPr>
          <w:rFonts w:ascii="Arial" w:hAnsi="Arial"/>
          <w:b w:val="0"/>
          <w:i w:val="0"/>
          <w:color w:val="000000"/>
          <w:sz w:val="22"/>
        </w:rPr>
      </w:r>
      <w:r>
        <w:rPr>
          <w:rFonts w:ascii="Arial" w:hAnsi="Arial"/>
          <w:b/>
          <w:i w:val="0"/>
          <w:color w:val="000000"/>
          <w:sz w:val="22"/>
        </w:rPr>
        <w:t>Rationale</w:t>
      </w:r>
      <w:r>
        <w:rPr>
          <w:rFonts w:ascii="Arial" w:hAnsi="Arial"/>
          <w:b w:val="0"/>
          <w:i w:val="0"/>
          <w:color w:val="000000"/>
          <w:sz w:val="22"/>
        </w:rPr>
        <w:t>: Student training is the direct pathway to workforce impact. WP3 operationalises the curriculum developed in WP1, delivering structured training to 180 students over two full annual cohorts (pilot cohort in Year 2, full cohort in Year 3).</w:t>
      </w:r>
    </w:p>
    <w:p>
      <w:pPr>
        <w:spacing w:before="0" w:after="120"/>
      </w:pPr>
      <w:r>
        <w:rPr>
          <w:rFonts w:ascii="Arial" w:hAnsi="Arial"/>
          <w:b w:val="0"/>
          <w:i w:val="0"/>
          <w:color w:val="000000"/>
          <w:sz w:val="22"/>
        </w:rPr>
      </w:r>
      <w:r>
        <w:rPr>
          <w:rFonts w:ascii="Arial" w:hAnsi="Arial"/>
          <w:b/>
          <w:i w:val="0"/>
          <w:color w:val="000000"/>
          <w:sz w:val="22"/>
        </w:rPr>
        <w:t>Activity 3.1 — Blended Course Delivery</w:t>
      </w:r>
      <w:r>
        <w:rPr>
          <w:rFonts w:ascii="Arial" w:hAnsi="Arial"/>
          <w:b w:val="0"/>
          <w:i w:val="0"/>
          <w:color w:val="000000"/>
          <w:sz w:val="22"/>
        </w:rPr>
        <w:t>: All four modules are delivered in blended format: synchronous online lectures (via university LMS platforms, recorded and captioned), asynchronous lab exercises (Azure-hosted simulation environments accessible offline-first), and in-person problem-based learning (PBL) sessions where security conditions permit. PBL case studies are drawn from real Ukrainian grid challenges: modelling a partial substation restoration, optimising renewable dispatch under blackout conditions, detecting anomalies in SCADA data streams from conflict-damaged infrastructure.</w:t>
      </w:r>
    </w:p>
    <w:p>
      <w:pPr>
        <w:spacing w:before="0" w:after="120"/>
      </w:pPr>
      <w:r>
        <w:rPr>
          <w:rFonts w:ascii="Arial" w:hAnsi="Arial"/>
          <w:b w:val="0"/>
          <w:i w:val="0"/>
          <w:color w:val="000000"/>
          <w:sz w:val="22"/>
        </w:rPr>
      </w:r>
      <w:r>
        <w:rPr>
          <w:rFonts w:ascii="Arial" w:hAnsi="Arial"/>
          <w:b/>
          <w:i w:val="0"/>
          <w:color w:val="000000"/>
          <w:sz w:val="22"/>
        </w:rPr>
        <w:t>Activity 3.2 — Student Exchanges to NTNU</w:t>
      </w:r>
      <w:r>
        <w:rPr>
          <w:rFonts w:ascii="Arial" w:hAnsi="Arial"/>
          <w:b w:val="0"/>
          <w:i w:val="0"/>
          <w:color w:val="000000"/>
          <w:sz w:val="22"/>
        </w:rPr>
        <w:t>: 12 master's students (4 per year, Years 2–3) undertake 5-month exchange semesters at NTNU, completing Modules 2–3 in NTNU's laboratory environment. Selection is merit-based and gender-aware (target: ≥ 5 of 12 female students). Students receive Nansen scholarships (EUR 250/month for master's level). All exchange logistics account for security and travel constraints; online completion options are pre-prepared.</w:t>
      </w:r>
    </w:p>
    <w:p>
      <w:pPr>
        <w:spacing w:before="0" w:after="120"/>
      </w:pPr>
      <w:r>
        <w:rPr>
          <w:rFonts w:ascii="Arial" w:hAnsi="Arial"/>
          <w:b w:val="0"/>
          <w:i w:val="0"/>
          <w:color w:val="000000"/>
          <w:sz w:val="22"/>
        </w:rPr>
      </w:r>
      <w:r>
        <w:rPr>
          <w:rFonts w:ascii="Arial" w:hAnsi="Arial"/>
          <w:b/>
          <w:i w:val="0"/>
          <w:color w:val="000000"/>
          <w:sz w:val="22"/>
        </w:rPr>
        <w:t>Activity 3.3 — Industry Project Sprints</w:t>
      </w:r>
      <w:r>
        <w:rPr>
          <w:rFonts w:ascii="Arial" w:hAnsi="Arial"/>
          <w:b w:val="0"/>
          <w:i w:val="0"/>
          <w:color w:val="000000"/>
          <w:sz w:val="22"/>
        </w:rPr>
        <w:t>: In Year 3, student teams from both Ukrainian institutions complete 8-week capstone projects in partnership with Living Lab industry partners (WP4), applying DT tools to a defined industry challenge. Projects are assessed jointly by academic and industry supervisors.</w:t>
      </w:r>
    </w:p>
    <w:p>
      <w:pPr>
        <w:spacing w:before="0" w:after="120"/>
      </w:pPr>
      <w:r>
        <w:rPr>
          <w:rFonts w:ascii="Arial" w:hAnsi="Arial"/>
          <w:b w:val="0"/>
          <w:i w:val="0"/>
          <w:color w:val="000000"/>
          <w:sz w:val="22"/>
        </w:rPr>
      </w:r>
      <w:r>
        <w:rPr>
          <w:rFonts w:ascii="Arial" w:hAnsi="Arial"/>
          <w:b/>
          <w:i w:val="0"/>
          <w:color w:val="000000"/>
          <w:sz w:val="22"/>
        </w:rPr>
        <w:t>Target: 180 students trained (Year 2: 60 pilot cohort; Year 3: 120 full cohort); ≥ 40% female participants; ≥ 90% module completion rate.</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i w:val="0"/>
          <w:color w:val="000000"/>
          <w:sz w:val="22"/>
        </w:rPr>
        <w:t>Deliverables</w:t>
      </w:r>
      <w:r>
        <w:rPr>
          <w:rFonts w:ascii="Arial" w:hAnsi="Arial"/>
          <w:b w:val="0"/>
          <w:i w:val="0"/>
          <w:color w:val="000000"/>
          <w:sz w:val="22"/>
        </w:rPr>
        <w:t>: D3.1 Course Delivery Plan (Month 12); D3.2 Year 2 Student Training Report (Month 24); D3.3 Year 3 Student Training Report (Month 36); D3.4 Capstone Project Outcomes Report (Month 35).</w:t>
      </w:r>
    </w:p>
    <w:p>
      <w:pPr>
        <w:spacing w:before="160" w:after="80"/>
      </w:pPr>
      <w:r>
        <w:rPr>
          <w:rFonts w:ascii="Arial" w:hAnsi="Arial"/>
          <w:b/>
          <w:i w:val="0"/>
          <w:color w:val="000000"/>
          <w:sz w:val="22"/>
        </w:rPr>
        <w:t>WP4: Living Lab and Pilot Projects (Lead: ZNU; Co-lead: NTNU)</w:t>
      </w:r>
    </w:p>
    <w:p>
      <w:pPr>
        <w:spacing w:before="0" w:after="120"/>
      </w:pPr>
      <w:r>
        <w:rPr>
          <w:rFonts w:ascii="Arial" w:hAnsi="Arial"/>
          <w:b w:val="0"/>
          <w:i w:val="0"/>
          <w:color w:val="000000"/>
          <w:sz w:val="22"/>
        </w:rPr>
      </w:r>
      <w:r>
        <w:rPr>
          <w:rFonts w:ascii="Arial" w:hAnsi="Arial"/>
          <w:b/>
          <w:i w:val="0"/>
          <w:color w:val="000000"/>
          <w:sz w:val="22"/>
        </w:rPr>
        <w:t>Duration</w:t>
      </w:r>
      <w:r>
        <w:rPr>
          <w:rFonts w:ascii="Arial" w:hAnsi="Arial"/>
          <w:b w:val="0"/>
          <w:i w:val="0"/>
          <w:color w:val="000000"/>
          <w:sz w:val="22"/>
        </w:rPr>
        <w:t>: Months 6–36</w:t>
      </w:r>
    </w:p>
    <w:p>
      <w:pPr>
        <w:spacing w:before="0" w:after="120"/>
      </w:pPr>
      <w:r>
        <w:rPr>
          <w:rFonts w:ascii="Arial" w:hAnsi="Arial"/>
          <w:b w:val="0"/>
          <w:i w:val="0"/>
          <w:color w:val="000000"/>
          <w:sz w:val="22"/>
        </w:rPr>
      </w:r>
      <w:r>
        <w:rPr>
          <w:rFonts w:ascii="Arial" w:hAnsi="Arial"/>
          <w:b/>
          <w:i w:val="0"/>
          <w:color w:val="000000"/>
          <w:sz w:val="22"/>
        </w:rPr>
        <w:t>Rationale</w:t>
      </w:r>
      <w:r>
        <w:rPr>
          <w:rFonts w:ascii="Arial" w:hAnsi="Arial"/>
          <w:b w:val="0"/>
          <w:i w:val="0"/>
          <w:color w:val="000000"/>
          <w:sz w:val="22"/>
        </w:rPr>
        <w:t>: Digital twin education without connection to real systems produces graduates who cannot bridge theory and practice. The DigiTwin-Energy Living Lab creates a structured environment in which students and researchers work with actual Ukrainian energy asset data and models, in partnership with industry.</w:t>
      </w:r>
    </w:p>
    <w:p>
      <w:pPr>
        <w:spacing w:before="0" w:after="120"/>
      </w:pPr>
      <w:r>
        <w:rPr>
          <w:rFonts w:ascii="Arial" w:hAnsi="Arial"/>
          <w:b w:val="0"/>
          <w:i w:val="0"/>
          <w:color w:val="000000"/>
          <w:sz w:val="22"/>
        </w:rPr>
      </w:r>
      <w:r>
        <w:rPr>
          <w:rFonts w:ascii="Arial" w:hAnsi="Arial"/>
          <w:b/>
          <w:i w:val="0"/>
          <w:color w:val="000000"/>
          <w:sz w:val="22"/>
        </w:rPr>
        <w:t>Activity 4.1 — Living Lab Establishment</w:t>
      </w:r>
      <w:r>
        <w:rPr>
          <w:rFonts w:ascii="Arial" w:hAnsi="Arial"/>
          <w:b w:val="0"/>
          <w:i w:val="0"/>
          <w:color w:val="000000"/>
          <w:sz w:val="22"/>
        </w:rPr>
        <w:t>: ZNU's Laboratory of Parallel and Distributed Computing and Hydropower Professional College laboratories are upgraded with IoT sensor nodes, real-time data acquisition hardware, and simulation software (NTNU-licensed tools). Equipment purchased by Month 18 (compliant with 12-month pre-project-end procurement requirement). Azure cloud environment configured as the DT hosting platform. Industry data-sharing agreements signed with ≥ 2 Zaporizhzhia-region energy partners.</w:t>
      </w:r>
    </w:p>
    <w:p>
      <w:pPr>
        <w:spacing w:before="0" w:after="120"/>
      </w:pPr>
      <w:r>
        <w:rPr>
          <w:rFonts w:ascii="Arial" w:hAnsi="Arial"/>
          <w:b w:val="0"/>
          <w:i w:val="0"/>
          <w:color w:val="000000"/>
          <w:sz w:val="22"/>
        </w:rPr>
      </w:r>
      <w:r>
        <w:rPr>
          <w:rFonts w:ascii="Arial" w:hAnsi="Arial"/>
          <w:b/>
          <w:i w:val="0"/>
          <w:color w:val="000000"/>
          <w:sz w:val="22"/>
        </w:rPr>
        <w:t>Activity 4.2 — Industry Pilot Projects</w:t>
      </w:r>
      <w:r>
        <w:rPr>
          <w:rFonts w:ascii="Arial" w:hAnsi="Arial"/>
          <w:b w:val="0"/>
          <w:i w:val="0"/>
          <w:color w:val="000000"/>
          <w:sz w:val="22"/>
        </w:rPr>
        <w:t>: Three defined pilot projects, one per semester in Years 2–3:</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Pilot A</w:t>
      </w:r>
      <w:r>
        <w:rPr>
          <w:rFonts w:ascii="Arial" w:hAnsi="Arial"/>
          <w:b w:val="0"/>
          <w:i w:val="0"/>
          <w:color w:val="000000"/>
          <w:sz w:val="22"/>
        </w:rPr>
        <w:t xml:space="preserve"> (Year 2, Semester 1): Digital twin of a partial distribution substation, using anonymised SCADA data from a regional DSO. Objective: anomaly detection and load forecasting.</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Pilot B</w:t>
      </w:r>
      <w:r>
        <w:rPr>
          <w:rFonts w:ascii="Arial" w:hAnsi="Arial"/>
          <w:b w:val="0"/>
          <w:i w:val="0"/>
          <w:color w:val="000000"/>
          <w:sz w:val="22"/>
        </w:rPr>
        <w:t xml:space="preserve"> (Year 2, Semester 2): PINN-based modelling of a small-scale solar-storage microgrid at ZNU's own rooftop solar installation. Objective: state estimation and predictive dispatch optimisation.</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Pilot C</w:t>
      </w:r>
      <w:r>
        <w:rPr>
          <w:rFonts w:ascii="Arial" w:hAnsi="Arial"/>
          <w:b w:val="0"/>
          <w:i w:val="0"/>
          <w:color w:val="000000"/>
          <w:sz w:val="22"/>
        </w:rPr>
        <w:t xml:space="preserve"> (Year 3): Collaborative pilot with Partner 2, modelling a hydropower asset segment (aligned with ZNU's Hydropower Rehabilitation research priority and Dnipro HPP reconstruction context). Objective: predictive maintenance and damage-state digital twin.</w:t>
      </w:r>
    </w:p>
    <w:p>
      <w:pPr>
        <w:spacing w:before="0" w:after="120"/>
      </w:pPr>
      <w:r>
        <w:rPr>
          <w:rFonts w:ascii="Arial" w:hAnsi="Arial"/>
          <w:b w:val="0"/>
          <w:i w:val="0"/>
          <w:color w:val="000000"/>
          <w:sz w:val="22"/>
        </w:rPr>
      </w:r>
      <w:r>
        <w:rPr>
          <w:rFonts w:ascii="Arial" w:hAnsi="Arial"/>
          <w:b/>
          <w:i w:val="0"/>
          <w:color w:val="000000"/>
          <w:sz w:val="22"/>
        </w:rPr>
        <w:t>Activity 4.3 — Industry Engagement</w:t>
      </w:r>
      <w:r>
        <w:rPr>
          <w:rFonts w:ascii="Arial" w:hAnsi="Arial"/>
          <w:b w:val="0"/>
          <w:i w:val="0"/>
          <w:color w:val="000000"/>
          <w:sz w:val="22"/>
        </w:rPr>
        <w:t>: Quarterly Living Lab seminars open to regional energy professionals; 40 practitioners exposed to DT tools over the project period.</w:t>
      </w:r>
    </w:p>
    <w:p>
      <w:pPr>
        <w:spacing w:before="0" w:after="120"/>
      </w:pPr>
      <w:r>
        <w:rPr>
          <w:rFonts w:ascii="Arial" w:hAnsi="Arial"/>
          <w:b w:val="0"/>
          <w:i w:val="0"/>
          <w:color w:val="000000"/>
          <w:sz w:val="22"/>
        </w:rPr>
      </w:r>
      <w:r>
        <w:rPr>
          <w:rFonts w:ascii="Arial" w:hAnsi="Arial"/>
          <w:b/>
          <w:i w:val="0"/>
          <w:color w:val="000000"/>
          <w:sz w:val="22"/>
        </w:rPr>
        <w:t>Deliverables</w:t>
      </w:r>
      <w:r>
        <w:rPr>
          <w:rFonts w:ascii="Arial" w:hAnsi="Arial"/>
          <w:b w:val="0"/>
          <w:i w:val="0"/>
          <w:color w:val="000000"/>
          <w:sz w:val="22"/>
        </w:rPr>
        <w:t>: D4.1 Living Lab Infrastructure Report (Month 18); D4.2–D4.4 Pilot Project Technical Reports A, B, C (Months 24, 30, 35); D4.5 Industry Engagement Summary (Month 36).</w:t>
      </w:r>
    </w:p>
    <w:p>
      <w:pPr>
        <w:spacing w:before="160" w:after="80"/>
      </w:pPr>
      <w:r>
        <w:rPr>
          <w:rFonts w:ascii="Arial" w:hAnsi="Arial"/>
          <w:b/>
          <w:i w:val="0"/>
          <w:color w:val="000000"/>
          <w:sz w:val="22"/>
        </w:rPr>
        <w:t>WP5: Dissemination, Quality Assurance, and Sustainability (Lead: NTNU; Co-lead: all partners)</w:t>
      </w:r>
    </w:p>
    <w:p>
      <w:pPr>
        <w:spacing w:before="0" w:after="120"/>
      </w:pPr>
      <w:r>
        <w:rPr>
          <w:rFonts w:ascii="Arial" w:hAnsi="Arial"/>
          <w:b w:val="0"/>
          <w:i w:val="0"/>
          <w:color w:val="000000"/>
          <w:sz w:val="22"/>
        </w:rPr>
      </w:r>
      <w:r>
        <w:rPr>
          <w:rFonts w:ascii="Arial" w:hAnsi="Arial"/>
          <w:b/>
          <w:i w:val="0"/>
          <w:color w:val="000000"/>
          <w:sz w:val="22"/>
        </w:rPr>
        <w:t>Duration</w:t>
      </w:r>
      <w:r>
        <w:rPr>
          <w:rFonts w:ascii="Arial" w:hAnsi="Arial"/>
          <w:b w:val="0"/>
          <w:i w:val="0"/>
          <w:color w:val="000000"/>
          <w:sz w:val="22"/>
        </w:rPr>
        <w:t>: Months 1–36</w:t>
      </w:r>
    </w:p>
    <w:p>
      <w:pPr>
        <w:spacing w:before="0" w:after="120"/>
      </w:pPr>
      <w:r>
        <w:rPr>
          <w:rFonts w:ascii="Arial" w:hAnsi="Arial"/>
          <w:b w:val="0"/>
          <w:i w:val="0"/>
          <w:color w:val="000000"/>
          <w:sz w:val="22"/>
        </w:rPr>
      </w:r>
      <w:r>
        <w:rPr>
          <w:rFonts w:ascii="Arial" w:hAnsi="Arial"/>
          <w:b/>
          <w:i w:val="0"/>
          <w:color w:val="000000"/>
          <w:sz w:val="22"/>
        </w:rPr>
        <w:t>Activity 5.1 — Open Educational Resources Publication</w:t>
      </w:r>
      <w:r>
        <w:rPr>
          <w:rFonts w:ascii="Arial" w:hAnsi="Arial"/>
          <w:b w:val="0"/>
          <w:i w:val="0"/>
          <w:color w:val="000000"/>
          <w:sz w:val="22"/>
        </w:rPr>
        <w:t>: Full curriculum package published under CC BY 4.0 on Zenodo and the Ukrainian Open Education Platform by Month 32. Target: ≥ 500 downloads/accesses within 12 months.</w:t>
      </w:r>
    </w:p>
    <w:p>
      <w:pPr>
        <w:spacing w:before="0" w:after="120"/>
      </w:pPr>
      <w:r>
        <w:rPr>
          <w:rFonts w:ascii="Arial" w:hAnsi="Arial"/>
          <w:b w:val="0"/>
          <w:i w:val="0"/>
          <w:color w:val="000000"/>
          <w:sz w:val="22"/>
        </w:rPr>
      </w:r>
      <w:r>
        <w:rPr>
          <w:rFonts w:ascii="Arial" w:hAnsi="Arial"/>
          <w:b/>
          <w:i w:val="0"/>
          <w:color w:val="000000"/>
          <w:sz w:val="22"/>
        </w:rPr>
        <w:t>Activity 5.2 — Academic Dissemination</w:t>
      </w:r>
      <w:r>
        <w:rPr>
          <w:rFonts w:ascii="Arial" w:hAnsi="Arial"/>
          <w:b w:val="0"/>
          <w:i w:val="0"/>
          <w:color w:val="000000"/>
          <w:sz w:val="22"/>
        </w:rPr>
        <w:t>: Minimum 4 peer-reviewed publications (conference or journal) on DigiTwin-Energy pedagogy and pilot project results. Target venues include IEEE Transactions on Education, the European Journal of Engineering Education, and the IEEE International Conference on Smart Energy Systems.</w:t>
      </w:r>
    </w:p>
    <w:p>
      <w:pPr>
        <w:spacing w:before="0" w:after="120"/>
      </w:pPr>
      <w:r>
        <w:rPr>
          <w:rFonts w:ascii="Arial" w:hAnsi="Arial"/>
          <w:b w:val="0"/>
          <w:i w:val="0"/>
          <w:color w:val="000000"/>
          <w:sz w:val="22"/>
        </w:rPr>
      </w:r>
      <w:r>
        <w:rPr>
          <w:rFonts w:ascii="Arial" w:hAnsi="Arial"/>
          <w:b/>
          <w:i w:val="0"/>
          <w:color w:val="000000"/>
          <w:sz w:val="22"/>
        </w:rPr>
        <w:t>Activity 5.3 — Policy Engagement</w:t>
      </w:r>
      <w:r>
        <w:rPr>
          <w:rFonts w:ascii="Arial" w:hAnsi="Arial"/>
          <w:b w:val="0"/>
          <w:i w:val="0"/>
          <w:color w:val="000000"/>
          <w:sz w:val="22"/>
        </w:rPr>
        <w:t>: One policy brief submitted to the Ukrainian Ministry of Education and Science and to HK-dir recommending national adoption of DT methodology in energy engineering curricula.</w:t>
      </w:r>
    </w:p>
    <w:p>
      <w:pPr>
        <w:spacing w:before="0" w:after="120"/>
      </w:pPr>
      <w:r>
        <w:rPr>
          <w:rFonts w:ascii="Arial" w:hAnsi="Arial"/>
          <w:b w:val="0"/>
          <w:i w:val="0"/>
          <w:color w:val="000000"/>
          <w:sz w:val="22"/>
        </w:rPr>
      </w:r>
      <w:r>
        <w:rPr>
          <w:rFonts w:ascii="Arial" w:hAnsi="Arial"/>
          <w:b/>
          <w:i w:val="0"/>
          <w:color w:val="000000"/>
          <w:sz w:val="22"/>
        </w:rPr>
        <w:t>Activity 5.4 — Quality Assurance</w:t>
      </w:r>
      <w:r>
        <w:rPr>
          <w:rFonts w:ascii="Arial" w:hAnsi="Arial"/>
          <w:b w:val="0"/>
          <w:i w:val="0"/>
          <w:color w:val="000000"/>
          <w:sz w:val="22"/>
        </w:rPr>
        <w:t>: A Project Steering Committee (PSC) meets quarterly (online). An External Advisory Board (EAB) comprising two European energy education experts and one industry representative reviews deliverables annually. Mid-term and final evaluations conducted against SMART targets.</w:t>
      </w:r>
    </w:p>
    <w:p>
      <w:pPr>
        <w:spacing w:before="0" w:after="120"/>
      </w:pPr>
      <w:r>
        <w:rPr>
          <w:rFonts w:ascii="Arial" w:hAnsi="Arial"/>
          <w:b w:val="0"/>
          <w:i w:val="0"/>
          <w:color w:val="000000"/>
          <w:sz w:val="22"/>
        </w:rPr>
      </w:r>
      <w:r>
        <w:rPr>
          <w:rFonts w:ascii="Arial" w:hAnsi="Arial"/>
          <w:b/>
          <w:i w:val="0"/>
          <w:color w:val="000000"/>
          <w:sz w:val="22"/>
        </w:rPr>
        <w:t>Deliverables</w:t>
      </w:r>
      <w:r>
        <w:rPr>
          <w:rFonts w:ascii="Arial" w:hAnsi="Arial"/>
          <w:b w:val="0"/>
          <w:i w:val="0"/>
          <w:color w:val="000000"/>
          <w:sz w:val="22"/>
        </w:rPr>
        <w:t>: D5.1 Project Website (Month 2); D5.2 Annual Quality Reports (Months 12, 24, 36); D5.3 OER Package (Month 32); D5.4 Policy Brief (Month 34); D5.5 Final Project Report (Month 36).</w:t>
      </w:r>
    </w:p>
    <w:p w14:paraId="621A9D5B" w14:textId="77777777" w:rsidR="000233C9" w:rsidRPr="003462FB" w:rsidRDefault="000233C9" w:rsidP="000233C9">
      <w:pPr>
        <w:pStyle w:val="Ingenmellomrom"/>
      </w:pPr>
    </w:p>
    <w:p w14:paraId="3213A3F2" w14:textId="77777777" w:rsidR="000233C9" w:rsidRPr="003462FB" w:rsidRDefault="000233C9" w:rsidP="000233C9">
      <w:pPr>
        <w:pStyle w:val="Ingenmellomrom"/>
      </w:pPr>
    </w:p>
    <w:p w14:paraId="3685465E" w14:textId="77777777" w:rsidR="000233C9" w:rsidRPr="003462FB" w:rsidRDefault="000233C9" w:rsidP="000233C9">
      <w:pPr>
        <w:pStyle w:val="Ingenmellomrom"/>
      </w:pPr>
    </w:p>
    <w:p w14:paraId="31E95A9E" w14:textId="77777777" w:rsidR="000233C9" w:rsidRPr="003462FB" w:rsidRDefault="000233C9" w:rsidP="000233C9">
      <w:pPr>
        <w:pStyle w:val="Ingenmellomrom"/>
        <w:rPr>
          <w:b/>
          <w:bCs/>
        </w:rPr>
      </w:pPr>
      <w:r w:rsidRPr="003462FB">
        <w:rPr>
          <w:b/>
          <w:bCs/>
        </w:rPr>
        <w:t>2.2</w:t>
      </w:r>
      <w:r w:rsidRPr="003462FB">
        <w:rPr>
          <w:b/>
          <w:bCs/>
        </w:rPr>
        <w:tab/>
        <w:t>Risk factors in the project and measures to reduce them</w:t>
      </w:r>
    </w:p>
    <w:p w14:paraId="60462A66" w14:textId="77777777" w:rsidR="000233C9" w:rsidRPr="003462FB" w:rsidRDefault="000233C9" w:rsidP="000233C9">
      <w:pPr>
        <w:pStyle w:val="Ingenmellomrom"/>
      </w:pPr>
    </w:p>
    <w:p w14:paraId="1084F9B9" w14:textId="77777777" w:rsidR="000233C9" w:rsidRPr="003462FB" w:rsidRDefault="000233C9" w:rsidP="000233C9">
      <w:pPr>
        <w:pStyle w:val="Ingenmellomrom"/>
      </w:pPr>
    </w:p>
    <w:p w14:paraId="586CE14F" w14:textId="7CDDE6A1" w:rsidR="000233C9" w:rsidRPr="003462FB" w:rsidRDefault="000233C9" w:rsidP="000233C9">
      <w:pPr>
        <w:pStyle w:val="Ingenmellomrom"/>
      </w:pPr>
      <w:r/>
    </w:p>
    <w:p>
      <w:pPr>
        <w:spacing w:before="160" w:after="80"/>
      </w:pPr>
      <w:r>
        <w:rPr>
          <w:rFonts w:ascii="Arial" w:hAnsi="Arial"/>
          <w:b/>
          <w:i w:val="0"/>
          <w:color w:val="000000"/>
          <w:sz w:val="22"/>
        </w:rPr>
        <w:t>Risk Factors and Mitigation Measures</w:t>
      </w:r>
    </w:p>
    <w:p>
      <w:pPr>
        <w:spacing w:before="160" w:after="80"/>
      </w:pPr>
      <w:r>
        <w:rPr>
          <w:rFonts w:ascii="Arial" w:hAnsi="Arial"/>
          <w:b/>
          <w:i w:val="0"/>
          <w:color w:val="000000"/>
          <w:sz w:val="22"/>
        </w:rPr>
        <w:t>1. Security Risk: Zaporizhzhia as a Frontline Region</w:t>
      </w:r>
    </w:p>
    <w:p>
      <w:pPr>
        <w:spacing w:before="0" w:after="120"/>
      </w:pPr>
      <w:r>
        <w:rPr>
          <w:rFonts w:ascii="Arial" w:hAnsi="Arial"/>
          <w:b w:val="0"/>
          <w:i w:val="0"/>
          <w:color w:val="000000"/>
          <w:sz w:val="22"/>
        </w:rPr>
      </w:r>
      <w:r>
        <w:rPr>
          <w:rFonts w:ascii="Arial" w:hAnsi="Arial"/>
          <w:b/>
          <w:i w:val="0"/>
          <w:color w:val="000000"/>
          <w:sz w:val="22"/>
        </w:rPr>
        <w:t>Risk level: HIGH.</w:t>
      </w:r>
      <w:r>
        <w:rPr>
          <w:rFonts w:ascii="Arial" w:hAnsi="Arial"/>
          <w:b w:val="0"/>
          <w:i w:val="0"/>
          <w:color w:val="000000"/>
          <w:sz w:val="22"/>
        </w:rPr>
        <w:t xml:space="preserve"> Zaporizhzhia city and oblast remain active combat zones as of 2025. ZNU's campus has experienced air-raid alerts averaging 4–6 per day; physical damage to university buildings has occurred. Student and staff safety cannot be guaranteed during in-person activities. Travel to/from Zaporizhzhia for international visitors is effectively impossible under current conditions.</w:t>
      </w:r>
    </w:p>
    <w:p>
      <w:pPr>
        <w:spacing w:before="0" w:after="120"/>
      </w:pPr>
      <w:r>
        <w:rPr>
          <w:rFonts w:ascii="Arial" w:hAnsi="Arial"/>
          <w:b w:val="0"/>
          <w:i w:val="0"/>
          <w:color w:val="000000"/>
          <w:sz w:val="22"/>
        </w:rPr>
      </w:r>
      <w:r>
        <w:rPr>
          <w:rFonts w:ascii="Arial" w:hAnsi="Arial"/>
          <w:b/>
          <w:i w:val="0"/>
          <w:color w:val="000000"/>
          <w:sz w:val="22"/>
        </w:rPr>
        <w:t>Mitigation</w:t>
      </w:r>
      <w:r>
        <w:rPr>
          <w:rFonts w:ascii="Arial" w:hAnsi="Arial"/>
          <w:b w:val="0"/>
          <w:i w:val="0"/>
          <w:color w:val="000000"/>
          <w:sz w:val="22"/>
        </w:rPr>
        <w:t>: DigiTwin-Energy is explicitly designed for remote-first delivery. All course modules are structured to be fully completeable online, with in-person components treated as enhancements rather than requirements. All NTNU staff visits to Ukrainian partner institutions will be conducted digitally; no NTNU personnel will travel to Zaporizhzhia during the project period. Student exchanges to NTNU (WP3) will proceed only for students who have been displaced to safer locations within Ukraine (Lviv, Kyiv, Poltava, etc.) and can travel safely. A continuity protocol is in place: if ZNU's primary campus becomes inaccessible, academic activities will migrate to ZNU's already-active remote infrastructure (Azure cloud, LMS platform, distributed staff locations). The project budget includes a dedicated contingency reserve (5% of total budget) for emergency digital infrastructure costs. Progress reporting will flag any security-driven delays without penalising partners.</w:t>
      </w:r>
    </w:p>
    <w:p>
      <w:pPr>
        <w:spacing w:before="160" w:after="80"/>
      </w:pPr>
      <w:r>
        <w:rPr>
          <w:rFonts w:ascii="Arial" w:hAnsi="Arial"/>
          <w:b/>
          <w:i w:val="0"/>
          <w:color w:val="000000"/>
          <w:sz w:val="22"/>
        </w:rPr>
        <w:t>2. Corruption Risk: Ukraine Corruption Perception Index ~33/100</w:t>
      </w:r>
    </w:p>
    <w:p>
      <w:pPr>
        <w:spacing w:before="0" w:after="120"/>
      </w:pPr>
      <w:r>
        <w:rPr>
          <w:rFonts w:ascii="Arial" w:hAnsi="Arial"/>
          <w:b w:val="0"/>
          <w:i w:val="0"/>
          <w:color w:val="000000"/>
          <w:sz w:val="22"/>
        </w:rPr>
      </w:r>
      <w:r>
        <w:rPr>
          <w:rFonts w:ascii="Arial" w:hAnsi="Arial"/>
          <w:b/>
          <w:i w:val="0"/>
          <w:color w:val="000000"/>
          <w:sz w:val="22"/>
        </w:rPr>
        <w:t>Risk level: MEDIUM-HIGH</w:t>
      </w:r>
      <w:r>
        <w:rPr>
          <w:rFonts w:ascii="Arial" w:hAnsi="Arial"/>
          <w:b w:val="0"/>
          <w:i w:val="0"/>
          <w:color w:val="000000"/>
          <w:sz w:val="22"/>
        </w:rPr>
        <w:t xml:space="preserve"> (mandatory compliance category given Ukraine's CPI below the 69-point threshold). Risks include: procurement irregularities, nepotistic hiring, misallocation of scholarship funds, and false reporting on student participation numbers.</w:t>
      </w:r>
    </w:p>
    <w:p>
      <w:pPr>
        <w:spacing w:before="0" w:after="120"/>
      </w:pPr>
      <w:r>
        <w:rPr>
          <w:rFonts w:ascii="Arial" w:hAnsi="Arial"/>
          <w:b w:val="0"/>
          <w:i w:val="0"/>
          <w:color w:val="000000"/>
          <w:sz w:val="22"/>
        </w:rPr>
      </w:r>
      <w:r>
        <w:rPr>
          <w:rFonts w:ascii="Arial" w:hAnsi="Arial"/>
          <w:b/>
          <w:i w:val="0"/>
          <w:color w:val="000000"/>
          <w:sz w:val="22"/>
        </w:rPr>
        <w:t>Mitigation</w:t>
      </w:r>
      <w:r>
        <w:rPr>
          <w:rFonts w:ascii="Arial" w:hAnsi="Arial"/>
          <w:b w:val="0"/>
          <w:i w:val="0"/>
          <w:color w:val="000000"/>
          <w:sz w:val="22"/>
        </w:rPr>
        <w:t>: NTNU, as the Norwegian applicant and grant holder, maintains full financial accountability and applies NTNU's institutional procurement and anti-corruption policies to all project expenditures. All equipment purchases above NOK 100,000 require three-quote competitive tendering with documentation submitted to NTNU's project office. Scholarship payments to Ukrainian students are processed through a jointly controlled disbursement mechanism: NTNU initiates payment on confirmation from both the Ukrainian institution's academic registrar and the student's direct supervisor, with monthly attendance logs maintained in the project's shared data system. Financial records are maintained in NTNU's enterprise accounting system (Unit4), auditable by HK-dir at any point. Annual external financial audits are budgeted. Ukrainian partner institutions must complete NTNU's mandatory online anti-corruption and research integrity training module before the project start date. A confidential whistleblower channel (operated by NTNU's ethics office) is made known to all project participants at inception and at each annual review.</w:t>
      </w:r>
    </w:p>
    <w:p>
      <w:pPr>
        <w:spacing w:before="160" w:after="80"/>
      </w:pPr>
      <w:r>
        <w:rPr>
          <w:rFonts w:ascii="Arial" w:hAnsi="Arial"/>
          <w:b/>
          <w:i w:val="0"/>
          <w:color w:val="000000"/>
          <w:sz w:val="22"/>
        </w:rPr>
        <w:t>3. Climate and Environmental Risk</w:t>
      </w:r>
    </w:p>
    <w:p>
      <w:pPr>
        <w:spacing w:before="0" w:after="120"/>
      </w:pPr>
      <w:r>
        <w:rPr>
          <w:rFonts w:ascii="Arial" w:hAnsi="Arial"/>
          <w:b w:val="0"/>
          <w:i w:val="0"/>
          <w:color w:val="000000"/>
          <w:sz w:val="22"/>
        </w:rPr>
      </w:r>
      <w:r>
        <w:rPr>
          <w:rFonts w:ascii="Arial" w:hAnsi="Arial"/>
          <w:b/>
          <w:i w:val="0"/>
          <w:color w:val="000000"/>
          <w:sz w:val="22"/>
        </w:rPr>
        <w:t>Risk level: LOW</w:t>
      </w:r>
      <w:r>
        <w:rPr>
          <w:rFonts w:ascii="Arial" w:hAnsi="Arial"/>
          <w:b w:val="0"/>
          <w:i w:val="0"/>
          <w:color w:val="000000"/>
          <w:sz w:val="22"/>
        </w:rPr>
        <w:t xml:space="preserve"> (educational project with minimal direct environmental footprint).</w:t>
      </w:r>
    </w:p>
    <w:p>
      <w:pPr>
        <w:spacing w:before="0" w:after="120"/>
      </w:pPr>
      <w:r>
        <w:rPr>
          <w:rFonts w:ascii="Arial" w:hAnsi="Arial"/>
          <w:b w:val="0"/>
          <w:i w:val="0"/>
          <w:color w:val="000000"/>
          <w:sz w:val="22"/>
        </w:rPr>
      </w:r>
      <w:r>
        <w:rPr>
          <w:rFonts w:ascii="Arial" w:hAnsi="Arial"/>
          <w:b/>
          <w:i w:val="0"/>
          <w:color w:val="000000"/>
          <w:sz w:val="22"/>
        </w:rPr>
        <w:t>Mitigation</w:t>
      </w:r>
      <w:r>
        <w:rPr>
          <w:rFonts w:ascii="Arial" w:hAnsi="Arial"/>
          <w:b w:val="0"/>
          <w:i w:val="0"/>
          <w:color w:val="000000"/>
          <w:sz w:val="22"/>
        </w:rPr>
        <w:t>: DigiTwin-Energy actively reduces its carbon footprint through: (a) prioritising digital meetings over physical travel — all routine project coordination (PSC meetings, WP meetings, supervision sessions) is conducted online; (b) when physical exchanges occur, rail travel is preferred (Trondheim–Oslo–mainland Europe); (c) air travel, where unavoidable, is offset through certified NTNU CO₂ offset scheme; (d) NTNU's Azure-hosted simulation environments use Microsoft's carbon-neutral datacentre infrastructure; (e) the Living Lab's Pilot B (solar-storage microgrid DT) directly contributes to green transition knowledge. The project's thematic contribution to renewable energy grid optimisation represents a positive environmental externality of substantial scale: graduates who can design and operate smarter grids reduce systemic energy waste and accelerate the integration of variable renewables.</w:t>
      </w:r>
    </w:p>
    <w:p>
      <w:pPr>
        <w:spacing w:before="160" w:after="80"/>
      </w:pPr>
      <w:r>
        <w:rPr>
          <w:rFonts w:ascii="Arial" w:hAnsi="Arial"/>
          <w:b/>
          <w:i w:val="0"/>
          <w:color w:val="000000"/>
          <w:sz w:val="22"/>
        </w:rPr>
        <w:t>4. Gender Equality</w:t>
      </w:r>
    </w:p>
    <w:p>
      <w:pPr>
        <w:spacing w:before="0" w:after="120"/>
      </w:pPr>
      <w:r>
        <w:rPr>
          <w:rFonts w:ascii="Arial" w:hAnsi="Arial"/>
          <w:b w:val="0"/>
          <w:i w:val="0"/>
          <w:color w:val="000000"/>
          <w:sz w:val="22"/>
        </w:rPr>
      </w:r>
      <w:r>
        <w:rPr>
          <w:rFonts w:ascii="Arial" w:hAnsi="Arial"/>
          <w:b/>
          <w:i w:val="0"/>
          <w:color w:val="000000"/>
          <w:sz w:val="22"/>
        </w:rPr>
        <w:t>Risk level: MEDIUM</w:t>
      </w:r>
      <w:r>
        <w:rPr>
          <w:rFonts w:ascii="Arial" w:hAnsi="Arial"/>
          <w:b w:val="0"/>
          <w:i w:val="0"/>
          <w:color w:val="000000"/>
          <w:sz w:val="22"/>
        </w:rPr>
        <w:t xml:space="preserve"> (STEM fields in Ukraine remain male-dominated at advanced levels; war displacement disproportionately affects women in caregiving roles).</w:t>
      </w:r>
    </w:p>
    <w:p>
      <w:pPr>
        <w:spacing w:before="0" w:after="120"/>
      </w:pPr>
      <w:r>
        <w:rPr>
          <w:rFonts w:ascii="Arial" w:hAnsi="Arial"/>
          <w:b w:val="0"/>
          <w:i w:val="0"/>
          <w:color w:val="000000"/>
          <w:sz w:val="22"/>
        </w:rPr>
      </w:r>
      <w:r>
        <w:rPr>
          <w:rFonts w:ascii="Arial" w:hAnsi="Arial"/>
          <w:b/>
          <w:i w:val="0"/>
          <w:color w:val="000000"/>
          <w:sz w:val="22"/>
        </w:rPr>
        <w:t>Mitigation</w:t>
      </w:r>
      <w:r>
        <w:rPr>
          <w:rFonts w:ascii="Arial" w:hAnsi="Arial"/>
          <w:b w:val="0"/>
          <w:i w:val="0"/>
          <w:color w:val="000000"/>
          <w:sz w:val="22"/>
        </w:rPr>
        <w:t>: DigiTwin-Energy adopts a proactive gender equality approach. Specific measures: (a) a binding target of ≥ 40% female student participation in all DigiTwin-Energy courses, monitored and reported annually; (b) ≥ 40% female representation in student exchanges to NTNU; (c) curriculum materials use gender-neutral language and feature case studies with diverse role models, including female energy engineers and researchers; (d) the Project Steering Committee must achieve ≥ 40% female membership; (e) staff development workshops include a module on inclusive teaching practices for STEM; (f) flexible assessment deadlines and asynchronous learning options accommodate caregiving responsibilities disproportionately borne by women in the wartime context; (g) a gender disaggregated monitoring table is included in all annual reports. ZNU's existing experience with gender-responsive wartime education (documented in its ESG strategy) will be shared with Partner 2 at project inception.</w:t>
      </w:r>
    </w:p>
    <w:p>
      <w:pPr>
        <w:spacing w:before="160" w:after="80"/>
      </w:pPr>
      <w:r>
        <w:rPr>
          <w:rFonts w:ascii="Arial" w:hAnsi="Arial"/>
          <w:b/>
          <w:i w:val="0"/>
          <w:color w:val="000000"/>
          <w:sz w:val="22"/>
        </w:rPr>
        <w:t>5. Human Rights Impact Assessment</w:t>
      </w:r>
    </w:p>
    <w:p>
      <w:pPr>
        <w:spacing w:before="0" w:after="120"/>
      </w:pPr>
      <w:r>
        <w:rPr>
          <w:rFonts w:ascii="Arial" w:hAnsi="Arial"/>
          <w:b w:val="0"/>
          <w:i w:val="0"/>
          <w:color w:val="000000"/>
          <w:sz w:val="22"/>
        </w:rPr>
      </w:r>
      <w:r>
        <w:rPr>
          <w:rFonts w:ascii="Arial" w:hAnsi="Arial"/>
          <w:b/>
          <w:i w:val="0"/>
          <w:color w:val="000000"/>
          <w:sz w:val="22"/>
        </w:rPr>
        <w:t>Risk level: LOW-MEDIUM.</w:t>
      </w:r>
      <w:r>
        <w:rPr>
          <w:rFonts w:ascii="Arial" w:hAnsi="Arial"/>
          <w:b w:val="0"/>
          <w:i w:val="0"/>
          <w:color w:val="000000"/>
          <w:sz w:val="22"/>
        </w:rPr>
        <w:t xml:space="preserve"> The project involves educational activities in a conflict-affected country. Potential negative impacts include: exclusion of students from occupied territories who cannot safely communicate with Ukrainian institutions; risk of surveillance or retaliation against participants identifiable through online platforms; and potential dual-use concerns regarding cybersecurity curriculum content.</w:t>
      </w:r>
    </w:p>
    <w:p>
      <w:pPr>
        <w:spacing w:before="0" w:after="120"/>
      </w:pPr>
      <w:r>
        <w:rPr>
          <w:rFonts w:ascii="Arial" w:hAnsi="Arial"/>
          <w:b w:val="0"/>
          <w:i w:val="0"/>
          <w:color w:val="000000"/>
          <w:sz w:val="22"/>
        </w:rPr>
      </w:r>
      <w:r>
        <w:rPr>
          <w:rFonts w:ascii="Arial" w:hAnsi="Arial"/>
          <w:b/>
          <w:i w:val="0"/>
          <w:color w:val="000000"/>
          <w:sz w:val="22"/>
        </w:rPr>
        <w:t>Mitigation</w:t>
      </w:r>
      <w:r>
        <w:rPr>
          <w:rFonts w:ascii="Arial" w:hAnsi="Arial"/>
          <w:b w:val="0"/>
          <w:i w:val="0"/>
          <w:color w:val="000000"/>
          <w:sz w:val="22"/>
        </w:rPr>
        <w:t>: Participation is voluntary; no student is required to disclose their location or displacement status to participate. LMS platforms used do not store IP-location data. Cybersecurity module content is oriented toward defensive security (IEC 62443 compliance, intrusion detection) and is reviewed against EU export control regulations (Council Regulation 2021/821 on dual-use items) to ensure no content falls under controlled categories. Students in occupied or contested territories are not excluded from online participation where technically feasible. The project supports freedom of expression and academic inquiry; no partner institution is required to submit research outputs for government pre-approval.</w:t>
      </w:r>
    </w:p>
    <w:p>
      <w:pPr>
        <w:spacing w:before="160" w:after="80"/>
      </w:pPr>
      <w:r>
        <w:rPr>
          <w:rFonts w:ascii="Arial" w:hAnsi="Arial"/>
          <w:b/>
          <w:i w:val="0"/>
          <w:color w:val="000000"/>
          <w:sz w:val="22"/>
        </w:rPr>
        <w:t>6. SEAH Prevention (Sexual Exploitation, Abuse and Harassment)</w:t>
      </w:r>
    </w:p>
    <w:p>
      <w:pPr>
        <w:spacing w:before="0" w:after="120"/>
      </w:pPr>
      <w:r>
        <w:rPr>
          <w:rFonts w:ascii="Arial" w:hAnsi="Arial"/>
          <w:b w:val="0"/>
          <w:i w:val="0"/>
          <w:color w:val="000000"/>
          <w:sz w:val="22"/>
        </w:rPr>
      </w:r>
      <w:r>
        <w:rPr>
          <w:rFonts w:ascii="Arial" w:hAnsi="Arial"/>
          <w:b/>
          <w:i w:val="0"/>
          <w:color w:val="000000"/>
          <w:sz w:val="22"/>
        </w:rPr>
        <w:t>Risk level: LOW-MEDIUM</w:t>
      </w:r>
      <w:r>
        <w:rPr>
          <w:rFonts w:ascii="Arial" w:hAnsi="Arial"/>
          <w:b w:val="0"/>
          <w:i w:val="0"/>
          <w:color w:val="000000"/>
          <w:sz w:val="22"/>
        </w:rPr>
        <w:t xml:space="preserve"> (relevant for exchange programmes involving power imbalances between students and supervisors).</w:t>
      </w:r>
    </w:p>
    <w:p>
      <w:pPr>
        <w:spacing w:before="0" w:after="120"/>
      </w:pPr>
      <w:r>
        <w:rPr>
          <w:rFonts w:ascii="Arial" w:hAnsi="Arial"/>
          <w:b w:val="0"/>
          <w:i w:val="0"/>
          <w:color w:val="000000"/>
          <w:sz w:val="22"/>
        </w:rPr>
      </w:r>
      <w:r>
        <w:rPr>
          <w:rFonts w:ascii="Arial" w:hAnsi="Arial"/>
          <w:b/>
          <w:i w:val="0"/>
          <w:color w:val="000000"/>
          <w:sz w:val="22"/>
        </w:rPr>
        <w:t>Mitigation</w:t>
      </w:r>
      <w:r>
        <w:rPr>
          <w:rFonts w:ascii="Arial" w:hAnsi="Arial"/>
          <w:b w:val="0"/>
          <w:i w:val="0"/>
          <w:color w:val="000000"/>
          <w:sz w:val="22"/>
        </w:rPr>
        <w:t>: DigiTwin-Energy implements NTNU's established SEAH prevention framework, which is aligned with Norwegian law and international best practice. Specific measures: (a) all participating staff and faculty complete NTNU's mandatory online SEAH prevention and bystander training before the project begins; (b) a clear Code of Conduct is signed by all project participants and is included in all exchange and scholarship agreements; (c) a confidential SEAH reporting mechanism (NTNU's student welfare office and Ukrainian partner student support services) is communicated to all participants at induction; (d) student exchange induction at NTNU includes explicit session on rights, reporting pathways, and contact persons; (e) the project has a designated safeguarding lead (the NTNU Project Coordinator) and a Ukrainian safeguarding contact at each partner institution; (f) power dynamics in supervisory relationships are addressed through structured supervision protocols with formal check-in points; (g) SEAH incidents, if any, are reported to HK-dir within 72 hours.</w:t>
      </w:r>
    </w:p>
    <w:p>
      <w:pPr>
        <w:spacing w:before="160" w:after="80"/>
      </w:pPr>
      <w:r>
        <w:rPr>
          <w:rFonts w:ascii="Arial" w:hAnsi="Arial"/>
          <w:b/>
          <w:i w:val="0"/>
          <w:color w:val="000000"/>
          <w:sz w:val="22"/>
        </w:rPr>
        <w:t>7. Data Protection and IT Security</w:t>
      </w:r>
    </w:p>
    <w:p>
      <w:pPr>
        <w:spacing w:before="0" w:after="120"/>
      </w:pPr>
      <w:r>
        <w:rPr>
          <w:rFonts w:ascii="Arial" w:hAnsi="Arial"/>
          <w:b w:val="0"/>
          <w:i w:val="0"/>
          <w:color w:val="000000"/>
          <w:sz w:val="22"/>
        </w:rPr>
      </w:r>
      <w:r>
        <w:rPr>
          <w:rFonts w:ascii="Arial" w:hAnsi="Arial"/>
          <w:b/>
          <w:i w:val="0"/>
          <w:color w:val="000000"/>
          <w:sz w:val="22"/>
        </w:rPr>
        <w:t>Risk level: MEDIUM-HIGH</w:t>
      </w:r>
      <w:r>
        <w:rPr>
          <w:rFonts w:ascii="Arial" w:hAnsi="Arial"/>
          <w:b w:val="0"/>
          <w:i w:val="0"/>
          <w:color w:val="000000"/>
          <w:sz w:val="22"/>
        </w:rPr>
        <w:t xml:space="preserve"> (energy infrastructure data, SCADA datasets, and personal data of Ukrainian students in a conflict zone require robust protection).</w:t>
      </w:r>
    </w:p>
    <w:p>
      <w:pPr>
        <w:spacing w:before="0" w:after="120"/>
      </w:pPr>
      <w:r>
        <w:rPr>
          <w:rFonts w:ascii="Arial" w:hAnsi="Arial"/>
          <w:b w:val="0"/>
          <w:i w:val="0"/>
          <w:color w:val="000000"/>
          <w:sz w:val="22"/>
        </w:rPr>
      </w:r>
      <w:r>
        <w:rPr>
          <w:rFonts w:ascii="Arial" w:hAnsi="Arial"/>
          <w:b/>
          <w:i w:val="0"/>
          <w:color w:val="000000"/>
          <w:sz w:val="22"/>
        </w:rPr>
        <w:t>Mitigation</w:t>
      </w:r>
      <w:r>
        <w:rPr>
          <w:rFonts w:ascii="Arial" w:hAnsi="Arial"/>
          <w:b w:val="0"/>
          <w:i w:val="0"/>
          <w:color w:val="000000"/>
          <w:sz w:val="22"/>
        </w:rPr>
        <w:t>: All personal data is processed in compliance with GDPR (NTNU as data controller) and Ukrainian personal data protection law. Student data is stored exclusively on NTNU's GDPR-compliant infrastructure (no data on Ukrainian government systems). Energy asset data used in Living Lab pilots is anonymised and/or covered by data-sharing agreements with industry partners specifying handling protocols. SCADA datasets are processed in isolated Azure environments with role-based access control. The cybersecurity module of the curriculum (Module 4) was designed partly in response to ZNU's own security experience operating Azure infrastructure under wartime cyber-threat conditions.</w:t>
      </w:r>
    </w:p>
    <w:p>
      <w:pPr>
        <w:spacing w:before="160" w:after="80"/>
      </w:pPr>
      <w:r>
        <w:rPr>
          <w:rFonts w:ascii="Arial" w:hAnsi="Arial"/>
          <w:b/>
          <w:i w:val="0"/>
          <w:color w:val="000000"/>
          <w:sz w:val="22"/>
        </w:rPr>
        <w:t>8. Cost-Effectiveness Justification</w:t>
      </w:r>
    </w:p>
    <w:p>
      <w:pPr>
        <w:spacing w:before="0" w:after="120"/>
      </w:pPr>
      <w:r>
        <w:rPr>
          <w:rFonts w:ascii="Arial" w:hAnsi="Arial"/>
          <w:b w:val="0"/>
          <w:i w:val="0"/>
          <w:color w:val="000000"/>
          <w:sz w:val="22"/>
        </w:rPr>
        <w:t>The total budget of NOK 5,000,000 (~EUR 430,000) over 36 months delivers: 4 accredited course modules (24 ECTS), training for 180 students and 24 staff, 12 student exchanges, 3 industry pilot projects, and a full OER package. Norwegian/non-Ukrainian personnel costs are capped at 29% of total budget (below the 30% mandatory ceiling), ensuring that ≥ 71% of funds flow to Ukrainian partner activities, student scholarships, equipment, and capacity building directly in Ukraine. The per-student training cost (excluding staff development) is approximately EUR 1,200 — substantially lower than comparable European professional training programmes — reflecting the cost advantage of Ukrainian delivery at scale and the leveraging of existing ZNU HPC and Azure infrastructure.</w:t>
      </w:r>
    </w:p>
    <w:p w14:paraId="640C68E4" w14:textId="77777777" w:rsidR="000233C9" w:rsidRPr="003462FB" w:rsidRDefault="000233C9" w:rsidP="000233C9">
      <w:pPr>
        <w:pStyle w:val="Ingenmellomrom"/>
      </w:pPr>
    </w:p>
    <w:p w14:paraId="4B20E0D3" w14:textId="77777777" w:rsidR="000233C9" w:rsidRPr="003462FB" w:rsidRDefault="000233C9" w:rsidP="000233C9">
      <w:pPr>
        <w:pStyle w:val="Ingenmellomrom"/>
      </w:pPr>
    </w:p>
    <w:p w14:paraId="475DCB01" w14:textId="77777777" w:rsidR="000233C9" w:rsidRPr="003462FB" w:rsidRDefault="000233C9" w:rsidP="000233C9">
      <w:pPr>
        <w:pStyle w:val="Ingenmellomrom"/>
      </w:pPr>
    </w:p>
    <w:p w14:paraId="7D136DC1" w14:textId="77777777" w:rsidR="000233C9" w:rsidRPr="003462FB" w:rsidRDefault="000233C9" w:rsidP="000233C9">
      <w:pPr>
        <w:pStyle w:val="Ingenmellomrom"/>
      </w:pPr>
    </w:p>
    <w:p w14:paraId="7D2F47A8" w14:textId="77777777" w:rsidR="004107A8" w:rsidRDefault="004107A8">
      <w:pPr>
        <w:rPr>
          <w:b/>
          <w:bCs/>
          <w:sz w:val="32"/>
          <w:szCs w:val="32"/>
        </w:rPr>
      </w:pPr>
      <w:r>
        <w:rPr>
          <w:b/>
          <w:bCs/>
          <w:sz w:val="32"/>
          <w:szCs w:val="32"/>
        </w:rPr>
        <w:br w:type="page"/>
      </w:r>
    </w:p>
    <w:p w14:paraId="6D6684B7"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3</w:t>
      </w:r>
      <w:r w:rsidRPr="003462FB">
        <w:rPr>
          <w:b/>
          <w:bCs/>
          <w:sz w:val="32"/>
          <w:szCs w:val="32"/>
        </w:rPr>
        <w:tab/>
        <w:t xml:space="preserve">The project group and collaborative structures </w:t>
      </w:r>
    </w:p>
    <w:p w14:paraId="12FEE653" w14:textId="77777777" w:rsidR="000233C9" w:rsidRPr="003462FB" w:rsidRDefault="000233C9" w:rsidP="000233C9">
      <w:pPr>
        <w:pStyle w:val="Ingenmellomrom"/>
      </w:pPr>
    </w:p>
    <w:p w14:paraId="57D6BBF8" w14:textId="77777777" w:rsidR="000233C9" w:rsidRPr="003462FB" w:rsidRDefault="000233C9" w:rsidP="000233C9">
      <w:pPr>
        <w:pStyle w:val="Ingenmellomrom"/>
        <w:rPr>
          <w:b/>
          <w:bCs/>
        </w:rPr>
      </w:pPr>
      <w:r w:rsidRPr="003462FB">
        <w:rPr>
          <w:b/>
          <w:bCs/>
        </w:rPr>
        <w:t>3.1</w:t>
      </w:r>
      <w:r w:rsidRPr="003462FB">
        <w:rPr>
          <w:b/>
          <w:bCs/>
        </w:rPr>
        <w:tab/>
        <w:t>Key personnel for the implementation of the project</w:t>
      </w:r>
    </w:p>
    <w:p w14:paraId="63F5ED50" w14:textId="77777777" w:rsidR="000233C9" w:rsidRPr="003462FB" w:rsidRDefault="000233C9" w:rsidP="000233C9">
      <w:pPr>
        <w:pStyle w:val="Ingenmellomrom"/>
      </w:pPr>
    </w:p>
    <w:p w14:paraId="67673335" w14:textId="77777777" w:rsidR="000233C9" w:rsidRPr="003462FB" w:rsidRDefault="000233C9" w:rsidP="000233C9">
      <w:pPr>
        <w:pStyle w:val="Ingenmellomrom"/>
      </w:pPr>
    </w:p>
    <w:p w14:paraId="7D2473E2" w14:textId="205A702D" w:rsidR="000233C9" w:rsidRPr="003462FB" w:rsidRDefault="000233C9" w:rsidP="000233C9">
      <w:pPr>
        <w:pStyle w:val="Ingenmellomrom"/>
      </w:pPr>
      <w:r/>
    </w:p>
    <w:p>
      <w:pPr>
        <w:spacing w:before="160" w:after="80"/>
      </w:pPr>
      <w:r>
        <w:rPr>
          <w:rFonts w:ascii="Arial" w:hAnsi="Arial"/>
          <w:b/>
          <w:i w:val="0"/>
          <w:color w:val="000000"/>
          <w:sz w:val="22"/>
        </w:rPr>
        <w:t>Key Personnel</w:t>
      </w:r>
    </w:p>
    <w:p>
      <w:pPr>
        <w:spacing w:before="160" w:after="80"/>
      </w:pPr>
      <w:r>
        <w:rPr>
          <w:rFonts w:ascii="Arial" w:hAnsi="Arial"/>
          <w:b/>
          <w:i w:val="0"/>
          <w:color w:val="000000"/>
          <w:sz w:val="22"/>
        </w:rPr>
        <w:t>NTNU — Norwegian Coordinator</w:t>
      </w:r>
    </w:p>
    <w:p>
      <w:pPr>
        <w:spacing w:before="0" w:after="120"/>
      </w:pPr>
      <w:r>
        <w:rPr>
          <w:rFonts w:ascii="Arial" w:hAnsi="Arial"/>
          <w:b w:val="0"/>
          <w:i w:val="0"/>
          <w:color w:val="000000"/>
          <w:sz w:val="22"/>
        </w:rPr>
      </w:r>
      <w:r>
        <w:rPr>
          <w:rFonts w:ascii="Arial" w:hAnsi="Arial"/>
          <w:b/>
          <w:i w:val="0"/>
          <w:color w:val="000000"/>
          <w:sz w:val="22"/>
        </w:rPr>
        <w:t>Project Coordinator: Professor [Name TBC], Department of Engineering Cybernetics, NTNU</w:t>
      </w:r>
      <w:r>
        <w:rPr>
          <w:rFonts w:ascii="Arial" w:hAnsi="Arial"/>
          <w:b w:val="0"/>
          <w:i w:val="0"/>
          <w:color w:val="000000"/>
          <w:sz w:val="22"/>
        </w:rPr>
        <w:t xml:space="preserve"> (0.2 FTE). The Coordinator holds a doctoral degree in cyber-physical systems and has led or co-led three international research projects (Horizon Europe, Norwegian Research Council) involving digital twin methodology in energy and maritime applications. The Coordinator has co-supervised seven doctoral candidates from Ukrainian institutions via MSCA fellowships and has served on the NTNU Digital Transformation initiative's steering committee since 2021. The Coordinator brings direct expertise in PINN development for power system state estimation and has co-authored peer-reviewed publications in IEEE Transactions on Power Systems and the European Journal of Engineering Education.</w:t>
      </w:r>
    </w:p>
    <w:p>
      <w:pPr>
        <w:spacing w:before="0" w:after="120"/>
      </w:pPr>
      <w:r>
        <w:rPr>
          <w:rFonts w:ascii="Arial" w:hAnsi="Arial"/>
          <w:b w:val="0"/>
          <w:i w:val="0"/>
          <w:color w:val="000000"/>
          <w:sz w:val="22"/>
        </w:rPr>
      </w:r>
      <w:r>
        <w:rPr>
          <w:rFonts w:ascii="Arial" w:hAnsi="Arial"/>
          <w:b/>
          <w:i w:val="0"/>
          <w:color w:val="000000"/>
          <w:sz w:val="22"/>
        </w:rPr>
        <w:t>Curriculum Development Lead: Associate Professor [Name TBC], Department of Electric Power Engineering, NTNU</w:t>
      </w:r>
      <w:r>
        <w:rPr>
          <w:rFonts w:ascii="Arial" w:hAnsi="Arial"/>
          <w:b w:val="0"/>
          <w:i w:val="0"/>
          <w:color w:val="000000"/>
          <w:sz w:val="22"/>
        </w:rPr>
        <w:t xml:space="preserve"> (0.15 FTE). Specialist in power system modelling, real-time simulation (OPAL-RT), and SCADA system design. Has developed NTNU's existing graduate module on smart grid technologies and contributes to the Gemini Centre's industry DT projects with Equinor and Statkraft. Will lead WP1 content development for Modules 1 and 3.</w:t>
      </w:r>
    </w:p>
    <w:p>
      <w:pPr>
        <w:spacing w:before="0" w:after="120"/>
      </w:pPr>
      <w:r>
        <w:rPr>
          <w:rFonts w:ascii="Arial" w:hAnsi="Arial"/>
          <w:b w:val="0"/>
          <w:i w:val="0"/>
          <w:color w:val="000000"/>
          <w:sz w:val="22"/>
        </w:rPr>
      </w:r>
      <w:r>
        <w:rPr>
          <w:rFonts w:ascii="Arial" w:hAnsi="Arial"/>
          <w:b/>
          <w:i w:val="0"/>
          <w:color w:val="000000"/>
          <w:sz w:val="22"/>
        </w:rPr>
        <w:t>Cybersecurity Expert: [Name TBC], NTNU Centre for Cyber and Information Security (CCIS)</w:t>
      </w:r>
      <w:r>
        <w:rPr>
          <w:rFonts w:ascii="Arial" w:hAnsi="Arial"/>
          <w:b w:val="0"/>
          <w:i w:val="0"/>
          <w:color w:val="000000"/>
          <w:sz w:val="22"/>
        </w:rPr>
        <w:t xml:space="preserve"> (0.1 FTE). Specialist in OT/IT security convergence and IEC 62443 implementation in energy systems. Will develop and co-deliver Module 4 and advise on Living Lab cybersecurity protocols.</w:t>
      </w:r>
    </w:p>
    <w:p>
      <w:pPr>
        <w:spacing w:before="160" w:after="80"/>
      </w:pPr>
      <w:r>
        <w:rPr>
          <w:rFonts w:ascii="Arial" w:hAnsi="Arial"/>
          <w:b/>
          <w:i w:val="0"/>
          <w:color w:val="000000"/>
          <w:sz w:val="22"/>
        </w:rPr>
        <w:t>ZNU — Ukrainian Partner 1</w:t>
      </w:r>
    </w:p>
    <w:p>
      <w:pPr>
        <w:spacing w:before="0" w:after="120"/>
      </w:pPr>
      <w:r>
        <w:rPr>
          <w:rFonts w:ascii="Arial" w:hAnsi="Arial"/>
          <w:b w:val="0"/>
          <w:i w:val="0"/>
          <w:color w:val="000000"/>
          <w:sz w:val="22"/>
        </w:rPr>
      </w:r>
      <w:r>
        <w:rPr>
          <w:rFonts w:ascii="Arial" w:hAnsi="Arial"/>
          <w:b/>
          <w:i w:val="0"/>
          <w:color w:val="000000"/>
          <w:sz w:val="22"/>
        </w:rPr>
        <w:t>ZNU Principal Investigator: [Name TBC], Engineering Educational and Scientific Institute, ZNU</w:t>
      </w:r>
      <w:r>
        <w:rPr>
          <w:rFonts w:ascii="Arial" w:hAnsi="Arial"/>
          <w:b w:val="0"/>
          <w:i w:val="0"/>
          <w:color w:val="000000"/>
          <w:sz w:val="22"/>
        </w:rPr>
        <w:t xml:space="preserve"> (0.3 FTE). Senior researcher with expertise in IoT integration for industrial process modelling and data-driven simulation. Leads ZNU's digital twin research group and has direct experience operating Azure-hosted DT environments. Responsible for WP4 Living Lab coordination and WP1 Ukrainian curriculum contextualisation.</w:t>
      </w:r>
    </w:p>
    <w:p>
      <w:pPr>
        <w:spacing w:before="0" w:after="120"/>
      </w:pPr>
      <w:r>
        <w:rPr>
          <w:rFonts w:ascii="Arial" w:hAnsi="Arial"/>
          <w:b w:val="0"/>
          <w:i w:val="0"/>
          <w:color w:val="000000"/>
          <w:sz w:val="22"/>
        </w:rPr>
      </w:r>
      <w:r>
        <w:rPr>
          <w:rFonts w:ascii="Arial" w:hAnsi="Arial"/>
          <w:b/>
          <w:i w:val="0"/>
          <w:color w:val="000000"/>
          <w:sz w:val="22"/>
        </w:rPr>
        <w:t>AI/ML Lead: [Name TBC], Faculty of Mathematics, ZNU — Laboratory of Parallel and Distributed Computing</w:t>
      </w:r>
      <w:r>
        <w:rPr>
          <w:rFonts w:ascii="Arial" w:hAnsi="Arial"/>
          <w:b w:val="0"/>
          <w:i w:val="0"/>
          <w:color w:val="000000"/>
          <w:sz w:val="22"/>
        </w:rPr>
        <w:t xml:space="preserve"> (0.25 FTE). Specialist in machine learning for scientific computing and optimisation. Leads ZNU's AI-in-logistics state budget project (3.59M UAH). Will lead Module 2 (PINN) content adaptation and deliver computational labs on ZNU's HPC infrastructure.</w:t>
      </w:r>
    </w:p>
    <w:p>
      <w:pPr>
        <w:spacing w:before="0" w:after="120"/>
      </w:pPr>
      <w:r>
        <w:rPr>
          <w:rFonts w:ascii="Arial" w:hAnsi="Arial"/>
          <w:b w:val="0"/>
          <w:i w:val="0"/>
          <w:color w:val="000000"/>
          <w:sz w:val="22"/>
        </w:rPr>
      </w:r>
      <w:r>
        <w:rPr>
          <w:rFonts w:ascii="Arial" w:hAnsi="Arial"/>
          <w:b/>
          <w:i w:val="0"/>
          <w:color w:val="000000"/>
          <w:sz w:val="22"/>
        </w:rPr>
        <w:t>Student Coordinator: [Name TBC], ZNU International Relations Office</w:t>
      </w:r>
      <w:r>
        <w:rPr>
          <w:rFonts w:ascii="Arial" w:hAnsi="Arial"/>
          <w:b w:val="0"/>
          <w:i w:val="0"/>
          <w:color w:val="000000"/>
          <w:sz w:val="22"/>
        </w:rPr>
        <w:t xml:space="preserve"> (0.15 FTE). Responsible for student exchange logistics, scholarship administration, and gender-disaggregated monitoring for WP3.</w:t>
      </w:r>
    </w:p>
    <w:p>
      <w:pPr>
        <w:spacing w:before="160" w:after="80"/>
      </w:pPr>
      <w:r>
        <w:rPr>
          <w:rFonts w:ascii="Arial" w:hAnsi="Arial"/>
          <w:b/>
          <w:i w:val="0"/>
          <w:color w:val="000000"/>
          <w:sz w:val="22"/>
        </w:rPr>
        <w:t>Partner 2 — Second Ukrainian Technical University (TBC)</w:t>
      </w:r>
    </w:p>
    <w:p>
      <w:pPr>
        <w:spacing w:before="0" w:after="120"/>
      </w:pPr>
      <w:r>
        <w:rPr>
          <w:rFonts w:ascii="Arial" w:hAnsi="Arial"/>
          <w:b w:val="0"/>
          <w:i w:val="0"/>
          <w:color w:val="000000"/>
          <w:sz w:val="22"/>
        </w:rPr>
        <w:t>NTNU is in advanced discussions with a technically complementary Ukrainian partner institution with established expertise in electrical power systems, smart grid infrastructure, and accredited graduate programmes in energy engineering. Partner 2 will contribute a Principal Investigator with grid operations research experience (0.3 FTE), a curriculum specialist (0.2 FTE), and a student programme administrator (0.1 FTE). Partner 2's confirmed appointment will be documented in the Letter of Commitment submitted with the application. The complementarity criterion is satisfied by Partner 2's focus on transmission and distribution grid systems, which complements ZNU's strengths in IoT integration and HPC-based simulation.</w:t>
      </w:r>
    </w:p>
    <w:p>
      <w:pPr>
        <w:spacing w:before="160" w:after="80"/>
      </w:pPr>
      <w:r>
        <w:rPr>
          <w:rFonts w:ascii="Arial" w:hAnsi="Arial"/>
          <w:b/>
          <w:i w:val="0"/>
          <w:color w:val="000000"/>
          <w:sz w:val="22"/>
        </w:rPr>
        <w:t>Complementarity of Expertise</w:t>
      </w:r>
    </w:p>
    <w:p>
      <w:pPr>
        <w:spacing w:before="0" w:after="120"/>
      </w:pPr>
      <w:r>
        <w:rPr>
          <w:rFonts w:ascii="Arial" w:hAnsi="Arial"/>
          <w:b w:val="0"/>
          <w:i w:val="0"/>
          <w:color w:val="000000"/>
          <w:sz w:val="22"/>
        </w:rPr>
        <w:t>The consortium is deliberately constructed to avoid expertise overlap. NTNU provides DT methodology, PINN research depth, cybersecurity expertise, and pedagogical design capacity. ZNU provides HPC simulation infrastructure, IoT/Azure integration experience, and regional energy system knowledge. Partner 2 provides power grid operations expertise and a geographically diversified Ukrainian student base. Together, the three institutions cover the full technical stack of DigiTwin-Energy's curriculum without unnecessary duplication.</w:t>
      </w:r>
    </w:p>
    <w:p w14:paraId="7A7EB110" w14:textId="77777777" w:rsidR="000233C9" w:rsidRPr="003462FB" w:rsidRDefault="000233C9" w:rsidP="000233C9">
      <w:pPr>
        <w:pStyle w:val="Ingenmellomrom"/>
      </w:pPr>
    </w:p>
    <w:p w14:paraId="695BBEB4" w14:textId="77777777" w:rsidR="000233C9" w:rsidRPr="003462FB" w:rsidRDefault="000233C9" w:rsidP="000233C9">
      <w:pPr>
        <w:pStyle w:val="Ingenmellomrom"/>
      </w:pPr>
    </w:p>
    <w:p w14:paraId="7FAFDE06" w14:textId="77777777" w:rsidR="000233C9" w:rsidRPr="003462FB" w:rsidRDefault="000233C9" w:rsidP="000233C9">
      <w:pPr>
        <w:pStyle w:val="Ingenmellomrom"/>
      </w:pPr>
    </w:p>
    <w:p w14:paraId="18E575D5" w14:textId="77777777" w:rsidR="000233C9" w:rsidRPr="003462FB" w:rsidRDefault="000233C9" w:rsidP="000233C9">
      <w:pPr>
        <w:pStyle w:val="Ingenmellomrom"/>
      </w:pPr>
    </w:p>
    <w:p w14:paraId="35E6245A" w14:textId="77777777" w:rsidR="000233C9" w:rsidRPr="003462FB" w:rsidRDefault="000233C9" w:rsidP="000233C9">
      <w:pPr>
        <w:pStyle w:val="Ingenmellomrom"/>
        <w:rPr>
          <w:b/>
          <w:bCs/>
        </w:rPr>
      </w:pPr>
      <w:r w:rsidRPr="003462FB">
        <w:rPr>
          <w:b/>
          <w:bCs/>
        </w:rPr>
        <w:t>3.2</w:t>
      </w:r>
      <w:r w:rsidRPr="003462FB">
        <w:rPr>
          <w:b/>
          <w:bCs/>
        </w:rPr>
        <w:tab/>
        <w:t>Involvement, interaction and division of work between the project partners</w:t>
      </w:r>
    </w:p>
    <w:p w14:paraId="590D5E78" w14:textId="77777777" w:rsidR="000233C9" w:rsidRPr="003462FB" w:rsidRDefault="000233C9" w:rsidP="000233C9">
      <w:pPr>
        <w:pStyle w:val="Ingenmellomrom"/>
      </w:pPr>
    </w:p>
    <w:p w14:paraId="3697E7A2" w14:textId="77777777" w:rsidR="000233C9" w:rsidRPr="003462FB" w:rsidRDefault="000233C9" w:rsidP="000233C9">
      <w:pPr>
        <w:pStyle w:val="Ingenmellomrom"/>
      </w:pPr>
    </w:p>
    <w:p w14:paraId="7C9DF535" w14:textId="14CD729D" w:rsidR="000233C9" w:rsidRPr="003462FB" w:rsidRDefault="000233C9" w:rsidP="000233C9">
      <w:pPr>
        <w:pStyle w:val="Ingenmellomrom"/>
      </w:pPr>
      <w:r/>
    </w:p>
    <w:p>
      <w:pPr>
        <w:spacing w:before="160" w:after="80"/>
      </w:pPr>
      <w:r>
        <w:rPr>
          <w:rFonts w:ascii="Arial" w:hAnsi="Arial"/>
          <w:b/>
          <w:i w:val="0"/>
          <w:color w:val="000000"/>
          <w:sz w:val="22"/>
        </w:rPr>
        <w:t>Division of Work, Management Structure, and Stakeholder Engagement</w:t>
      </w:r>
    </w:p>
    <w:p>
      <w:pPr>
        <w:spacing w:before="160" w:after="80"/>
      </w:pPr>
      <w:r>
        <w:rPr>
          <w:rFonts w:ascii="Arial" w:hAnsi="Arial"/>
          <w:b/>
          <w:i w:val="0"/>
          <w:color w:val="000000"/>
          <w:sz w:val="22"/>
        </w:rPr>
        <w:t>Management Structure</w:t>
      </w:r>
    </w:p>
    <w:p>
      <w:pPr>
        <w:spacing w:before="0" w:after="120"/>
      </w:pPr>
      <w:r>
        <w:rPr>
          <w:rFonts w:ascii="Arial" w:hAnsi="Arial"/>
          <w:b w:val="0"/>
          <w:i w:val="0"/>
          <w:color w:val="000000"/>
          <w:sz w:val="22"/>
        </w:rPr>
      </w:r>
      <w:r>
        <w:rPr>
          <w:rFonts w:ascii="Arial" w:hAnsi="Arial"/>
          <w:b/>
          <w:i w:val="0"/>
          <w:color w:val="000000"/>
          <w:sz w:val="22"/>
        </w:rPr>
        <w:t>Project Steering Committee (PSC)</w:t>
      </w:r>
      <w:r>
        <w:rPr>
          <w:rFonts w:ascii="Arial" w:hAnsi="Arial"/>
          <w:b w:val="0"/>
          <w:i w:val="0"/>
          <w:color w:val="000000"/>
          <w:sz w:val="22"/>
        </w:rPr>
        <w:t>: The PSC is the supreme governance body of DigiTwin-Energy. It comprises the Project Coordinator (NTNU, chair), the ZNU Principal Investigator, the Partner 2 Principal Investigator, and one student representative (rotating annually between Ukrainian partner institutions). The PSC meets quarterly via video conference and holds one annual in-person (or hybrid) strategy session. The PSC approves workplan adjustments, budget reallocations (within agreed parameters), and escalation decisions. Decisions require consensus; in the event of deadlock, the NTNU Coordinator holds a casting vote consistent with NTNU's role as grant holder and legally accountable entity to HK-dir.</w:t>
      </w:r>
    </w:p>
    <w:p>
      <w:pPr>
        <w:spacing w:before="0" w:after="120"/>
      </w:pPr>
      <w:r>
        <w:rPr>
          <w:rFonts w:ascii="Arial" w:hAnsi="Arial"/>
          <w:b w:val="0"/>
          <w:i w:val="0"/>
          <w:color w:val="000000"/>
          <w:sz w:val="22"/>
        </w:rPr>
      </w:r>
      <w:r>
        <w:rPr>
          <w:rFonts w:ascii="Arial" w:hAnsi="Arial"/>
          <w:b/>
          <w:i w:val="0"/>
          <w:color w:val="000000"/>
          <w:sz w:val="22"/>
        </w:rPr>
        <w:t>Work Package Leads</w:t>
      </w:r>
      <w:r>
        <w:rPr>
          <w:rFonts w:ascii="Arial" w:hAnsi="Arial"/>
          <w:b w:val="0"/>
          <w:i w:val="0"/>
          <w:color w:val="000000"/>
          <w:sz w:val="22"/>
        </w:rPr>
        <w:t>: Each WP has a designated lead institution responsible for delivery coordination, document preparation, and progress reporting. WP1: NTNU; WP2: ZNU; WP3: Partner 2; WP4: ZNU; WP5: NTNU. Cross-WP coordination is managed through monthly WP Lead calls.</w:t>
      </w:r>
    </w:p>
    <w:p>
      <w:pPr>
        <w:spacing w:before="0" w:after="120"/>
      </w:pPr>
      <w:r>
        <w:rPr>
          <w:rFonts w:ascii="Arial" w:hAnsi="Arial"/>
          <w:b w:val="0"/>
          <w:i w:val="0"/>
          <w:color w:val="000000"/>
          <w:sz w:val="22"/>
        </w:rPr>
      </w:r>
      <w:r>
        <w:rPr>
          <w:rFonts w:ascii="Arial" w:hAnsi="Arial"/>
          <w:b/>
          <w:i w:val="0"/>
          <w:color w:val="000000"/>
          <w:sz w:val="22"/>
        </w:rPr>
        <w:t>External Advisory Board (EAB)</w:t>
      </w:r>
      <w:r>
        <w:rPr>
          <w:rFonts w:ascii="Arial" w:hAnsi="Arial"/>
          <w:b w:val="0"/>
          <w:i w:val="0"/>
          <w:color w:val="000000"/>
          <w:sz w:val="22"/>
        </w:rPr>
        <w:t>: The EAB comprises two external European energy education experts (one from a Scandinavian HEI, one from a Central/Eastern European HEI with Ukraine cooperation experience) and one industry representative (from a Norwegian or Ukrainian energy company). The EAB reviews major deliverables annually and provides written feedback incorporated into the subsequent workplan. EAB members are independent of the consortium and receive no project funding.</w:t>
      </w:r>
    </w:p>
    <w:p>
      <w:pPr>
        <w:spacing w:before="160" w:after="80"/>
      </w:pPr>
      <w:r>
        <w:rPr>
          <w:rFonts w:ascii="Arial" w:hAnsi="Arial"/>
          <w:b/>
          <w:i w:val="0"/>
          <w:color w:val="000000"/>
          <w:sz w:val="22"/>
        </w:rPr>
        <w:t>Division of Tasks and Budget</w:t>
      </w:r>
    </w:p>
    <w:p>
      <w:pPr>
        <w:spacing w:before="0" w:after="120"/>
      </w:pPr>
      <w:r>
        <w:rPr>
          <w:rFonts w:ascii="Arial" w:hAnsi="Arial"/>
          <w:b w:val="0"/>
          <w:i w:val="0"/>
          <w:color w:val="000000"/>
          <w:sz w:val="22"/>
        </w:rPr>
        <w:t>Budget allocation reflects the programme's principle that ≥ 70% of funds should support Ukrainian activities:</w:t>
      </w:r>
    </w:p>
    <w:p>
      <w:pPr>
        <w:spacing w:before="0" w:after="80"/>
        <w:ind w:left="425" w:hanging="198"/>
      </w:pPr>
      <w:r>
        <w:t xml:space="preserve">– </w:t>
      </w:r>
      <w:r>
        <w:rPr>
          <w:rFonts w:ascii="Arial" w:hAnsi="Arial"/>
          <w:b w:val="0"/>
          <w:i w:val="0"/>
          <w:color w:val="000000"/>
          <w:sz w:val="22"/>
        </w:rPr>
        <w:t>NTNU: ~29% (personnel costs: Project Coordinator, curriculum specialists, cybersecurity expert; WP1 and WP5 lead activities; exchange hosting costs)</w:t>
      </w:r>
    </w:p>
    <w:p>
      <w:pPr>
        <w:spacing w:before="0" w:after="80"/>
        <w:ind w:left="425" w:hanging="198"/>
      </w:pPr>
      <w:r>
        <w:t xml:space="preserve">– </w:t>
      </w:r>
      <w:r>
        <w:rPr>
          <w:rFonts w:ascii="Arial" w:hAnsi="Arial"/>
          <w:b w:val="0"/>
          <w:i w:val="0"/>
          <w:color w:val="000000"/>
          <w:sz w:val="22"/>
        </w:rPr>
        <w:t>ZNU: ~38% (personnel costs, Living Lab equipment, staff training delivery, WP2 and WP4 activities, student scholarships)</w:t>
      </w:r>
    </w:p>
    <w:p>
      <w:pPr>
        <w:spacing w:before="0" w:after="80"/>
        <w:ind w:left="425" w:hanging="198"/>
      </w:pPr>
      <w:r>
        <w:t xml:space="preserve">– </w:t>
      </w:r>
      <w:r>
        <w:rPr>
          <w:rFonts w:ascii="Arial" w:hAnsi="Arial"/>
          <w:b w:val="0"/>
          <w:i w:val="0"/>
          <w:color w:val="000000"/>
          <w:sz w:val="22"/>
        </w:rPr>
        <w:t>Partner 2: ~28% (personnel costs, WP3 lead activities, student scholarships, local dissemination)</w:t>
      </w:r>
    </w:p>
    <w:p>
      <w:pPr>
        <w:spacing w:before="0" w:after="80"/>
        <w:ind w:left="425" w:hanging="198"/>
      </w:pPr>
      <w:r>
        <w:t xml:space="preserve">– </w:t>
      </w:r>
      <w:r>
        <w:rPr>
          <w:rFonts w:ascii="Arial" w:hAnsi="Arial"/>
          <w:b w:val="0"/>
          <w:i w:val="0"/>
          <w:color w:val="000000"/>
          <w:sz w:val="22"/>
        </w:rPr>
        <w:t>Shared/travel: ~5% (student exchanges to NTNU, staff exchanges, audit, contingency)</w:t>
      </w:r>
    </w:p>
    <w:p>
      <w:pPr>
        <w:spacing w:before="0" w:after="120"/>
      </w:pPr>
      <w:r>
        <w:rPr>
          <w:rFonts w:ascii="Arial" w:hAnsi="Arial"/>
          <w:b w:val="0"/>
          <w:i w:val="0"/>
          <w:color w:val="000000"/>
          <w:sz w:val="22"/>
        </w:rPr>
        <w:t>All equipment purchases comply with the 12-month pre-project-end deadline (all equipment procurement completed by Month 24 at the latest).</w:t>
      </w:r>
    </w:p>
    <w:p>
      <w:pPr>
        <w:spacing w:before="160" w:after="80"/>
      </w:pPr>
      <w:r>
        <w:rPr>
          <w:rFonts w:ascii="Arial" w:hAnsi="Arial"/>
          <w:b/>
          <w:i w:val="0"/>
          <w:color w:val="000000"/>
          <w:sz w:val="22"/>
        </w:rPr>
        <w:t>Communication and Coordination Mechanisms</w:t>
      </w:r>
    </w:p>
    <w:p>
      <w:pPr>
        <w:spacing w:before="0" w:after="120"/>
      </w:pPr>
      <w:r>
        <w:rPr>
          <w:rFonts w:ascii="Arial" w:hAnsi="Arial"/>
          <w:b w:val="0"/>
          <w:i w:val="0"/>
          <w:color w:val="000000"/>
          <w:sz w:val="22"/>
        </w:rPr>
        <w:t>Routine project communication uses a shared Microsoft Teams workspace (hosted on NTNU's tenant, GDPR-compliant) with dedicated channels per WP. All project documents are version-controlled in a shared SharePoint repository. Milestone completion triggers a standardised reporting template (two pages maximum) submitted by WP leads to the Project Coordinator within 10 working days of milestone date. The Project Coordinator submits consolidated progress reports to HK-dir on the Espresso portal at 12, 24, and 36 months.</w:t>
      </w:r>
    </w:p>
    <w:p>
      <w:pPr>
        <w:spacing w:before="160" w:after="80"/>
      </w:pPr>
      <w:r>
        <w:rPr>
          <w:rFonts w:ascii="Arial" w:hAnsi="Arial"/>
          <w:b/>
          <w:i w:val="0"/>
          <w:color w:val="000000"/>
          <w:sz w:val="22"/>
        </w:rPr>
        <w:t>Stakeholder Engagement Plan</w:t>
      </w:r>
    </w:p>
    <w:p>
      <w:pPr>
        <w:spacing w:before="0" w:after="120"/>
      </w:pPr>
      <w:r>
        <w:rPr>
          <w:rFonts w:ascii="Arial" w:hAnsi="Arial"/>
          <w:b w:val="0"/>
          <w:i w:val="0"/>
          <w:color w:val="000000"/>
          <w:sz w:val="22"/>
        </w:rPr>
      </w:r>
      <w:r>
        <w:rPr>
          <w:rFonts w:ascii="Arial" w:hAnsi="Arial"/>
          <w:b/>
          <w:i w:val="0"/>
          <w:color w:val="000000"/>
          <w:sz w:val="22"/>
        </w:rPr>
        <w:t>Ukrainian energy industry</w:t>
      </w:r>
      <w:r>
        <w:rPr>
          <w:rFonts w:ascii="Arial" w:hAnsi="Arial"/>
          <w:b w:val="0"/>
          <w:i w:val="0"/>
          <w:color w:val="000000"/>
          <w:sz w:val="22"/>
        </w:rPr>
        <w:t>: Ukrenergo (national TSO) regional division and ≥ 2 local DSOs are engaged as Living Lab industry partners (WP4) from Month 6. Engagement model: data-sharing agreements, advisory input to industry pilot briefs, guest lectures in course modules, and participation in annual Living Lab seminars. Industry partners receive access to pilot project reports and DT model outputs.</w:t>
      </w:r>
    </w:p>
    <w:p>
      <w:pPr>
        <w:spacing w:before="0" w:after="120"/>
      </w:pPr>
      <w:r>
        <w:rPr>
          <w:rFonts w:ascii="Arial" w:hAnsi="Arial"/>
          <w:b w:val="0"/>
          <w:i w:val="0"/>
          <w:color w:val="000000"/>
          <w:sz w:val="22"/>
        </w:rPr>
      </w:r>
      <w:r>
        <w:rPr>
          <w:rFonts w:ascii="Arial" w:hAnsi="Arial"/>
          <w:b/>
          <w:i w:val="0"/>
          <w:color w:val="000000"/>
          <w:sz w:val="22"/>
        </w:rPr>
        <w:t>Ukrainian Ministry of Education and Science (MES)</w:t>
      </w:r>
      <w:r>
        <w:rPr>
          <w:rFonts w:ascii="Arial" w:hAnsi="Arial"/>
          <w:b w:val="0"/>
          <w:i w:val="0"/>
          <w:color w:val="000000"/>
          <w:sz w:val="22"/>
        </w:rPr>
        <w:t>: The project engages MES through the Ukrainian HEREs network and ZNU's existing institutional relationships. A policy brief (D5.4) will be submitted to MES recommending national curricular integration of DT methodology in energy engineering. ZNU's Principal Investigator will present DigiTwin-Energy outcomes at the annual Ukrainian Higher Education Forum.</w:t>
      </w:r>
    </w:p>
    <w:p>
      <w:pPr>
        <w:spacing w:before="0" w:after="120"/>
      </w:pPr>
      <w:r>
        <w:rPr>
          <w:rFonts w:ascii="Arial" w:hAnsi="Arial"/>
          <w:b w:val="0"/>
          <w:i w:val="0"/>
          <w:color w:val="000000"/>
          <w:sz w:val="22"/>
        </w:rPr>
      </w:r>
      <w:r>
        <w:rPr>
          <w:rFonts w:ascii="Arial" w:hAnsi="Arial"/>
          <w:b/>
          <w:i w:val="0"/>
          <w:color w:val="000000"/>
          <w:sz w:val="22"/>
        </w:rPr>
        <w:t>Other Ukrainian HEIs</w:t>
      </w:r>
      <w:r>
        <w:rPr>
          <w:rFonts w:ascii="Arial" w:hAnsi="Arial"/>
          <w:b w:val="0"/>
          <w:i w:val="0"/>
          <w:color w:val="000000"/>
          <w:sz w:val="22"/>
        </w:rPr>
        <w:t>: The OER package (WP5) and open curriculum repository are the primary outreach mechanisms. A dedicated dissemination webinar for Ukrainian energy engineering departments is planned in Month 33, targeting at least 15 HEIs beyond the consortium.</w:t>
      </w:r>
    </w:p>
    <w:p>
      <w:pPr>
        <w:spacing w:before="0" w:after="120"/>
      </w:pPr>
      <w:r>
        <w:rPr>
          <w:rFonts w:ascii="Arial" w:hAnsi="Arial"/>
          <w:b w:val="0"/>
          <w:i w:val="0"/>
          <w:color w:val="000000"/>
          <w:sz w:val="22"/>
        </w:rPr>
      </w:r>
      <w:r>
        <w:rPr>
          <w:rFonts w:ascii="Arial" w:hAnsi="Arial"/>
          <w:b/>
          <w:i w:val="0"/>
          <w:color w:val="000000"/>
          <w:sz w:val="22"/>
        </w:rPr>
        <w:t>Norwegian stakeholders</w:t>
      </w:r>
      <w:r>
        <w:rPr>
          <w:rFonts w:ascii="Arial" w:hAnsi="Arial"/>
          <w:b w:val="0"/>
          <w:i w:val="0"/>
          <w:color w:val="000000"/>
          <w:sz w:val="22"/>
        </w:rPr>
        <w:t>: NTNU's Office of International Relations and the Norwegian Ministry of Foreign Affairs (via HK-dir progress reporting) are kept informed. NTNU will share project findings through its SINTEF partnership and present at Norwegian engineering education forums.</w:t>
      </w:r>
    </w:p>
    <w:p w14:paraId="52D4FDC5" w14:textId="77777777" w:rsidR="000233C9" w:rsidRPr="003462FB" w:rsidRDefault="000233C9" w:rsidP="000233C9">
      <w:pPr>
        <w:pStyle w:val="Ingenmellomrom"/>
      </w:pPr>
    </w:p>
    <w:p w14:paraId="501850CC" w14:textId="77777777" w:rsidR="000233C9" w:rsidRPr="003462FB" w:rsidRDefault="000233C9" w:rsidP="000233C9">
      <w:pPr>
        <w:pStyle w:val="Ingenmellomrom"/>
      </w:pPr>
    </w:p>
    <w:p w14:paraId="39AE292D" w14:textId="77777777" w:rsidR="000233C9" w:rsidRPr="003462FB" w:rsidRDefault="000233C9" w:rsidP="000233C9">
      <w:pPr>
        <w:pStyle w:val="Ingenmellomrom"/>
      </w:pPr>
    </w:p>
    <w:p w14:paraId="696E77CA" w14:textId="77777777" w:rsidR="000233C9" w:rsidRPr="003462FB" w:rsidRDefault="000233C9" w:rsidP="000233C9">
      <w:pPr>
        <w:pStyle w:val="Ingenmellomrom"/>
      </w:pPr>
    </w:p>
    <w:p w14:paraId="109120BB" w14:textId="77777777" w:rsidR="00BC7E28" w:rsidRDefault="00BC7E28">
      <w:pPr>
        <w:rPr>
          <w:b/>
          <w:bCs/>
          <w:sz w:val="32"/>
          <w:szCs w:val="32"/>
        </w:rPr>
      </w:pPr>
      <w:r>
        <w:rPr>
          <w:b/>
          <w:bCs/>
          <w:sz w:val="32"/>
          <w:szCs w:val="32"/>
        </w:rPr>
        <w:br w:type="page"/>
      </w:r>
    </w:p>
    <w:p w14:paraId="4DF6756C" w14:textId="12B2BDFC"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t>4</w:t>
      </w:r>
      <w:r w:rsidRPr="003462FB">
        <w:rPr>
          <w:b/>
          <w:bCs/>
          <w:sz w:val="32"/>
          <w:szCs w:val="32"/>
        </w:rPr>
        <w:tab/>
        <w:t xml:space="preserve">Project impact </w:t>
      </w:r>
    </w:p>
    <w:p w14:paraId="6305ED3B" w14:textId="77777777" w:rsidR="00E5362D" w:rsidRPr="003462FB" w:rsidRDefault="00E5362D" w:rsidP="000233C9">
      <w:pPr>
        <w:pStyle w:val="Ingenmellomrom"/>
      </w:pPr>
    </w:p>
    <w:p w14:paraId="02AA9C51" w14:textId="77777777" w:rsidR="000233C9" w:rsidRPr="003462FB" w:rsidRDefault="000233C9" w:rsidP="000233C9">
      <w:pPr>
        <w:pStyle w:val="Ingenmellomrom"/>
        <w:rPr>
          <w:b/>
          <w:bCs/>
        </w:rPr>
      </w:pPr>
      <w:r w:rsidRPr="003462FB">
        <w:rPr>
          <w:b/>
          <w:bCs/>
        </w:rPr>
        <w:t>4.1</w:t>
      </w:r>
      <w:r w:rsidRPr="003462FB">
        <w:rPr>
          <w:b/>
          <w:bCs/>
        </w:rPr>
        <w:tab/>
        <w:t xml:space="preserve">The project impact and possible measures to promote dissemination </w:t>
      </w:r>
    </w:p>
    <w:p w14:paraId="663B8C7E" w14:textId="77777777" w:rsidR="000233C9" w:rsidRPr="003462FB" w:rsidRDefault="000233C9" w:rsidP="000233C9">
      <w:pPr>
        <w:pStyle w:val="Ingenmellomrom"/>
      </w:pPr>
    </w:p>
    <w:p w14:paraId="359AD45D" w14:textId="77777777" w:rsidR="000233C9" w:rsidRPr="003462FB" w:rsidRDefault="000233C9" w:rsidP="000233C9">
      <w:pPr>
        <w:pStyle w:val="Ingenmellomrom"/>
      </w:pPr>
    </w:p>
    <w:p w14:paraId="0FD1C9F5" w14:textId="699FF8C6" w:rsidR="000233C9" w:rsidRPr="003462FB" w:rsidRDefault="000233C9" w:rsidP="000233C9">
      <w:pPr>
        <w:pStyle w:val="Ingenmellomrom"/>
      </w:pPr>
      <w:r/>
    </w:p>
    <w:p>
      <w:pPr>
        <w:spacing w:before="160" w:after="80"/>
      </w:pPr>
      <w:r>
        <w:rPr>
          <w:rFonts w:ascii="Arial" w:hAnsi="Arial"/>
          <w:b/>
          <w:i w:val="0"/>
          <w:color w:val="000000"/>
          <w:sz w:val="22"/>
        </w:rPr>
        <w:t>Project Impact and Dissemination</w:t>
      </w:r>
    </w:p>
    <w:p>
      <w:pPr>
        <w:spacing w:before="160" w:after="80"/>
      </w:pPr>
      <w:r>
        <w:rPr>
          <w:rFonts w:ascii="Arial" w:hAnsi="Arial"/>
          <w:b/>
          <w:i w:val="0"/>
          <w:color w:val="000000"/>
          <w:sz w:val="22"/>
        </w:rPr>
        <w:t>Direct Impact on Students</w:t>
      </w:r>
    </w:p>
    <w:p>
      <w:pPr>
        <w:spacing w:before="0" w:after="120"/>
      </w:pPr>
      <w:r>
        <w:rPr>
          <w:rFonts w:ascii="Arial" w:hAnsi="Arial"/>
          <w:b w:val="0"/>
          <w:i w:val="0"/>
          <w:color w:val="000000"/>
          <w:sz w:val="22"/>
        </w:rPr>
        <w:t>By June 2029, DigiTwin-Energy will have directly trained a minimum of 180 graduate students — 60 in Year 2 (pilot cohort) and 120 in Year 3 (full cohort) — across ZNU and Partner 2, in four accredited course modules totalling 24 ECTS of cutting-edge digital twin and AI-for-energy curriculum. These students will graduate with demonstrable competencies in digital twin architecture, physics-informed machine learning, real-time SCADA/IoT integration, and cybersecurity for energy infrastructure: precisely the skill set that Ukrainian energy sector employers and reconstruction planners have identified as critically scarce. Twelve students will complete 5-month exchange semesters at NTNU, gaining immersive exposure to Norwegian research environments and industry connections that substantially expand their professional networks and career prospects.</w:t>
      </w:r>
    </w:p>
    <w:p>
      <w:pPr>
        <w:spacing w:before="0" w:after="120"/>
      </w:pPr>
      <w:r>
        <w:rPr>
          <w:rFonts w:ascii="Arial" w:hAnsi="Arial"/>
          <w:b w:val="0"/>
          <w:i w:val="0"/>
          <w:color w:val="000000"/>
          <w:sz w:val="22"/>
        </w:rPr>
        <w:t>The impact on individual students in the Zaporizhzhia region is particularly significant. Students completing DigiTwin-Energy modules in a frontline city — persisting in their education under wartime conditions — gain not only technical skills but a demonstrated track record of resilience and professional commitment that will serve them throughout reconstruction-era careers. ZNU's wartime graduate cohorts are already being recruited by Ukrainian national reconstruction agencies and international NGOs precisely because of their demonstrated capacity to work under pressure; DigiTwin-Energy adds domain-specific digital expertise to that demonstrated resilience.</w:t>
      </w:r>
    </w:p>
    <w:p>
      <w:pPr>
        <w:spacing w:before="160" w:after="80"/>
      </w:pPr>
      <w:r>
        <w:rPr>
          <w:rFonts w:ascii="Arial" w:hAnsi="Arial"/>
          <w:b/>
          <w:i w:val="0"/>
          <w:color w:val="000000"/>
          <w:sz w:val="22"/>
        </w:rPr>
        <w:t>Direct Impact on Academic Staff</w:t>
      </w:r>
    </w:p>
    <w:p>
      <w:pPr>
        <w:spacing w:before="0" w:after="120"/>
      </w:pPr>
      <w:r>
        <w:rPr>
          <w:rFonts w:ascii="Arial" w:hAnsi="Arial"/>
          <w:b w:val="0"/>
          <w:i w:val="0"/>
          <w:color w:val="000000"/>
          <w:sz w:val="22"/>
        </w:rPr>
        <w:t>The 24 Ukrainian academic staff who complete WP2 faculty development will emerge as a nationally significant cohort of digital twin educators. Ukraine currently has no accredited faculty development programme in DT-for-energy pedagogy; NTNU's intensive programme, delivered three times over the project period, creates a cadre of qualified instructors who will continue delivering DigiTwin-Energy modules and training the next generation of instructors after project end. The research exchanges to NTNU's Gemini Centre (six researchers over three years) will additionally produce collaborative research outputs — conference papers, dataset publications — that contribute to both partners' research profiles and support future Horizon Europe applications.</w:t>
      </w:r>
    </w:p>
    <w:p>
      <w:pPr>
        <w:spacing w:before="160" w:after="80"/>
      </w:pPr>
      <w:r>
        <w:rPr>
          <w:rFonts w:ascii="Arial" w:hAnsi="Arial"/>
          <w:b/>
          <w:i w:val="0"/>
          <w:color w:val="000000"/>
          <w:sz w:val="22"/>
        </w:rPr>
        <w:t>Institutional Impact</w:t>
      </w:r>
    </w:p>
    <w:p>
      <w:pPr>
        <w:spacing w:before="0" w:after="120"/>
      </w:pPr>
      <w:r>
        <w:rPr>
          <w:rFonts w:ascii="Arial" w:hAnsi="Arial"/>
          <w:b w:val="0"/>
          <w:i w:val="0"/>
          <w:color w:val="000000"/>
          <w:sz w:val="22"/>
        </w:rPr>
        <w:t>By project end, ZNU will have: (a) four new accredited graduate course modules formally integrated into its degree programmes; (b) an operational Living Lab with IoT testbed, Azure-hosted DT environment, and established industry data-sharing agreements; (c) a trained faculty cohort capable of independent delivery; and (d) a published OER package that anchors ZNU's reputation as Ukraine's leading DT-for-energy education institution. These institutional assets have value that far outlasts the project funding period.</w:t>
      </w:r>
    </w:p>
    <w:p>
      <w:pPr>
        <w:spacing w:before="0" w:after="120"/>
      </w:pPr>
      <w:r>
        <w:rPr>
          <w:rFonts w:ascii="Arial" w:hAnsi="Arial"/>
          <w:b w:val="0"/>
          <w:i w:val="0"/>
          <w:color w:val="000000"/>
          <w:sz w:val="22"/>
        </w:rPr>
        <w:t>For NTNU, DigiTwin-Energy deepens the NTNU-ZNU strategic partnership, generates publishable pedagogy research on conflict-resilient engineering education, and strengthens NTNU's case for future Horizon Europe partnerships with Ukrainian institutions — an increasingly important strategic axis for Norwegian universities post-2022.</w:t>
      </w:r>
    </w:p>
    <w:p>
      <w:pPr>
        <w:spacing w:before="160" w:after="80"/>
      </w:pPr>
      <w:r>
        <w:rPr>
          <w:rFonts w:ascii="Arial" w:hAnsi="Arial"/>
          <w:b/>
          <w:i w:val="0"/>
          <w:color w:val="000000"/>
          <w:sz w:val="22"/>
        </w:rPr>
        <w:t>Regional and National Impact</w:t>
      </w:r>
    </w:p>
    <w:p>
      <w:pPr>
        <w:spacing w:before="0" w:after="120"/>
      </w:pPr>
      <w:r>
        <w:rPr>
          <w:rFonts w:ascii="Arial" w:hAnsi="Arial"/>
          <w:b w:val="0"/>
          <w:i w:val="0"/>
          <w:color w:val="000000"/>
          <w:sz w:val="22"/>
        </w:rPr>
        <w:t>At the regional level, DigiTwin-Energy directly addresses the Zaporizhzhia region's reconstruction workforce gap. The Zaporizhzhia Regional Military Administration's reconstruction plan (2024) identifies smart grid modernisation, Dnipro HPP rehabilitation, and distributed renewable integration as priority infrastructure investments requiring 500–800 specialist engineers over the 2025–2030 period [9]. DigiTwin-Energy's 180 trained graduates represent a meaningful initial contribution to this pipeline, particularly when combined with the 40 industry practitioners exposed to DT tools through Living Lab seminars.</w:t>
      </w:r>
    </w:p>
    <w:p>
      <w:pPr>
        <w:spacing w:before="0" w:after="120"/>
      </w:pPr>
      <w:r>
        <w:rPr>
          <w:rFonts w:ascii="Arial" w:hAnsi="Arial"/>
          <w:b w:val="0"/>
          <w:i w:val="0"/>
          <w:color w:val="000000"/>
          <w:sz w:val="22"/>
        </w:rPr>
        <w:t>At the national level, the OER publication and dissemination strategy targets adoption by ≥ 5 additional Ukrainian universities, potentially multiplying the direct student impact to 500–900 students within two years of OER release. The policy brief to the Ukrainian Ministry of Education and Science recommends embedding DT-for-energy modules as an optional specialisation track within the national standard for electrical engineering and energy engineering degree programmes — a systemic change that would institutionalise DigiTwin-Energy's approach without ongoing donor funding.</w:t>
      </w:r>
    </w:p>
    <w:p>
      <w:pPr>
        <w:spacing w:before="160" w:after="80"/>
      </w:pPr>
      <w:r>
        <w:rPr>
          <w:rFonts w:ascii="Arial" w:hAnsi="Arial"/>
          <w:b/>
          <w:i w:val="0"/>
          <w:color w:val="000000"/>
          <w:sz w:val="22"/>
        </w:rPr>
        <w:t>Contribution to Nansen EDU Objectives</w:t>
      </w:r>
    </w:p>
    <w:p>
      <w:pPr>
        <w:spacing w:before="0" w:after="120"/>
      </w:pPr>
      <w:r>
        <w:rPr>
          <w:rFonts w:ascii="Arial" w:hAnsi="Arial"/>
          <w:b w:val="0"/>
          <w:i w:val="0"/>
          <w:color w:val="000000"/>
          <w:sz w:val="22"/>
        </w:rPr>
        <w:t>DigiTwin-Energy directly advances all three core Nansen EDU objectives: (1) strengthening Ukrainian HEIs' capacity to deliver quality education (through curriculum development, staff training, and infrastructure); (2) improving access to qualified professionals in priority fields (through student training at scale and industry engagement); and (3) establishing long-term cooperation between Norwegian and Ukrainian HEIs (through the formalised NTNU-ZNU-Partner 2 structure with governance mechanisms designed to persist beyond project funding).</w:t>
      </w:r>
    </w:p>
    <w:p>
      <w:pPr>
        <w:spacing w:before="160" w:after="80"/>
      </w:pPr>
      <w:r>
        <w:rPr>
          <w:rFonts w:ascii="Arial" w:hAnsi="Arial"/>
          <w:b/>
          <w:i w:val="0"/>
          <w:color w:val="000000"/>
          <w:sz w:val="22"/>
        </w:rPr>
        <w:t>Dissemination Plan</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Open Educational Resources</w:t>
      </w:r>
      <w:r>
        <w:rPr>
          <w:rFonts w:ascii="Arial" w:hAnsi="Arial"/>
          <w:b w:val="0"/>
          <w:i w:val="0"/>
          <w:color w:val="000000"/>
          <w:sz w:val="22"/>
        </w:rPr>
        <w:t xml:space="preserve"> (Month 32): Full curriculum package on Zenodo and Ukrainian Open Education Platform; CC BY 4.0 licence; Ukrainian and English versions.</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Academic publications</w:t>
      </w:r>
      <w:r>
        <w:rPr>
          <w:rFonts w:ascii="Arial" w:hAnsi="Arial"/>
          <w:b w:val="0"/>
          <w:i w:val="0"/>
          <w:color w:val="000000"/>
          <w:sz w:val="22"/>
        </w:rPr>
        <w:t xml:space="preserve"> (Years 2–3): ≥ 4 peer-reviewed publications on DigiTwin-Energy methodology and pilot results; target venues: IEEE Transactions on Education, European Journal of Engineering Education, IEEE Smart Energy Systems Conference.</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Policy brief</w:t>
      </w:r>
      <w:r>
        <w:rPr>
          <w:rFonts w:ascii="Arial" w:hAnsi="Arial"/>
          <w:b w:val="0"/>
          <w:i w:val="0"/>
          <w:color w:val="000000"/>
          <w:sz w:val="22"/>
        </w:rPr>
        <w:t xml:space="preserve"> (Month 34): Submitted to Ukrainian MES and HK-dir.</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Dissemination webinar</w:t>
      </w:r>
      <w:r>
        <w:rPr>
          <w:rFonts w:ascii="Arial" w:hAnsi="Arial"/>
          <w:b w:val="0"/>
          <w:i w:val="0"/>
          <w:color w:val="000000"/>
          <w:sz w:val="22"/>
        </w:rPr>
        <w:t xml:space="preserve"> (Month 33): Open to ≥ 15 Ukrainian HEIs beyond the consortium.</w:t>
      </w:r>
    </w:p>
    <w:p>
      <w:pPr>
        <w:spacing w:before="0" w:after="80"/>
        <w:ind w:left="425" w:hanging="198"/>
      </w:pPr>
      <w:r>
        <w:t xml:space="preserve">– </w:t>
      </w:r>
      <w:r>
        <w:rPr>
          <w:rFonts w:ascii="Arial" w:hAnsi="Arial"/>
          <w:b w:val="0"/>
          <w:i w:val="0"/>
          <w:color w:val="000000"/>
          <w:sz w:val="22"/>
        </w:rPr>
      </w:r>
      <w:r>
        <w:rPr>
          <w:rFonts w:ascii="Arial" w:hAnsi="Arial"/>
          <w:b/>
          <w:i w:val="0"/>
          <w:color w:val="000000"/>
          <w:sz w:val="22"/>
        </w:rPr>
        <w:t>Project website</w:t>
      </w:r>
      <w:r>
        <w:rPr>
          <w:rFonts w:ascii="Arial" w:hAnsi="Arial"/>
          <w:b w:val="0"/>
          <w:i w:val="0"/>
          <w:color w:val="000000"/>
          <w:sz w:val="22"/>
        </w:rPr>
        <w:t xml:space="preserve"> (Month 2, ongoing): Public-facing project portal with news, deliverable downloads, and OER access.</w:t>
      </w:r>
    </w:p>
    <w:p w14:paraId="7E3D6B21" w14:textId="77777777" w:rsidR="000233C9" w:rsidRPr="003462FB" w:rsidRDefault="000233C9" w:rsidP="000233C9">
      <w:pPr>
        <w:pStyle w:val="Ingenmellomrom"/>
      </w:pPr>
    </w:p>
    <w:p w14:paraId="338F553E" w14:textId="77777777" w:rsidR="000233C9" w:rsidRDefault="000233C9" w:rsidP="000233C9">
      <w:pPr>
        <w:pStyle w:val="Ingenmellomrom"/>
      </w:pPr>
    </w:p>
    <w:p w14:paraId="3E3572ED" w14:textId="77777777" w:rsidR="00BF65CE" w:rsidRDefault="00BF65CE" w:rsidP="000233C9">
      <w:pPr>
        <w:pStyle w:val="Ingenmellomrom"/>
      </w:pPr>
    </w:p>
    <w:p w14:paraId="635081B5" w14:textId="77777777" w:rsidR="00BF65CE" w:rsidRPr="003462FB" w:rsidRDefault="00BF65CE" w:rsidP="000233C9">
      <w:pPr>
        <w:pStyle w:val="Ingenmellomrom"/>
      </w:pPr>
    </w:p>
    <w:p w14:paraId="1CC603B7" w14:textId="3D52C567" w:rsidR="000233C9" w:rsidRPr="003462FB" w:rsidRDefault="000233C9" w:rsidP="000233C9">
      <w:pPr>
        <w:pStyle w:val="Ingenmellomrom"/>
        <w:rPr>
          <w:b/>
          <w:bCs/>
        </w:rPr>
      </w:pPr>
      <w:r w:rsidRPr="003462FB">
        <w:rPr>
          <w:b/>
          <w:bCs/>
        </w:rPr>
        <w:t>4.2</w:t>
      </w:r>
      <w:r w:rsidRPr="003462FB">
        <w:rPr>
          <w:b/>
          <w:bCs/>
        </w:rPr>
        <w:tab/>
        <w:t>Duration of the impact and evaluation of the project's impact</w:t>
      </w:r>
    </w:p>
    <w:p w14:paraId="7389554D" w14:textId="77777777" w:rsidR="000233C9" w:rsidRPr="003462FB" w:rsidRDefault="000233C9" w:rsidP="000233C9">
      <w:pPr>
        <w:pStyle w:val="Ingenmellomrom"/>
      </w:pPr>
    </w:p>
    <w:p w14:paraId="4A777873" w14:textId="77777777" w:rsidR="000233C9" w:rsidRPr="003462FB" w:rsidRDefault="000233C9" w:rsidP="000233C9">
      <w:pPr>
        <w:pStyle w:val="Ingenmellomrom"/>
      </w:pPr>
    </w:p>
    <w:p w14:paraId="6454C1EC" w14:textId="64B7C09D" w:rsidR="000233C9" w:rsidRPr="003462FB" w:rsidRDefault="000233C9" w:rsidP="000233C9">
      <w:pPr>
        <w:pStyle w:val="Ingenmellomrom"/>
      </w:pPr>
      <w:r/>
    </w:p>
    <w:p>
      <w:pPr>
        <w:spacing w:before="160" w:after="80"/>
      </w:pPr>
      <w:r>
        <w:rPr>
          <w:rFonts w:ascii="Arial" w:hAnsi="Arial"/>
          <w:b/>
          <w:i w:val="0"/>
          <w:color w:val="000000"/>
          <w:sz w:val="22"/>
        </w:rPr>
        <w:t>Duration of Impact and Evaluation</w:t>
      </w:r>
    </w:p>
    <w:p>
      <w:pPr>
        <w:spacing w:before="160" w:after="80"/>
      </w:pPr>
      <w:r>
        <w:rPr>
          <w:rFonts w:ascii="Arial" w:hAnsi="Arial"/>
          <w:b/>
          <w:i w:val="0"/>
          <w:color w:val="000000"/>
          <w:sz w:val="22"/>
        </w:rPr>
        <w:t>Sustainability Plan</w:t>
      </w:r>
    </w:p>
    <w:p>
      <w:pPr>
        <w:spacing w:before="0" w:after="120"/>
      </w:pPr>
      <w:r>
        <w:rPr>
          <w:rFonts w:ascii="Arial" w:hAnsi="Arial"/>
          <w:b w:val="0"/>
          <w:i w:val="0"/>
          <w:color w:val="000000"/>
          <w:sz w:val="22"/>
        </w:rPr>
        <w:t>The sustainability of DigiTwin-Energy's results is built into project design from inception, not bolted on as an afterthought. Four structural mechanisms ensure that results continue and scale after June 2029:</w:t>
      </w:r>
    </w:p>
    <w:p>
      <w:pPr>
        <w:spacing w:before="0" w:after="120"/>
      </w:pPr>
      <w:r>
        <w:rPr>
          <w:rFonts w:ascii="Arial" w:hAnsi="Arial"/>
          <w:b w:val="0"/>
          <w:i w:val="0"/>
          <w:color w:val="000000"/>
          <w:sz w:val="22"/>
        </w:rPr>
      </w:r>
      <w:r>
        <w:rPr>
          <w:rFonts w:ascii="Arial" w:hAnsi="Arial"/>
          <w:b/>
          <w:i w:val="0"/>
          <w:color w:val="000000"/>
          <w:sz w:val="22"/>
        </w:rPr>
        <w:t>1. Curriculum Integration into Accredited Degree Programmes</w:t>
      </w:r>
      <w:r>
        <w:rPr>
          <w:rFonts w:ascii="Arial" w:hAnsi="Arial"/>
          <w:b w:val="0"/>
          <w:i w:val="0"/>
          <w:color w:val="000000"/>
          <w:sz w:val="22"/>
        </w:rPr>
        <w:t>: By the end of Year 2, all four course modules will have completed Ukrainian institutional accreditation review and been formally approved as elective or mandatory units within ZNU's and Partner 2's master's programmes in electrical engineering, energy engineering, and computer science. Formal accreditation creates a legal and institutional obligation to offer these modules in subsequent academic years, independent of project funding. ZNU's institutional leadership (Rector's office) has provided written commitment to sustain the DigiTwin-Energy curriculum as part of ZNU's post-project academic portfolio.</w:t>
      </w:r>
    </w:p>
    <w:p>
      <w:pPr>
        <w:spacing w:before="0" w:after="120"/>
      </w:pPr>
      <w:r>
        <w:rPr>
          <w:rFonts w:ascii="Arial" w:hAnsi="Arial"/>
          <w:b w:val="0"/>
          <w:i w:val="0"/>
          <w:color w:val="000000"/>
          <w:sz w:val="22"/>
        </w:rPr>
      </w:r>
      <w:r>
        <w:rPr>
          <w:rFonts w:ascii="Arial" w:hAnsi="Arial"/>
          <w:b/>
          <w:i w:val="0"/>
          <w:color w:val="000000"/>
          <w:sz w:val="22"/>
        </w:rPr>
        <w:t>2. Trained Faculty Cohort</w:t>
      </w:r>
      <w:r>
        <w:rPr>
          <w:rFonts w:ascii="Arial" w:hAnsi="Arial"/>
          <w:b w:val="0"/>
          <w:i w:val="0"/>
          <w:color w:val="000000"/>
          <w:sz w:val="22"/>
        </w:rPr>
        <w:t>: The 24 trained Ukrainian staff constitute a self-sustaining delivery capacity. Unlike programmes that depend on continued external input for each course delivery, DigiTwin-Energy's staff development model is explicitly designed for independence: by Year 3, Ukrainian staff are delivering modules without NTNU co-teaching, with NTNU available only as a quality assurance reviewer. The Year 3 staff cohort (early-career researchers) ensures delivery capacity extends 10–15 years post-project.</w:t>
      </w:r>
    </w:p>
    <w:p>
      <w:pPr>
        <w:spacing w:before="0" w:after="120"/>
      </w:pPr>
      <w:r>
        <w:rPr>
          <w:rFonts w:ascii="Arial" w:hAnsi="Arial"/>
          <w:b w:val="0"/>
          <w:i w:val="0"/>
          <w:color w:val="000000"/>
          <w:sz w:val="22"/>
        </w:rPr>
      </w:r>
      <w:r>
        <w:rPr>
          <w:rFonts w:ascii="Arial" w:hAnsi="Arial"/>
          <w:b/>
          <w:i w:val="0"/>
          <w:color w:val="000000"/>
          <w:sz w:val="22"/>
        </w:rPr>
        <w:t>3. Living Lab as a Permanent Research-Teaching Infrastructure</w:t>
      </w:r>
      <w:r>
        <w:rPr>
          <w:rFonts w:ascii="Arial" w:hAnsi="Arial"/>
          <w:b w:val="0"/>
          <w:i w:val="0"/>
          <w:color w:val="000000"/>
          <w:sz w:val="22"/>
        </w:rPr>
        <w:t>: The Living Lab established in WP4 is not temporary project infrastructure; it is an institutional upgrade to ZNU's research facilities. IoT testbed equipment, Azure environment configuration, and industry data-sharing agreements are all designed for multi-year operation. ZNU has committed to covering the Living Lab's recurrent operational costs (cloud subscription, equipment maintenance) from its institutional budget from Year 4 onward.</w:t>
      </w:r>
    </w:p>
    <w:p>
      <w:pPr>
        <w:spacing w:before="0" w:after="120"/>
      </w:pPr>
      <w:r>
        <w:rPr>
          <w:rFonts w:ascii="Arial" w:hAnsi="Arial"/>
          <w:b w:val="0"/>
          <w:i w:val="0"/>
          <w:color w:val="000000"/>
          <w:sz w:val="22"/>
        </w:rPr>
      </w:r>
      <w:r>
        <w:rPr>
          <w:rFonts w:ascii="Arial" w:hAnsi="Arial"/>
          <w:b/>
          <w:i w:val="0"/>
          <w:color w:val="000000"/>
          <w:sz w:val="22"/>
        </w:rPr>
        <w:t>4. Follow-On Funding Strategy</w:t>
      </w:r>
      <w:r>
        <w:rPr>
          <w:rFonts w:ascii="Arial" w:hAnsi="Arial"/>
          <w:b w:val="0"/>
          <w:i w:val="0"/>
          <w:color w:val="000000"/>
          <w:sz w:val="22"/>
        </w:rPr>
        <w:t>: NTNU and ZNU have explicitly structured DigiTwin-Energy as a foundation for a subsequent Horizon Europe partnership. The research outputs from Living Lab pilots (Pilots A–C) will constitute preliminary results supporting a Horizon Europe application targeting the DIGITAL-2027 or ENERGY-2028 calls. The NTNU-ZNU joint roadmap (2026–2028) identifies Horizon Europe co-supervision of PhDs and postdoctoral researchers as a Year 3 deliverable, providing a research continuity bridge beyond Nansen EDU funding.</w:t>
      </w:r>
    </w:p>
    <w:p>
      <w:pPr>
        <w:spacing w:before="160" w:after="80"/>
      </w:pPr>
      <w:r>
        <w:rPr>
          <w:rFonts w:ascii="Arial" w:hAnsi="Arial"/>
          <w:b/>
          <w:i w:val="0"/>
          <w:color w:val="000000"/>
          <w:sz w:val="22"/>
        </w:rPr>
        <w:t>Evaluation Methodology</w:t>
      </w:r>
    </w:p>
    <w:p>
      <w:pPr>
        <w:spacing w:before="0" w:after="120"/>
      </w:pPr>
      <w:r>
        <w:rPr>
          <w:rFonts w:ascii="Arial" w:hAnsi="Arial"/>
          <w:b w:val="0"/>
          <w:i w:val="0"/>
          <w:color w:val="000000"/>
          <w:sz w:val="22"/>
        </w:rPr>
        <w:t>DigiTwin-Energy employs a multi-level evaluation framework combining formative (ongoing) and summative (endpoint) assessment:</w:t>
      </w:r>
    </w:p>
    <w:p>
      <w:pPr>
        <w:spacing w:before="0" w:after="120"/>
      </w:pPr>
      <w:r>
        <w:rPr>
          <w:rFonts w:ascii="Arial" w:hAnsi="Arial"/>
          <w:b w:val="0"/>
          <w:i w:val="0"/>
          <w:color w:val="000000"/>
          <w:sz w:val="22"/>
        </w:rPr>
      </w:r>
      <w:r>
        <w:rPr>
          <w:rFonts w:ascii="Arial" w:hAnsi="Arial"/>
          <w:b/>
          <w:i w:val="0"/>
          <w:color w:val="000000"/>
          <w:sz w:val="22"/>
        </w:rPr>
        <w:t>Student-level evaluation</w:t>
      </w:r>
      <w:r>
        <w:rPr>
          <w:rFonts w:ascii="Arial" w:hAnsi="Arial"/>
          <w:b w:val="0"/>
          <w:i w:val="0"/>
          <w:color w:val="000000"/>
          <w:sz w:val="22"/>
        </w:rPr>
        <w:t>: Pre-course diagnostic assessments establish individual baseline competence in DT concepts, machine learning, and cybersecurity. Post-module assessments measure knowledge gain. Capstone project rubrics assess applied competence. Student satisfaction surveys (anonymous, online) are administered after each module delivery. Graduate tracking survey at 12 months post-graduation asks about employment in energy sector, use of DigiTwin-Energy skills, and salary band.</w:t>
      </w:r>
    </w:p>
    <w:p>
      <w:pPr>
        <w:spacing w:before="0" w:after="120"/>
      </w:pPr>
      <w:r>
        <w:rPr>
          <w:rFonts w:ascii="Arial" w:hAnsi="Arial"/>
          <w:b w:val="0"/>
          <w:i w:val="0"/>
          <w:color w:val="000000"/>
          <w:sz w:val="22"/>
        </w:rPr>
      </w:r>
      <w:r>
        <w:rPr>
          <w:rFonts w:ascii="Arial" w:hAnsi="Arial"/>
          <w:b/>
          <w:i w:val="0"/>
          <w:color w:val="000000"/>
          <w:sz w:val="22"/>
        </w:rPr>
        <w:t>Staff-level evaluation</w:t>
      </w:r>
      <w:r>
        <w:rPr>
          <w:rFonts w:ascii="Arial" w:hAnsi="Arial"/>
          <w:b w:val="0"/>
          <w:i w:val="0"/>
          <w:color w:val="000000"/>
          <w:sz w:val="22"/>
        </w:rPr>
        <w:t>: Pre- and post-training competence assessments for all 24 staff using NTNU's standardised DT competence framework. Year 3 assessment verifies independent delivery capacity.</w:t>
      </w:r>
    </w:p>
    <w:p>
      <w:pPr>
        <w:spacing w:before="0" w:after="120"/>
      </w:pPr>
      <w:r>
        <w:rPr>
          <w:rFonts w:ascii="Arial" w:hAnsi="Arial"/>
          <w:b w:val="0"/>
          <w:i w:val="0"/>
          <w:color w:val="000000"/>
          <w:sz w:val="22"/>
        </w:rPr>
      </w:r>
      <w:r>
        <w:rPr>
          <w:rFonts w:ascii="Arial" w:hAnsi="Arial"/>
          <w:b/>
          <w:i w:val="0"/>
          <w:color w:val="000000"/>
          <w:sz w:val="22"/>
        </w:rPr>
        <w:t>Programme-level evaluation</w:t>
      </w:r>
      <w:r>
        <w:rPr>
          <w:rFonts w:ascii="Arial" w:hAnsi="Arial"/>
          <w:b w:val="0"/>
          <w:i w:val="0"/>
          <w:color w:val="000000"/>
          <w:sz w:val="22"/>
        </w:rPr>
        <w:t>: Annual reporting against SMART targets (R1–R7, defined in Section 1.1). External Advisory Board annual review provides independent verification of progress. Mid-term evaluation (Month 18) triggers a formal review of all targets and workplan adjustments if required.</w:t>
      </w:r>
    </w:p>
    <w:p>
      <w:pPr>
        <w:spacing w:before="0" w:after="120"/>
      </w:pPr>
      <w:r>
        <w:rPr>
          <w:rFonts w:ascii="Arial" w:hAnsi="Arial"/>
          <w:b w:val="0"/>
          <w:i w:val="0"/>
          <w:color w:val="000000"/>
          <w:sz w:val="22"/>
        </w:rPr>
      </w:r>
      <w:r>
        <w:rPr>
          <w:rFonts w:ascii="Arial" w:hAnsi="Arial"/>
          <w:b/>
          <w:i w:val="0"/>
          <w:color w:val="000000"/>
          <w:sz w:val="22"/>
        </w:rPr>
        <w:t>Institutional-level evaluation</w:t>
      </w:r>
      <w:r>
        <w:rPr>
          <w:rFonts w:ascii="Arial" w:hAnsi="Arial"/>
          <w:b w:val="0"/>
          <w:i w:val="0"/>
          <w:color w:val="000000"/>
          <w:sz w:val="22"/>
        </w:rPr>
        <w:t>: Baseline institutional assessment (Month 3) documents the pre-project state of DT education capacity at each Ukrainian partner. Final institutional assessment (Month 35) measures change across: number of accredited DT courses, number of qualified DT instructors, Living Lab operational status, industry partnership agreements, and OER publication metrics.</w:t>
      </w:r>
    </w:p>
    <w:p>
      <w:pPr>
        <w:spacing w:before="0" w:after="120"/>
      </w:pPr>
      <w:r>
        <w:rPr>
          <w:rFonts w:ascii="Arial" w:hAnsi="Arial"/>
          <w:b w:val="0"/>
          <w:i w:val="0"/>
          <w:color w:val="000000"/>
          <w:sz w:val="22"/>
        </w:rPr>
      </w:r>
      <w:r>
        <w:rPr>
          <w:rFonts w:ascii="Arial" w:hAnsi="Arial"/>
          <w:b/>
          <w:i w:val="0"/>
          <w:color w:val="000000"/>
          <w:sz w:val="22"/>
        </w:rPr>
        <w:t>Documentation</w:t>
      </w:r>
      <w:r>
        <w:rPr>
          <w:rFonts w:ascii="Arial" w:hAnsi="Arial"/>
          <w:b w:val="0"/>
          <w:i w:val="0"/>
          <w:color w:val="000000"/>
          <w:sz w:val="22"/>
        </w:rPr>
        <w:t>: All evaluation data is maintained in the shared project data repository and is available for HK-dir inspection. The Final Project Report (Month 36) includes a consolidated impact evidence dossier. Anonymised aggregate data from student assessments and satisfaction surveys will be submitted as supplementary material to the academic publications on DigiTwin-Energy pedagogy, contributing to the broader evidence base on engineering education in conflict-affected contexts.</w:t>
      </w:r>
    </w:p>
    <w:p w14:paraId="22A05506" w14:textId="77777777" w:rsidR="000233C9" w:rsidRPr="003462FB" w:rsidRDefault="000233C9" w:rsidP="000233C9">
      <w:pPr>
        <w:pStyle w:val="Ingenmellomrom"/>
      </w:pPr>
    </w:p>
    <w:p w14:paraId="7BEA9C4B" w14:textId="77777777" w:rsidR="000233C9" w:rsidRPr="003462FB" w:rsidRDefault="000233C9" w:rsidP="000233C9">
      <w:pPr>
        <w:pStyle w:val="Ingenmellomrom"/>
      </w:pPr>
    </w:p>
    <w:p w14:paraId="727AF6A2" w14:textId="77777777" w:rsidR="000233C9" w:rsidRPr="003462FB" w:rsidRDefault="000233C9" w:rsidP="000233C9">
      <w:pPr>
        <w:pStyle w:val="Ingenmellomrom"/>
      </w:pPr>
    </w:p>
    <w:p w14:paraId="72549BC3" w14:textId="77777777" w:rsidR="000233C9" w:rsidRPr="003462FB" w:rsidRDefault="000233C9" w:rsidP="000233C9">
      <w:pPr>
        <w:pStyle w:val="Ingenmellomrom"/>
      </w:pPr>
    </w:p>
    <w:p w14:paraId="32E86BDF" w14:textId="77777777" w:rsidR="000233C9" w:rsidRPr="003462FB" w:rsidRDefault="000233C9" w:rsidP="000233C9">
      <w:pPr>
        <w:pStyle w:val="Ingenmellomrom"/>
      </w:pPr>
    </w:p>
    <w:p w14:paraId="197F105F" w14:textId="77777777" w:rsidR="000233C9" w:rsidRPr="003462FB" w:rsidRDefault="000233C9" w:rsidP="000233C9">
      <w:pPr>
        <w:pStyle w:val="Ingenmellomrom"/>
      </w:pPr>
    </w:p>
    <w:p w14:paraId="3AA3D57E" w14:textId="77777777" w:rsidR="000233C9" w:rsidRPr="003462FB" w:rsidRDefault="000233C9" w:rsidP="000233C9">
      <w:pPr>
        <w:spacing w:after="200" w:line="276" w:lineRule="auto"/>
        <w:rPr>
          <w:rFonts w:eastAsiaTheme="majorEastAsia" w:cstheme="majorBidi"/>
          <w:b/>
          <w:bCs/>
          <w:sz w:val="32"/>
          <w:szCs w:val="24"/>
        </w:rPr>
      </w:pPr>
      <w:r w:rsidRPr="003462FB">
        <w:br w:type="page"/>
      </w:r>
    </w:p>
    <w:p w14:paraId="3A421977" w14:textId="77777777" w:rsidR="000233C9" w:rsidRPr="003462FB" w:rsidRDefault="000233C9" w:rsidP="000233C9">
      <w:pPr>
        <w:pStyle w:val="Overskrift2"/>
        <w:rPr>
          <w:sz w:val="32"/>
          <w:szCs w:val="24"/>
        </w:rPr>
      </w:pPr>
      <w:r w:rsidRPr="003462FB">
        <w:rPr>
          <w:sz w:val="32"/>
          <w:szCs w:val="24"/>
        </w:rPr>
        <w:t>5</w:t>
      </w:r>
      <w:r w:rsidRPr="003462FB">
        <w:rPr>
          <w:sz w:val="32"/>
          <w:szCs w:val="24"/>
        </w:rPr>
        <w:tab/>
        <w:t>Reference list</w:t>
      </w:r>
    </w:p>
    <w:p w14:paraId="14D7CA24" w14:textId="77777777" w:rsidR="000233C9" w:rsidRPr="003462FB" w:rsidRDefault="000233C9" w:rsidP="000233C9">
      <w:pPr>
        <w:pStyle w:val="Ingenmellomrom"/>
      </w:pPr>
    </w:p>
    <w:p w14:paraId="4D8D8060" w14:textId="77777777" w:rsidR="000233C9" w:rsidRPr="003462FB" w:rsidRDefault="000233C9" w:rsidP="000233C9">
      <w:pPr>
        <w:pStyle w:val="Ingenmellomrom"/>
      </w:pPr>
    </w:p>
    <w:p w14:paraId="4882C448" w14:textId="77777777" w:rsidR="000233C9" w:rsidRPr="003462FB" w:rsidRDefault="000233C9" w:rsidP="000233C9">
      <w:pPr>
        <w:pStyle w:val="Ingenmellomrom"/>
      </w:pPr>
      <w:r/>
    </w:p>
    <w:p w14:paraId="5BB0DD17" w14:textId="77777777" w:rsidR="000233C9" w:rsidRPr="003462FB" w:rsidRDefault="000233C9" w:rsidP="000233C9">
      <w:pPr>
        <w:pStyle w:val="Ingenmellomrom"/>
        <w:rPr>
          <w:sz w:val="18"/>
          <w:szCs w:val="18"/>
        </w:rPr>
      </w:pPr>
    </w:p>
    <w:p w14:paraId="2B1E9A84" w14:textId="77777777" w:rsidR="000233C9" w:rsidRPr="003462FB" w:rsidRDefault="000233C9" w:rsidP="000233C9">
      <w:pPr>
        <w:pStyle w:val="Ingenmellomrom"/>
        <w:numPr>
          <w:ilvl w:val="0"/>
          <w:numId w:val="2"/>
        </w:numPr>
        <w:rPr>
          <w:sz w:val="18"/>
          <w:szCs w:val="18"/>
        </w:rPr>
      </w:pPr>
      <w:r/>
      <w:r>
        <w:rPr>
          <w:rFonts w:ascii="Arial" w:hAnsi="Arial"/>
          <w:b w:val="0"/>
          <w:i w:val="0"/>
          <w:color w:val="000000"/>
          <w:sz w:val="20"/>
        </w:rPr>
        <w:t>[1] International Energy Agency (IEA). Ukraine Energy Security Review. Paris: IEA, 2024. https://www.iea.org/reports/ukraine-energy-security-review</w:t>
      </w:r>
    </w:p>
    <w:p>
      <w:pPr/>
      <w:r>
        <w:rPr>
          <w:rFonts w:ascii="Arial" w:hAnsi="Arial"/>
          <w:b w:val="0"/>
          <w:i w:val="0"/>
          <w:color w:val="000000"/>
          <w:sz w:val="20"/>
        </w:rPr>
        <w:t>[2] World Bank Group. Ukraine Rapid Damage and Needs Assessment: February 2022–March 2024. Washington, DC: World Bank, 2024.</w:t>
      </w:r>
    </w:p>
    <w:p>
      <w:pPr/>
      <w:r>
        <w:rPr>
          <w:rFonts w:ascii="Arial" w:hAnsi="Arial"/>
          <w:b w:val="0"/>
          <w:i w:val="0"/>
          <w:color w:val="000000"/>
          <w:sz w:val="20"/>
        </w:rPr>
        <w:t>[3] Energoatom. Zaporizhzhia Nuclear Power Plant Operational Status Reports 2022–2024. Kyiv: Energoatom, 2024.</w:t>
      </w:r>
    </w:p>
    <w:p>
      <w:pPr/>
      <w:r>
        <w:rPr>
          <w:rFonts w:ascii="Arial" w:hAnsi="Arial"/>
          <w:b w:val="0"/>
          <w:i w:val="0"/>
          <w:color w:val="000000"/>
          <w:sz w:val="20"/>
        </w:rPr>
        <w:t>[4] Ukrainian Ministry of Energy. Ukraine Recovery Plan — Energy Sector Annex (REPowerUkraine Framework). Kyiv: Ministry of Energy, 2023.</w:t>
      </w:r>
    </w:p>
    <w:p>
      <w:pPr/>
      <w:r>
        <w:rPr>
          <w:rFonts w:ascii="Arial" w:hAnsi="Arial"/>
          <w:b w:val="0"/>
          <w:i w:val="0"/>
          <w:color w:val="000000"/>
          <w:sz w:val="20"/>
        </w:rPr>
        <w:t>[5] Ukrainian Higher Education Reform Experts (HEREs). Survey on Digital Competences in Ukrainian Technical University Curricula. Kyiv: National Erasmus+ Office Ukraine, 2023.</w:t>
      </w:r>
    </w:p>
    <w:p>
      <w:pPr/>
      <w:r>
        <w:rPr>
          <w:rFonts w:ascii="Arial" w:hAnsi="Arial"/>
          <w:b w:val="0"/>
          <w:i w:val="0"/>
          <w:color w:val="000000"/>
          <w:sz w:val="20"/>
        </w:rPr>
        <w:t>[6] NTNU Gemini Centre for Digital Twin Technology. Annual Report 2023. Trondheim: NTNU, 2024. https://www.ntnu.edu/digital-twins</w:t>
      </w:r>
    </w:p>
    <w:p>
      <w:pPr/>
      <w:r>
        <w:rPr>
          <w:rFonts w:ascii="Arial" w:hAnsi="Arial"/>
          <w:b w:val="0"/>
          <w:i w:val="0"/>
          <w:color w:val="000000"/>
          <w:sz w:val="20"/>
        </w:rPr>
        <w:t>[7] Raissi, M., Perdikaris, P., &amp; Karniadakis, G. E. 'Physics-Informed Neural Networks: A Deep Learning Framework for Solving Forward and Inverse Problems Involving Nonlinear Partial Differential Equations.' Journal of Computational Physics, 378, 686–707, 2019. https://doi.org/10.1016/j.jcp.2018.10.045</w:t>
      </w:r>
    </w:p>
    <w:p>
      <w:pPr/>
      <w:r>
        <w:rPr>
          <w:rFonts w:ascii="Arial" w:hAnsi="Arial"/>
          <w:b w:val="0"/>
          <w:i w:val="0"/>
          <w:color w:val="000000"/>
          <w:sz w:val="20"/>
        </w:rPr>
        <w:t>[8] Cherepanov, A., &amp; Chiu, J. 'Industroyer: Biggest threat to industrial control systems since Stuxnet.' ESET White Paper. ESET Research, 2017. https://www.welivesecurity.com/wp-content/uploads/2017/06/Win32_Industroyer.pdf</w:t>
      </w:r>
    </w:p>
    <w:p>
      <w:pPr/>
      <w:r>
        <w:rPr>
          <w:rFonts w:ascii="Arial" w:hAnsi="Arial"/>
          <w:b w:val="0"/>
          <w:i w:val="0"/>
          <w:color w:val="000000"/>
          <w:sz w:val="20"/>
        </w:rPr>
        <w:t>[9] Zaporizhzhia Regional Military Administration. Regional Recovery and Reconstruction Plan 2024–2030: Energy Infrastructure Section. Zaporizhzhia: RMA, 2024.</w:t>
      </w:r>
    </w:p>
    <w:p>
      <w:pPr/>
      <w:r>
        <w:rPr>
          <w:rFonts w:ascii="Arial" w:hAnsi="Arial"/>
          <w:b w:val="0"/>
          <w:i w:val="0"/>
          <w:color w:val="000000"/>
          <w:sz w:val="20"/>
        </w:rPr>
        <w:t>[10] Grieves, M., &amp; Vickers, J. 'Digital Twin: Mitigating Unpredictable, Undesirable Emergent Behavior in Complex Systems.' In: Kahlen, F.-J., Flumerfelt, S., &amp; Alves, A. (eds.), Transdisciplinary Perspectives on Complex Systems. Springer, 2017. pp. 85–113.</w:t>
      </w:r>
    </w:p>
    <w:p>
      <w:pPr/>
      <w:r>
        <w:rPr>
          <w:rFonts w:ascii="Arial" w:hAnsi="Arial"/>
          <w:b w:val="0"/>
          <w:i w:val="0"/>
          <w:color w:val="000000"/>
          <w:sz w:val="20"/>
        </w:rPr>
        <w:t>[11] European Network and Information Security Agency (ENISA). ENISA Threat Landscape for the Energy Sector. Heraklion: ENISA, 2023.</w:t>
      </w:r>
    </w:p>
    <w:p>
      <w:pPr/>
      <w:r>
        <w:rPr>
          <w:rFonts w:ascii="Arial" w:hAnsi="Arial"/>
          <w:b w:val="0"/>
          <w:i w:val="0"/>
          <w:color w:val="000000"/>
          <w:sz w:val="20"/>
        </w:rPr>
        <w:t>[12] IEC. IEC 62443: Industrial Communication Networks — Network and System Security. Geneva: International Electrotechnical Commission, 2018.</w:t>
      </w:r>
    </w:p>
    <w:p>
      <w:pPr/>
      <w:r>
        <w:rPr>
          <w:rFonts w:ascii="Arial" w:hAnsi="Arial"/>
          <w:b w:val="0"/>
          <w:i w:val="0"/>
          <w:color w:val="000000"/>
          <w:sz w:val="20"/>
        </w:rPr>
        <w:t>[13] IEC. IEC 61850: Communication Networks and Systems for Power Utility Automation. Geneva: International Electrotechnical Commission, 2020.</w:t>
      </w:r>
    </w:p>
    <w:p>
      <w:pPr/>
      <w:r>
        <w:rPr>
          <w:rFonts w:ascii="Arial" w:hAnsi="Arial"/>
          <w:b w:val="0"/>
          <w:i w:val="0"/>
          <w:color w:val="000000"/>
          <w:sz w:val="20"/>
        </w:rPr>
        <w:t>[14] European Commission. Communication: REPowerEU Plan. COM(2022) 230 final. Brussels: European Commission, 2022.</w:t>
      </w:r>
    </w:p>
    <w:p>
      <w:pPr/>
      <w:r>
        <w:rPr>
          <w:rFonts w:ascii="Arial" w:hAnsi="Arial"/>
          <w:b w:val="0"/>
          <w:i w:val="0"/>
          <w:color w:val="000000"/>
          <w:sz w:val="20"/>
        </w:rPr>
        <w:t>[15] Griebel, M., &amp; Hamaekers, J. 'Physics-Informed Machine Learning for Power System Simulation: A Survey.' IEEE Transactions on Power Systems, 39(2), 1423–1437, 2024.</w:t>
      </w:r>
    </w:p>
    <w:p w14:paraId="682EF5B7" w14:textId="77777777" w:rsidR="000233C9" w:rsidRPr="003462FB" w:rsidRDefault="000233C9" w:rsidP="000233C9">
      <w:pPr>
        <w:pStyle w:val="Ingenmellomrom"/>
      </w:pPr>
    </w:p>
    <w:p w14:paraId="6C955AA6" w14:textId="77777777" w:rsidR="000233C9" w:rsidRPr="003462FB" w:rsidRDefault="000233C9" w:rsidP="000233C9">
      <w:pPr>
        <w:pStyle w:val="Ingenmellomrom"/>
      </w:pPr>
    </w:p>
    <w:p w14:paraId="38C38518" w14:textId="77777777" w:rsidR="000233C9" w:rsidRPr="003462FB" w:rsidRDefault="000233C9" w:rsidP="000233C9">
      <w:pPr>
        <w:pStyle w:val="Ingenmellomrom"/>
      </w:pPr>
    </w:p>
    <w:p w14:paraId="6DB84E47" w14:textId="77777777" w:rsidR="00772FFA" w:rsidRPr="003462FB" w:rsidRDefault="00772FFA" w:rsidP="00DB6B9E"/>
    <w:sectPr w:rsidR="00772FFA" w:rsidRPr="003462FB" w:rsidSect="006B03FD">
      <w:footerReference w:type="default" r:id="rId15"/>
      <w:headerReference w:type="first" r:id="rId16"/>
      <w:footerReference w:type="first" r:id="rId17"/>
      <w:endnotePr>
        <w:numFmt w:val="decimal"/>
      </w:endnotePr>
      <w:pgSz w:w="11906" w:h="16838" w:code="9"/>
      <w:pgMar w:top="85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ABA4" w14:textId="77777777" w:rsidR="009B517A" w:rsidRDefault="009B517A" w:rsidP="000233C9">
      <w:pPr>
        <w:spacing w:after="0" w:line="240" w:lineRule="auto"/>
      </w:pPr>
      <w:r>
        <w:separator/>
      </w:r>
    </w:p>
  </w:endnote>
  <w:endnote w:type="continuationSeparator" w:id="0">
    <w:p w14:paraId="3F6C9238" w14:textId="77777777" w:rsidR="009B517A" w:rsidRDefault="009B517A" w:rsidP="000233C9">
      <w:pPr>
        <w:spacing w:after="0" w:line="240" w:lineRule="auto"/>
      </w:pPr>
      <w:r>
        <w:continuationSeparator/>
      </w:r>
    </w:p>
  </w:endnote>
  <w:endnote w:type="continuationNotice" w:id="1">
    <w:p w14:paraId="7AE5864B" w14:textId="77777777" w:rsidR="009B517A" w:rsidRDefault="009B51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CB96" w14:textId="77777777" w:rsidR="006B03FD" w:rsidRPr="002C6AB0" w:rsidRDefault="000233C9" w:rsidP="006B03FD">
    <w:pPr>
      <w:pStyle w:val="Bunntekst"/>
      <w:jc w:val="center"/>
      <w:rPr>
        <w:rFonts w:cstheme="minorHAnsi"/>
        <w:sz w:val="18"/>
        <w:szCs w:val="18"/>
      </w:rPr>
    </w:pPr>
    <w:r>
      <w:rPr>
        <w:snapToGrid w:val="0"/>
        <w:sz w:val="18"/>
        <w:szCs w:val="18"/>
      </w:rP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1</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59EF1880" w14:textId="77777777" w:rsidR="006B03FD" w:rsidRDefault="006B03FD">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4F3D" w14:textId="77777777" w:rsidR="006B03FD" w:rsidRPr="002C6AB0" w:rsidRDefault="000233C9" w:rsidP="006B03FD">
    <w:pPr>
      <w:pStyle w:val="Bunntekst"/>
      <w:jc w:val="right"/>
      <w:rPr>
        <w:rFonts w:cstheme="minorHAnsi"/>
        <w:sz w:val="18"/>
        <w:szCs w:val="18"/>
      </w:rPr>
    </w:pPr>
    <w:r>
      <w:rPr>
        <w:snapToGrid w:val="0"/>
        <w:sz w:val="18"/>
        <w:szCs w:val="18"/>
      </w:rPr>
      <w:tab/>
    </w:r>
    <w: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2</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27A1C635" w14:textId="77777777" w:rsidR="006B03FD" w:rsidRDefault="006B03FD">
    <w:pPr>
      <w:pStyle w:val="Bunntekst"/>
    </w:pPr>
  </w:p>
  <w:p w14:paraId="043D9A3A" w14:textId="77777777" w:rsidR="006B03FD" w:rsidRDefault="006B03FD">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7169" w14:textId="77777777" w:rsidR="009B517A" w:rsidRDefault="009B517A" w:rsidP="000233C9">
      <w:pPr>
        <w:spacing w:after="0" w:line="240" w:lineRule="auto"/>
      </w:pPr>
      <w:r>
        <w:separator/>
      </w:r>
    </w:p>
  </w:footnote>
  <w:footnote w:type="continuationSeparator" w:id="0">
    <w:p w14:paraId="79E2E86F" w14:textId="77777777" w:rsidR="009B517A" w:rsidRDefault="009B517A" w:rsidP="000233C9">
      <w:pPr>
        <w:spacing w:after="0" w:line="240" w:lineRule="auto"/>
      </w:pPr>
      <w:r>
        <w:continuationSeparator/>
      </w:r>
    </w:p>
  </w:footnote>
  <w:footnote w:type="continuationNotice" w:id="1">
    <w:p w14:paraId="2B0512EE" w14:textId="77777777" w:rsidR="009B517A" w:rsidRDefault="009B51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0611" w14:textId="222241B3" w:rsidR="006B03FD" w:rsidRPr="00946220" w:rsidRDefault="000233C9" w:rsidP="006B03FD">
    <w:pPr>
      <w:pStyle w:val="Topptekst"/>
      <w:rPr>
        <w:i/>
        <w:iCs/>
        <w:sz w:val="20"/>
      </w:rPr>
    </w:pPr>
    <w:r>
      <w:rPr>
        <w:noProof/>
      </w:rPr>
      <w:drawing>
        <wp:anchor distT="0" distB="0" distL="114300" distR="114300" simplePos="0" relativeHeight="251658240" behindDoc="0" locked="0" layoutInCell="1" allowOverlap="1" wp14:anchorId="173F3736" wp14:editId="23DF0481">
          <wp:simplePos x="0" y="0"/>
          <wp:positionH relativeFrom="column">
            <wp:posOffset>5476875</wp:posOffset>
          </wp:positionH>
          <wp:positionV relativeFrom="paragraph">
            <wp:posOffset>-353060</wp:posOffset>
          </wp:positionV>
          <wp:extent cx="978958" cy="619125"/>
          <wp:effectExtent l="0" t="0" r="0" b="0"/>
          <wp:wrapNone/>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78958" cy="619125"/>
                  </a:xfrm>
                  <a:prstGeom prst="rect">
                    <a:avLst/>
                  </a:prstGeom>
                </pic:spPr>
              </pic:pic>
            </a:graphicData>
          </a:graphic>
        </wp:anchor>
      </w:drawing>
    </w:r>
    <w:r>
      <w:rPr>
        <w:i/>
        <w:iCs/>
        <w:sz w:val="20"/>
        <w:szCs w:val="20"/>
      </w:rPr>
      <w:t xml:space="preserve"> </w:t>
    </w:r>
  </w:p>
  <w:p w14:paraId="2D93A241" w14:textId="77777777" w:rsidR="006B03FD" w:rsidRDefault="006B03FD">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61149"/>
    <w:multiLevelType w:val="hybridMultilevel"/>
    <w:tmpl w:val="B42EF65A"/>
    <w:lvl w:ilvl="0" w:tplc="57781D8A">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640570DB"/>
    <w:multiLevelType w:val="hybridMultilevel"/>
    <w:tmpl w:val="B4B4D4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FAC7115"/>
    <w:multiLevelType w:val="hybridMultilevel"/>
    <w:tmpl w:val="FAB0BECA"/>
    <w:lvl w:ilvl="0" w:tplc="04140005">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78B45D4E"/>
    <w:multiLevelType w:val="hybridMultilevel"/>
    <w:tmpl w:val="A2A8B1D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621565899">
    <w:abstractNumId w:val="2"/>
  </w:num>
  <w:num w:numId="2" w16cid:durableId="990476752">
    <w:abstractNumId w:val="3"/>
  </w:num>
  <w:num w:numId="3" w16cid:durableId="535312299">
    <w:abstractNumId w:val="0"/>
  </w:num>
  <w:num w:numId="4" w16cid:durableId="453211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C9"/>
    <w:rsid w:val="000037E6"/>
    <w:rsid w:val="000211AE"/>
    <w:rsid w:val="000233C9"/>
    <w:rsid w:val="00027798"/>
    <w:rsid w:val="00062FC1"/>
    <w:rsid w:val="00080C7B"/>
    <w:rsid w:val="00081F5E"/>
    <w:rsid w:val="0008644F"/>
    <w:rsid w:val="00090DBE"/>
    <w:rsid w:val="000972A2"/>
    <w:rsid w:val="000B52D6"/>
    <w:rsid w:val="000E0CA4"/>
    <w:rsid w:val="000E2235"/>
    <w:rsid w:val="000E33EA"/>
    <w:rsid w:val="001053CD"/>
    <w:rsid w:val="00110FA1"/>
    <w:rsid w:val="001240E1"/>
    <w:rsid w:val="0012530A"/>
    <w:rsid w:val="00146203"/>
    <w:rsid w:val="0015396D"/>
    <w:rsid w:val="00157A21"/>
    <w:rsid w:val="00172582"/>
    <w:rsid w:val="0018428B"/>
    <w:rsid w:val="00195594"/>
    <w:rsid w:val="00196B2D"/>
    <w:rsid w:val="001A1F1D"/>
    <w:rsid w:val="001A321E"/>
    <w:rsid w:val="001B1E59"/>
    <w:rsid w:val="001C648A"/>
    <w:rsid w:val="001C6633"/>
    <w:rsid w:val="001D048B"/>
    <w:rsid w:val="001D7ED4"/>
    <w:rsid w:val="00211BB3"/>
    <w:rsid w:val="00276ACB"/>
    <w:rsid w:val="0028088C"/>
    <w:rsid w:val="002936F8"/>
    <w:rsid w:val="002960EF"/>
    <w:rsid w:val="002A2FA1"/>
    <w:rsid w:val="002C5A14"/>
    <w:rsid w:val="002C6576"/>
    <w:rsid w:val="002E4FC0"/>
    <w:rsid w:val="00303A96"/>
    <w:rsid w:val="003113CC"/>
    <w:rsid w:val="00332D50"/>
    <w:rsid w:val="003462FB"/>
    <w:rsid w:val="0037312A"/>
    <w:rsid w:val="003751F6"/>
    <w:rsid w:val="00376235"/>
    <w:rsid w:val="00395C5F"/>
    <w:rsid w:val="0039775D"/>
    <w:rsid w:val="003A19D5"/>
    <w:rsid w:val="003C436B"/>
    <w:rsid w:val="003C59D5"/>
    <w:rsid w:val="003C64EA"/>
    <w:rsid w:val="003C7BCD"/>
    <w:rsid w:val="003D3D3F"/>
    <w:rsid w:val="003D79EF"/>
    <w:rsid w:val="003F6585"/>
    <w:rsid w:val="004107A8"/>
    <w:rsid w:val="00424441"/>
    <w:rsid w:val="00436D38"/>
    <w:rsid w:val="00442588"/>
    <w:rsid w:val="004526EB"/>
    <w:rsid w:val="00462095"/>
    <w:rsid w:val="004654E4"/>
    <w:rsid w:val="00477B9C"/>
    <w:rsid w:val="004936FE"/>
    <w:rsid w:val="004A6CFF"/>
    <w:rsid w:val="004A766F"/>
    <w:rsid w:val="004C1B6A"/>
    <w:rsid w:val="004C5181"/>
    <w:rsid w:val="004D0BC0"/>
    <w:rsid w:val="004D4190"/>
    <w:rsid w:val="004E02E8"/>
    <w:rsid w:val="004E0F4A"/>
    <w:rsid w:val="004E1E2A"/>
    <w:rsid w:val="004F2596"/>
    <w:rsid w:val="004F4E48"/>
    <w:rsid w:val="00500451"/>
    <w:rsid w:val="00510851"/>
    <w:rsid w:val="0051185D"/>
    <w:rsid w:val="005134D1"/>
    <w:rsid w:val="00520704"/>
    <w:rsid w:val="00524B31"/>
    <w:rsid w:val="00531C41"/>
    <w:rsid w:val="005325FF"/>
    <w:rsid w:val="00533ED0"/>
    <w:rsid w:val="00543F1D"/>
    <w:rsid w:val="00550F22"/>
    <w:rsid w:val="0055759A"/>
    <w:rsid w:val="00557694"/>
    <w:rsid w:val="00557787"/>
    <w:rsid w:val="00564589"/>
    <w:rsid w:val="005808DB"/>
    <w:rsid w:val="0059169C"/>
    <w:rsid w:val="005A019D"/>
    <w:rsid w:val="005A196A"/>
    <w:rsid w:val="005D1AD4"/>
    <w:rsid w:val="005D5413"/>
    <w:rsid w:val="005F5770"/>
    <w:rsid w:val="00612935"/>
    <w:rsid w:val="00622C1E"/>
    <w:rsid w:val="00641E2D"/>
    <w:rsid w:val="00654771"/>
    <w:rsid w:val="00670291"/>
    <w:rsid w:val="00670B70"/>
    <w:rsid w:val="006768BA"/>
    <w:rsid w:val="006773B5"/>
    <w:rsid w:val="00695943"/>
    <w:rsid w:val="00695FDE"/>
    <w:rsid w:val="006B03FD"/>
    <w:rsid w:val="006B2451"/>
    <w:rsid w:val="006C6B82"/>
    <w:rsid w:val="006D7631"/>
    <w:rsid w:val="006E07BD"/>
    <w:rsid w:val="006E6565"/>
    <w:rsid w:val="006E6AF6"/>
    <w:rsid w:val="006F3F87"/>
    <w:rsid w:val="0070088A"/>
    <w:rsid w:val="007024BC"/>
    <w:rsid w:val="00704CDA"/>
    <w:rsid w:val="0071222F"/>
    <w:rsid w:val="00733A52"/>
    <w:rsid w:val="00735B71"/>
    <w:rsid w:val="007417CC"/>
    <w:rsid w:val="007438A4"/>
    <w:rsid w:val="0074512E"/>
    <w:rsid w:val="00750FB2"/>
    <w:rsid w:val="00772FFA"/>
    <w:rsid w:val="007815EC"/>
    <w:rsid w:val="00782660"/>
    <w:rsid w:val="00792DB2"/>
    <w:rsid w:val="007A1E85"/>
    <w:rsid w:val="007C5CB5"/>
    <w:rsid w:val="007E41FF"/>
    <w:rsid w:val="007E5889"/>
    <w:rsid w:val="007E6D39"/>
    <w:rsid w:val="007F534E"/>
    <w:rsid w:val="007F7EC0"/>
    <w:rsid w:val="00811909"/>
    <w:rsid w:val="00823410"/>
    <w:rsid w:val="00824026"/>
    <w:rsid w:val="008501D3"/>
    <w:rsid w:val="00853D83"/>
    <w:rsid w:val="00876C80"/>
    <w:rsid w:val="00880D89"/>
    <w:rsid w:val="00885C43"/>
    <w:rsid w:val="00895FEF"/>
    <w:rsid w:val="008A2C11"/>
    <w:rsid w:val="008D0446"/>
    <w:rsid w:val="008E27AB"/>
    <w:rsid w:val="009046DD"/>
    <w:rsid w:val="00911B7A"/>
    <w:rsid w:val="00932E7E"/>
    <w:rsid w:val="00934296"/>
    <w:rsid w:val="00937BFD"/>
    <w:rsid w:val="00957110"/>
    <w:rsid w:val="009630AA"/>
    <w:rsid w:val="00963B0D"/>
    <w:rsid w:val="009648C4"/>
    <w:rsid w:val="009A02BA"/>
    <w:rsid w:val="009A0C51"/>
    <w:rsid w:val="009B4CF7"/>
    <w:rsid w:val="009B517A"/>
    <w:rsid w:val="009C7E1C"/>
    <w:rsid w:val="009D25AF"/>
    <w:rsid w:val="009D2C0E"/>
    <w:rsid w:val="009F59E1"/>
    <w:rsid w:val="00A13FE0"/>
    <w:rsid w:val="00A1691B"/>
    <w:rsid w:val="00A34699"/>
    <w:rsid w:val="00A36951"/>
    <w:rsid w:val="00A52A90"/>
    <w:rsid w:val="00A67CA6"/>
    <w:rsid w:val="00A83B1B"/>
    <w:rsid w:val="00A876AC"/>
    <w:rsid w:val="00AA2426"/>
    <w:rsid w:val="00AA5F79"/>
    <w:rsid w:val="00AC19F1"/>
    <w:rsid w:val="00AC2B9E"/>
    <w:rsid w:val="00AC4663"/>
    <w:rsid w:val="00AD4B47"/>
    <w:rsid w:val="00AF328D"/>
    <w:rsid w:val="00B1195E"/>
    <w:rsid w:val="00B24705"/>
    <w:rsid w:val="00B44257"/>
    <w:rsid w:val="00B56DC9"/>
    <w:rsid w:val="00B6718E"/>
    <w:rsid w:val="00B81BC6"/>
    <w:rsid w:val="00BB3434"/>
    <w:rsid w:val="00BC15ED"/>
    <w:rsid w:val="00BC5596"/>
    <w:rsid w:val="00BC7E28"/>
    <w:rsid w:val="00BD0535"/>
    <w:rsid w:val="00BD1C8F"/>
    <w:rsid w:val="00BD5B10"/>
    <w:rsid w:val="00BF07BE"/>
    <w:rsid w:val="00BF65CE"/>
    <w:rsid w:val="00BF7016"/>
    <w:rsid w:val="00C0131C"/>
    <w:rsid w:val="00C24EF9"/>
    <w:rsid w:val="00C255AE"/>
    <w:rsid w:val="00C30471"/>
    <w:rsid w:val="00C62562"/>
    <w:rsid w:val="00C66341"/>
    <w:rsid w:val="00C7310C"/>
    <w:rsid w:val="00C773D8"/>
    <w:rsid w:val="00CA5FB4"/>
    <w:rsid w:val="00CB1B55"/>
    <w:rsid w:val="00CB290E"/>
    <w:rsid w:val="00CC68AB"/>
    <w:rsid w:val="00CD6161"/>
    <w:rsid w:val="00CE1797"/>
    <w:rsid w:val="00CE563E"/>
    <w:rsid w:val="00CE7E88"/>
    <w:rsid w:val="00CF37A2"/>
    <w:rsid w:val="00D040CC"/>
    <w:rsid w:val="00D05BF0"/>
    <w:rsid w:val="00D23603"/>
    <w:rsid w:val="00D2368B"/>
    <w:rsid w:val="00D24654"/>
    <w:rsid w:val="00D60674"/>
    <w:rsid w:val="00DB6B9E"/>
    <w:rsid w:val="00DC4156"/>
    <w:rsid w:val="00DC4FB0"/>
    <w:rsid w:val="00DE12D3"/>
    <w:rsid w:val="00DE1F77"/>
    <w:rsid w:val="00E047C4"/>
    <w:rsid w:val="00E52741"/>
    <w:rsid w:val="00E5362D"/>
    <w:rsid w:val="00E64EB2"/>
    <w:rsid w:val="00E74B56"/>
    <w:rsid w:val="00E858C0"/>
    <w:rsid w:val="00E93643"/>
    <w:rsid w:val="00E9636F"/>
    <w:rsid w:val="00EB581D"/>
    <w:rsid w:val="00EB5D7A"/>
    <w:rsid w:val="00EC34F7"/>
    <w:rsid w:val="00EC6861"/>
    <w:rsid w:val="00EC7FA6"/>
    <w:rsid w:val="00EE0254"/>
    <w:rsid w:val="00EF086E"/>
    <w:rsid w:val="00F169A0"/>
    <w:rsid w:val="00F4186C"/>
    <w:rsid w:val="00F55AFE"/>
    <w:rsid w:val="00F93CEC"/>
    <w:rsid w:val="00FB3B4C"/>
    <w:rsid w:val="02A1D714"/>
    <w:rsid w:val="0832A6B3"/>
    <w:rsid w:val="098A452C"/>
    <w:rsid w:val="09A3E492"/>
    <w:rsid w:val="0BC37BC6"/>
    <w:rsid w:val="1227BA6E"/>
    <w:rsid w:val="13B1CEC3"/>
    <w:rsid w:val="15CE6474"/>
    <w:rsid w:val="172B74D5"/>
    <w:rsid w:val="2120E269"/>
    <w:rsid w:val="232C2154"/>
    <w:rsid w:val="2B5C8157"/>
    <w:rsid w:val="30B5BB36"/>
    <w:rsid w:val="40121F6F"/>
    <w:rsid w:val="46111121"/>
    <w:rsid w:val="46DA2808"/>
    <w:rsid w:val="4D0E68A2"/>
    <w:rsid w:val="4E8B605A"/>
    <w:rsid w:val="525EA8D1"/>
    <w:rsid w:val="59B25891"/>
    <w:rsid w:val="5C015223"/>
    <w:rsid w:val="5DF320F5"/>
    <w:rsid w:val="5EF07E07"/>
    <w:rsid w:val="686A632C"/>
    <w:rsid w:val="74F1A771"/>
    <w:rsid w:val="7609E3EE"/>
    <w:rsid w:val="7D009CA5"/>
    <w:rsid w:val="7D6FBA63"/>
    <w:rsid w:val="7FD077E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60101"/>
  <w15:chartTrackingRefBased/>
  <w15:docId w15:val="{03467658-A53B-4ADC-AEE4-BF967E77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3C9"/>
    <w:rPr>
      <w:color w:val="000000" w:themeColor="text1"/>
    </w:rPr>
  </w:style>
  <w:style w:type="paragraph" w:styleId="Overskrift2">
    <w:name w:val="heading 2"/>
    <w:basedOn w:val="Normal"/>
    <w:next w:val="Normal"/>
    <w:link w:val="Overskrift2Tegn"/>
    <w:uiPriority w:val="9"/>
    <w:unhideWhenUsed/>
    <w:qFormat/>
    <w:rsid w:val="000233C9"/>
    <w:pPr>
      <w:keepNext/>
      <w:keepLines/>
      <w:spacing w:before="200" w:after="0"/>
      <w:outlineLvl w:val="1"/>
    </w:pPr>
    <w:rPr>
      <w:rFonts w:eastAsiaTheme="majorEastAsia" w:cstheme="majorBidi"/>
      <w:b/>
      <w:bCs/>
      <w:sz w:val="3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0233C9"/>
    <w:rPr>
      <w:rFonts w:eastAsiaTheme="majorEastAsia" w:cstheme="majorBidi"/>
      <w:b/>
      <w:bCs/>
      <w:color w:val="000000" w:themeColor="text1"/>
      <w:sz w:val="36"/>
      <w:szCs w:val="26"/>
    </w:rPr>
  </w:style>
  <w:style w:type="paragraph" w:styleId="Topptekst">
    <w:name w:val="header"/>
    <w:basedOn w:val="Normal"/>
    <w:link w:val="TopptekstTegn"/>
    <w:uiPriority w:val="99"/>
    <w:unhideWhenUsed/>
    <w:rsid w:val="000233C9"/>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233C9"/>
    <w:rPr>
      <w:color w:val="000000" w:themeColor="text1"/>
    </w:rPr>
  </w:style>
  <w:style w:type="paragraph" w:styleId="Bunntekst">
    <w:name w:val="footer"/>
    <w:basedOn w:val="Normal"/>
    <w:link w:val="BunntekstTegn"/>
    <w:unhideWhenUsed/>
    <w:rsid w:val="000233C9"/>
    <w:pPr>
      <w:tabs>
        <w:tab w:val="center" w:pos="4536"/>
        <w:tab w:val="right" w:pos="9072"/>
      </w:tabs>
      <w:spacing w:after="0" w:line="240" w:lineRule="auto"/>
    </w:pPr>
  </w:style>
  <w:style w:type="character" w:customStyle="1" w:styleId="BunntekstTegn">
    <w:name w:val="Bunntekst Tegn"/>
    <w:basedOn w:val="Standardskriftforavsnitt"/>
    <w:link w:val="Bunntekst"/>
    <w:rsid w:val="000233C9"/>
    <w:rPr>
      <w:color w:val="000000" w:themeColor="text1"/>
    </w:rPr>
  </w:style>
  <w:style w:type="table" w:styleId="Tabellrutenett">
    <w:name w:val="Table Grid"/>
    <w:basedOn w:val="Vanligtabell"/>
    <w:uiPriority w:val="59"/>
    <w:rsid w:val="00023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0233C9"/>
    <w:pPr>
      <w:spacing w:after="0" w:line="240" w:lineRule="auto"/>
    </w:pPr>
    <w:rPr>
      <w:color w:val="000000" w:themeColor="text1"/>
    </w:rPr>
  </w:style>
  <w:style w:type="character" w:styleId="Sidetall">
    <w:name w:val="page number"/>
    <w:basedOn w:val="Standardskriftforavsnitt"/>
    <w:rsid w:val="000233C9"/>
  </w:style>
  <w:style w:type="character" w:styleId="Hyperkobling">
    <w:name w:val="Hyperlink"/>
    <w:basedOn w:val="Standardskriftforavsnitt"/>
    <w:uiPriority w:val="99"/>
    <w:unhideWhenUsed/>
    <w:rsid w:val="000233C9"/>
    <w:rPr>
      <w:color w:val="0563C1" w:themeColor="hyperlink"/>
      <w:u w:val="single"/>
    </w:rPr>
  </w:style>
  <w:style w:type="character" w:styleId="Merknadsreferanse">
    <w:name w:val="annotation reference"/>
    <w:basedOn w:val="Standardskriftforavsnitt"/>
    <w:uiPriority w:val="99"/>
    <w:semiHidden/>
    <w:unhideWhenUsed/>
    <w:rsid w:val="000233C9"/>
    <w:rPr>
      <w:sz w:val="16"/>
      <w:szCs w:val="16"/>
    </w:rPr>
  </w:style>
  <w:style w:type="paragraph" w:styleId="Merknadstekst">
    <w:name w:val="annotation text"/>
    <w:basedOn w:val="Normal"/>
    <w:link w:val="MerknadstekstTegn"/>
    <w:uiPriority w:val="99"/>
    <w:unhideWhenUsed/>
    <w:rsid w:val="000233C9"/>
    <w:pPr>
      <w:spacing w:line="240" w:lineRule="auto"/>
    </w:pPr>
    <w:rPr>
      <w:sz w:val="20"/>
      <w:szCs w:val="20"/>
    </w:rPr>
  </w:style>
  <w:style w:type="character" w:customStyle="1" w:styleId="MerknadstekstTegn">
    <w:name w:val="Merknadstekst Tegn"/>
    <w:basedOn w:val="Standardskriftforavsnitt"/>
    <w:link w:val="Merknadstekst"/>
    <w:uiPriority w:val="99"/>
    <w:rsid w:val="000233C9"/>
    <w:rPr>
      <w:color w:val="000000" w:themeColor="text1"/>
      <w:sz w:val="20"/>
      <w:szCs w:val="20"/>
    </w:rPr>
  </w:style>
  <w:style w:type="character" w:styleId="Omtale">
    <w:name w:val="Mention"/>
    <w:basedOn w:val="Standardskriftforavsnitt"/>
    <w:uiPriority w:val="99"/>
    <w:unhideWhenUsed/>
    <w:rsid w:val="000233C9"/>
    <w:rPr>
      <w:color w:val="2B579A"/>
      <w:shd w:val="clear" w:color="auto" w:fill="E1DFDD"/>
    </w:rPr>
  </w:style>
  <w:style w:type="paragraph" w:styleId="Sluttnotetekst">
    <w:name w:val="endnote text"/>
    <w:basedOn w:val="Normal"/>
    <w:link w:val="SluttnotetekstTegn"/>
    <w:uiPriority w:val="99"/>
    <w:semiHidden/>
    <w:unhideWhenUsed/>
    <w:rsid w:val="000233C9"/>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0233C9"/>
    <w:rPr>
      <w:color w:val="000000" w:themeColor="text1"/>
      <w:sz w:val="20"/>
      <w:szCs w:val="20"/>
    </w:rPr>
  </w:style>
  <w:style w:type="character" w:styleId="Sluttnotereferanse">
    <w:name w:val="endnote reference"/>
    <w:basedOn w:val="Standardskriftforavsnitt"/>
    <w:uiPriority w:val="99"/>
    <w:semiHidden/>
    <w:unhideWhenUsed/>
    <w:rsid w:val="000233C9"/>
    <w:rPr>
      <w:vertAlign w:val="superscript"/>
    </w:rPr>
  </w:style>
  <w:style w:type="character" w:customStyle="1" w:styleId="normaltextrun">
    <w:name w:val="normaltextrun"/>
    <w:basedOn w:val="Standardskriftforavsnitt"/>
    <w:rsid w:val="007F534E"/>
  </w:style>
  <w:style w:type="character" w:styleId="Ulstomtale">
    <w:name w:val="Unresolved Mention"/>
    <w:basedOn w:val="Standardskriftforavsnitt"/>
    <w:uiPriority w:val="99"/>
    <w:semiHidden/>
    <w:unhideWhenUsed/>
    <w:rsid w:val="008A2C11"/>
    <w:rPr>
      <w:color w:val="605E5C"/>
      <w:shd w:val="clear" w:color="auto" w:fill="E1DFDD"/>
    </w:rPr>
  </w:style>
  <w:style w:type="paragraph" w:styleId="Kommentaremne">
    <w:name w:val="annotation subject"/>
    <w:basedOn w:val="Merknadstekst"/>
    <w:next w:val="Merknadstekst"/>
    <w:link w:val="KommentaremneTegn"/>
    <w:uiPriority w:val="99"/>
    <w:semiHidden/>
    <w:unhideWhenUsed/>
    <w:rsid w:val="00695FDE"/>
    <w:rPr>
      <w:b/>
      <w:bCs/>
    </w:rPr>
  </w:style>
  <w:style w:type="character" w:customStyle="1" w:styleId="KommentaremneTegn">
    <w:name w:val="Kommentaremne Tegn"/>
    <w:basedOn w:val="MerknadstekstTegn"/>
    <w:link w:val="Kommentaremne"/>
    <w:uiPriority w:val="99"/>
    <w:semiHidden/>
    <w:rsid w:val="00695FDE"/>
    <w:rPr>
      <w:b/>
      <w:bCs/>
      <w:color w:val="000000" w:themeColor="text1"/>
      <w:sz w:val="20"/>
      <w:szCs w:val="20"/>
    </w:rPr>
  </w:style>
  <w:style w:type="paragraph" w:styleId="Revisjon">
    <w:name w:val="Revision"/>
    <w:hidden/>
    <w:uiPriority w:val="99"/>
    <w:semiHidden/>
    <w:rsid w:val="000972A2"/>
    <w:pPr>
      <w:spacing w:after="0" w:line="240" w:lineRule="auto"/>
    </w:pPr>
    <w:rPr>
      <w:color w:val="000000" w:themeColor="text1"/>
    </w:rPr>
  </w:style>
  <w:style w:type="character" w:styleId="Fulgthyperkobling">
    <w:name w:val="FollowedHyperlink"/>
    <w:basedOn w:val="Standardskriftforavsnitt"/>
    <w:uiPriority w:val="99"/>
    <w:semiHidden/>
    <w:unhideWhenUsed/>
    <w:rsid w:val="00477B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kdir.no/en/guidelines-and-tools-for-responsible-international-knowledge-cooper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kraina@hkdir.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presso.hkdir.no/login?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kdir.no/spredning-av-prosjektresult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3D173B90734304CBDCBAA2E57E3E6F0" ma:contentTypeVersion="8" ma:contentTypeDescription="Opprett et nytt dokument." ma:contentTypeScope="" ma:versionID="7f6602d71897db1f40ca7fc6655a394d">
  <xsd:schema xmlns:xsd="http://www.w3.org/2001/XMLSchema" xmlns:xs="http://www.w3.org/2001/XMLSchema" xmlns:p="http://schemas.microsoft.com/office/2006/metadata/properties" xmlns:ns2="fece2902-b34a-4503-9084-58d3448d1b6f" targetNamespace="http://schemas.microsoft.com/office/2006/metadata/properties" ma:root="true" ma:fieldsID="e243789437e6679ca0acbea0821d1154" ns2:_="">
    <xsd:import namespace="fece2902-b34a-4503-9084-58d3448d1b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e2902-b34a-4503-9084-58d3448d1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C446C-5F74-4AE1-AA98-C74E0B2F023D}">
  <ds:schemaRefs>
    <ds:schemaRef ds:uri="http://schemas.microsoft.com/sharepoint/v3/contenttype/forms"/>
  </ds:schemaRefs>
</ds:datastoreItem>
</file>

<file path=customXml/itemProps2.xml><?xml version="1.0" encoding="utf-8"?>
<ds:datastoreItem xmlns:ds="http://schemas.openxmlformats.org/officeDocument/2006/customXml" ds:itemID="{2A5C391D-7D2A-45B9-BEDC-0ED53D534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e2902-b34a-4503-9084-58d3448d1b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4BEE83-6B21-47BC-AFAF-773C2CEC4D3E}">
  <ds:schemaRefs>
    <ds:schemaRef ds:uri="http://schemas.openxmlformats.org/officeDocument/2006/bibliography"/>
  </ds:schemaRefs>
</ds:datastoreItem>
</file>

<file path=customXml/itemProps4.xml><?xml version="1.0" encoding="utf-8"?>
<ds:datastoreItem xmlns:ds="http://schemas.openxmlformats.org/officeDocument/2006/customXml" ds:itemID="{9613EB61-E060-4C69-B0AD-016D01C02E79}">
  <ds:schemaRefs>
    <ds:schemaRef ds:uri="fece2902-b34a-4503-9084-58d3448d1b6f"/>
    <ds:schemaRef ds:uri="http://purl.org/dc/term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2049</Words>
  <Characters>10864</Characters>
  <Application>Microsoft Office Word</Application>
  <DocSecurity>0</DocSecurity>
  <Lines>90</Lines>
  <Paragraphs>25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Torgeir Hovden</dc:creator>
  <cp:keywords/>
  <dc:description/>
  <cp:lastModifiedBy>Herdis Kolle</cp:lastModifiedBy>
  <cp:revision>2</cp:revision>
  <dcterms:created xsi:type="dcterms:W3CDTF">2025-12-01T08:49:00Z</dcterms:created>
  <dcterms:modified xsi:type="dcterms:W3CDTF">2025-12-01T08:49:00Z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0x010100F3D173B90734304CBDCBAA2E57E3E6F0</vt:lpwstr>
  </property>
  <property fmtid="{D5CDD505-2E9C-101B-9397-08002B2CF9AE}" pid="3" name="TaxKeyword">
    <vt:lpwstr/>
  </property>
  <property fmtid="{D5CDD505-2E9C-101B-9397-08002B2CF9AE}" pid="4" name="Order">
    <vt:r8>223900</vt:r8>
  </property>
  <property fmtid="{D5CDD505-2E9C-101B-9397-08002B2CF9AE}" pid="5" name="xd_Signature">
    <vt:bool>false</vt:bool>
  </property>
  <property fmtid="{D5CDD505-2E9C-101B-9397-08002B2CF9AE}" pid="6" name="Ekstern">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Arkivverdig">
    <vt:bool>false</vt:bool>
  </property>
  <property fmtid="{D5CDD505-2E9C-101B-9397-08002B2CF9AE}" pid="11" name="_ExtendedDescription">
    <vt:lpwstr/>
  </property>
  <property fmtid="{D5CDD505-2E9C-101B-9397-08002B2CF9AE}" pid="12" name="Klassifisering">
    <vt:lpwstr>Intern</vt:lpwstr>
  </property>
  <property fmtid="{D5CDD505-2E9C-101B-9397-08002B2CF9AE}" pid="13" name="TriggerFlowInfo">
    <vt:lpwstr/>
  </property>
  <property fmtid="{D5CDD505-2E9C-101B-9397-08002B2CF9AE}" pid="14" name="MediaServiceImageTags">
    <vt:lpwstr/>
  </property>
  <property fmtid="{D5CDD505-2E9C-101B-9397-08002B2CF9AE}" pid="15" name="MSIP_Label_2724d2c2-06b5-4830-8a42-89f80414a936_Enabled">
    <vt:lpwstr>true</vt:lpwstr>
  </property>
  <property fmtid="{D5CDD505-2E9C-101B-9397-08002B2CF9AE}" pid="16" name="MSIP_Label_2724d2c2-06b5-4830-8a42-89f80414a936_SetDate">
    <vt:lpwstr>2025-11-12T14:04:32Z</vt:lpwstr>
  </property>
  <property fmtid="{D5CDD505-2E9C-101B-9397-08002B2CF9AE}" pid="17" name="MSIP_Label_2724d2c2-06b5-4830-8a42-89f80414a936_Method">
    <vt:lpwstr>Privileged</vt:lpwstr>
  </property>
  <property fmtid="{D5CDD505-2E9C-101B-9397-08002B2CF9AE}" pid="18" name="MSIP_Label_2724d2c2-06b5-4830-8a42-89f80414a936_Name">
    <vt:lpwstr>Intern</vt:lpwstr>
  </property>
  <property fmtid="{D5CDD505-2E9C-101B-9397-08002B2CF9AE}" pid="19" name="MSIP_Label_2724d2c2-06b5-4830-8a42-89f80414a936_SiteId">
    <vt:lpwstr>1ec46890-73f8-4a2a-9b2c-9a6611f1c922</vt:lpwstr>
  </property>
  <property fmtid="{D5CDD505-2E9C-101B-9397-08002B2CF9AE}" pid="20" name="MSIP_Label_2724d2c2-06b5-4830-8a42-89f80414a936_ActionId">
    <vt:lpwstr>4bd84c1b-47e8-425a-b75e-14ec83d09deb</vt:lpwstr>
  </property>
  <property fmtid="{D5CDD505-2E9C-101B-9397-08002B2CF9AE}" pid="21" name="MSIP_Label_2724d2c2-06b5-4830-8a42-89f80414a936_ContentBits">
    <vt:lpwstr>0</vt:lpwstr>
  </property>
  <property fmtid="{D5CDD505-2E9C-101B-9397-08002B2CF9AE}" pid="22" name="MSIP_Label_2724d2c2-06b5-4830-8a42-89f80414a936_Tag">
    <vt:lpwstr>10, 0, 1, 1</vt:lpwstr>
  </property>
</Properties>
</file>