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1F3C" w:val="clear"/>
        <w:spacing w:before="0" w:after="0"/>
      </w:pPr>
      <w:r>
        <w:t xml:space="preserve"/>
      </w:r>
    </w:p>
    <w:p>
      <w:pPr>
        <w:spacing w:before="600" w:after="0"/>
      </w:pPr>
      <w:r>
        <w:rPr>
          <w:rFonts w:ascii="Arial" w:cs="Arial" w:eastAsia="Arial" w:hAnsi="Arial"/>
          <w:b/>
          <w:bCs/>
          <w:color w:val="FFFFFF"/>
          <w:sz w:val="64"/>
          <w:szCs w:val="64"/>
        </w:rPr>
        <w:t xml:space="preserve">JARVIS MINER SERVICE</w:t>
      </w:r>
    </w:p>
    <w:p>
      <w:pPr>
        <w:spacing w:before="40" w:after="80"/>
      </w:pPr>
      <w:r>
        <w:rPr>
          <w:rFonts w:ascii="Arial" w:cs="Arial" w:eastAsia="Arial" w:hAnsi="Arial"/>
          <w:color w:val="D6E8F7"/>
          <w:sz w:val="32"/>
          <w:szCs w:val="32"/>
        </w:rPr>
        <w:t xml:space="preserve">Tool Contract &amp; MVP Workflow</w:t>
      </w:r>
    </w:p>
    <w:p>
      <w:pPr>
        <w:spacing w:before="0" w:after="60"/>
      </w:pPr>
      <w:r>
        <w:rPr>
          <w:rFonts w:ascii="Arial" w:cs="Arial" w:eastAsia="Arial" w:hAnsi="Arial"/>
          <w:color w:val="888888"/>
          <w:sz w:val="24"/>
          <w:szCs w:val="24"/>
        </w:rPr>
        <w:t xml:space="preserve">Tooling Track: Registration · Tracking · Budgeting</w:t>
      </w:r>
    </w:p>
    <w:p>
      <w:pPr>
        <w:spacing w:before="0" w:after="80"/>
      </w:pPr>
      <w:r>
        <w:rPr>
          <w:rFonts w:ascii="Arial" w:cs="Arial" w:eastAsia="Arial" w:hAnsi="Arial"/>
          <w:i/>
          <w:iCs/>
          <w:color w:val="888888"/>
          <w:sz w:val="20"/>
          <w:szCs w:val="20"/>
        </w:rPr>
        <w:t xml:space="preserve">Version 1.0 — Stage 1 MVP Specification</w:t>
      </w:r>
    </w:p>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563A8" w:val="clear"/>
            <w:tcMar>
              <w:top w:type="dxa" w:w="140"/>
              <w:left w:type="dxa" w:w="180"/>
              <w:bottom w:type="dxa" w:w="140"/>
              <w:right w:type="dxa" w:w="180"/>
            </w:tcMar>
          </w:tcPr>
          <w:p>
            <w:pPr>
              <w:jc w:val="center"/>
            </w:pPr>
            <w:r>
              <w:rPr>
                <w:rFonts w:ascii="Arial" w:cs="Arial" w:eastAsia="Arial" w:hAnsi="Arial"/>
                <w:b/>
                <w:bCs/>
                <w:color w:val="FFFFFF"/>
                <w:sz w:val="24"/>
                <w:szCs w:val="24"/>
              </w:rPr>
              <w:t xml:space="preserve">REGISTRATION</w:t>
            </w:r>
          </w:p>
          <w:p>
            <w:pPr>
              <w:jc w:val="center"/>
            </w:pPr>
            <w:r>
              <w:rPr>
                <w:rFonts w:ascii="Arial" w:cs="Arial" w:eastAsia="Arial" w:hAnsi="Arial"/>
                <w:color w:val="D6E8F7"/>
                <w:sz w:val="20"/>
                <w:szCs w:val="20"/>
              </w:rPr>
              <w:t xml:space="preserve">4 Tools</w:t>
            </w:r>
          </w:p>
          <w:p>
            <w:pPr>
              <w:jc w:val="center"/>
            </w:pPr>
            <w:r>
              <w:rPr>
                <w:rFonts w:ascii="Arial" w:cs="Arial" w:eastAsia="Arial" w:hAnsi="Arial"/>
                <w:i/>
                <w:iCs/>
                <w:color w:val="D6E8F7"/>
                <w:sz w:val="18"/>
                <w:szCs w:val="18"/>
              </w:rPr>
              <w:t xml:space="preserve">R-01  R-02  R-03  R-04</w:t>
            </w:r>
          </w:p>
        </w:tc>
        <w:tc>
          <w:tcPr>
            <w:tcW w:type="dxa" w:w="3120"/>
            <w:tcBorders>
              <w:top w:val="single" w:color="CCCCCC" w:sz="1"/>
              <w:left w:val="single" w:color="CCCCCC" w:sz="1"/>
              <w:bottom w:val="single" w:color="CCCCCC" w:sz="1"/>
              <w:right w:val="single" w:color="CCCCCC" w:sz="1"/>
            </w:tcBorders>
            <w:shd w:fill="1A3A5C" w:val="clear"/>
            <w:tcMar>
              <w:top w:type="dxa" w:w="140"/>
              <w:left w:type="dxa" w:w="180"/>
              <w:bottom w:type="dxa" w:w="140"/>
              <w:right w:type="dxa" w:w="180"/>
            </w:tcMar>
          </w:tcPr>
          <w:p>
            <w:pPr>
              <w:jc w:val="center"/>
            </w:pPr>
            <w:r>
              <w:rPr>
                <w:rFonts w:ascii="Arial" w:cs="Arial" w:eastAsia="Arial" w:hAnsi="Arial"/>
                <w:b/>
                <w:bCs/>
                <w:color w:val="FFFFFF"/>
                <w:sz w:val="24"/>
                <w:szCs w:val="24"/>
              </w:rPr>
              <w:t xml:space="preserve">TRACKING</w:t>
            </w:r>
          </w:p>
          <w:p>
            <w:pPr>
              <w:jc w:val="center"/>
            </w:pPr>
            <w:r>
              <w:rPr>
                <w:rFonts w:ascii="Arial" w:cs="Arial" w:eastAsia="Arial" w:hAnsi="Arial"/>
                <w:color w:val="D6E8F7"/>
                <w:sz w:val="20"/>
                <w:szCs w:val="20"/>
              </w:rPr>
              <w:t xml:space="preserve">4 Tools</w:t>
            </w:r>
          </w:p>
          <w:p>
            <w:pPr>
              <w:jc w:val="center"/>
            </w:pPr>
            <w:r>
              <w:rPr>
                <w:rFonts w:ascii="Arial" w:cs="Arial" w:eastAsia="Arial" w:hAnsi="Arial"/>
                <w:i/>
                <w:iCs/>
                <w:color w:val="D6E8F7"/>
                <w:sz w:val="18"/>
                <w:szCs w:val="18"/>
              </w:rPr>
              <w:t xml:space="preserve">T-01  T-02  T-03  T-04</w:t>
            </w:r>
          </w:p>
        </w:tc>
        <w:tc>
          <w:tcPr>
            <w:tcW w:type="dxa" w:w="3120"/>
            <w:tcBorders>
              <w:top w:val="single" w:color="CCCCCC" w:sz="1"/>
              <w:left w:val="single" w:color="CCCCCC" w:sz="1"/>
              <w:bottom w:val="single" w:color="CCCCCC" w:sz="1"/>
              <w:right w:val="single" w:color="CCCCCC" w:sz="1"/>
            </w:tcBorders>
            <w:shd w:fill="0D1F3C" w:val="clear"/>
            <w:tcMar>
              <w:top w:type="dxa" w:w="140"/>
              <w:left w:type="dxa" w:w="180"/>
              <w:bottom w:type="dxa" w:w="140"/>
              <w:right w:type="dxa" w:w="180"/>
            </w:tcMar>
          </w:tcPr>
          <w:p>
            <w:pPr>
              <w:jc w:val="center"/>
            </w:pPr>
            <w:r>
              <w:rPr>
                <w:rFonts w:ascii="Arial" w:cs="Arial" w:eastAsia="Arial" w:hAnsi="Arial"/>
                <w:b/>
                <w:bCs/>
                <w:color w:val="FFFFFF"/>
                <w:sz w:val="24"/>
                <w:szCs w:val="24"/>
              </w:rPr>
              <w:t xml:space="preserve">BUDGETING</w:t>
            </w:r>
          </w:p>
          <w:p>
            <w:pPr>
              <w:jc w:val="center"/>
            </w:pPr>
            <w:r>
              <w:rPr>
                <w:rFonts w:ascii="Arial" w:cs="Arial" w:eastAsia="Arial" w:hAnsi="Arial"/>
                <w:color w:val="D6E8F7"/>
                <w:sz w:val="20"/>
                <w:szCs w:val="20"/>
              </w:rPr>
              <w:t xml:space="preserve">3 Tools</w:t>
            </w:r>
          </w:p>
          <w:p>
            <w:pPr>
              <w:jc w:val="center"/>
            </w:pPr>
            <w:r>
              <w:rPr>
                <w:rFonts w:ascii="Arial" w:cs="Arial" w:eastAsia="Arial" w:hAnsi="Arial"/>
                <w:i/>
                <w:iCs/>
                <w:color w:val="D6E8F7"/>
                <w:sz w:val="18"/>
                <w:szCs w:val="18"/>
              </w:rPr>
              <w:t xml:space="preserve">B-01  B-02  B-03</w:t>
            </w:r>
          </w:p>
        </w:tc>
      </w:tr>
    </w:tbl>
    <w:p>
      <w:pPr>
        <w:spacing w:before="0" w:after="240"/>
      </w:pPr>
      <w:r>
        <w:t xml:space="preserve"/>
      </w:r>
    </w:p>
    <w:p>
      <w:pPr>
        <w:spacing w:before="0" w:after="0"/>
      </w:pPr>
      <w:r>
        <w:rPr>
          <w:rFonts w:ascii="Arial" w:cs="Arial" w:eastAsia="Arial" w:hAnsi="Arial"/>
          <w:i/>
          <w:iCs/>
          <w:color w:val="888888"/>
          <w:sz w:val="20"/>
          <w:szCs w:val="20"/>
        </w:rPr>
        <w:t xml:space="preserve">11 tools  ·  3 phases  ·  6 build sprints  ·  Full MVP workflow</w:t>
      </w:r>
    </w:p>
    <w:p>
      <w:pPr>
        <w:spacing w:before="0" w:after="240"/>
      </w:pPr>
      <w:r>
        <w:t xml:space="preserve"/>
      </w:r>
    </w:p>
    <w:p>
      <w:r>
        <w:br w:type="page"/>
      </w:r>
    </w:p>
    <w:p>
      <w:pPr>
        <w:pStyle w:val="Heading1"/>
        <w:shd w:fill="0D1F3C" w:val="clear"/>
        <w:spacing w:before="400" w:after="160"/>
        <w:ind w:left="200" w:right="200"/>
      </w:pPr>
      <w:r>
        <w:rPr>
          <w:rFonts w:ascii="Arial" w:cs="Arial" w:eastAsia="Arial" w:hAnsi="Arial"/>
          <w:b/>
          <w:bCs/>
          <w:color w:val="D6E8F7"/>
          <w:sz w:val="32"/>
          <w:szCs w:val="32"/>
        </w:rPr>
        <w:t xml:space="preserve">01  </w:t>
      </w:r>
      <w:r>
        <w:rPr>
          <w:rFonts w:ascii="Arial" w:cs="Arial" w:eastAsia="Arial" w:hAnsi="Arial"/>
          <w:b/>
          <w:bCs/>
          <w:color w:val="FFFFFF"/>
          <w:sz w:val="32"/>
          <w:szCs w:val="32"/>
        </w:rPr>
        <w:t xml:space="preserve">OVERVIEW</w:t>
      </w:r>
    </w:p>
    <w:p>
      <w:pPr>
        <w:spacing w:before="0" w:after="120"/>
      </w:pPr>
      <w:r>
        <w:t xml:space="preserve"/>
      </w:r>
    </w:p>
    <w:p>
      <w:pPr>
        <w:spacing w:before="60" w:after="60"/>
      </w:pPr>
      <w:r>
        <w:rPr>
          <w:rFonts w:ascii="Arial" w:cs="Arial" w:eastAsia="Arial" w:hAnsi="Arial"/>
          <w:color w:val="444444"/>
          <w:sz w:val="22"/>
          <w:szCs w:val="22"/>
        </w:rPr>
        <w:t xml:space="preserve">This document specifies the complete tooling contract for the Jarvis Miner Service. It covers three operational tracks — Registration, Tracking, and Budgeting — and defines every tool required to run a competitive, multi-subnet Bittensor miner pool from Stage 1 through full production.</w:t>
      </w:r>
    </w:p>
    <w:p>
      <w:pPr>
        <w:spacing w:before="0" w:after="120"/>
      </w:pPr>
      <w:r>
        <w:t xml:space="preserve"/>
      </w:r>
    </w:p>
    <w:p>
      <w:pPr>
        <w:spacing w:before="60" w:after="60"/>
      </w:pPr>
      <w:r>
        <w:rPr>
          <w:rFonts w:ascii="Arial" w:cs="Arial" w:eastAsia="Arial" w:hAnsi="Arial"/>
          <w:color w:val="444444"/>
          <w:sz w:val="22"/>
          <w:szCs w:val="22"/>
        </w:rPr>
        <w:t xml:space="preserve">Each tool entry defines:</w:t>
      </w:r>
    </w:p>
    <w:p>
      <w:pPr>
        <w:pStyle w:val="ListParagraph"/>
        <w:numPr>
          <w:ilvl w:val="0"/>
          <w:numId w:val="2"/>
        </w:numPr>
        <w:spacing w:before="50" w:after="50"/>
      </w:pPr>
      <w:r>
        <w:rPr>
          <w:rFonts w:ascii="Arial" w:cs="Arial" w:eastAsia="Arial" w:hAnsi="Arial"/>
          <w:b/>
          <w:bCs/>
          <w:color w:val="1A3A5C"/>
          <w:sz w:val="22"/>
          <w:szCs w:val="22"/>
        </w:rPr>
        <w:t xml:space="preserve">Purpose — </w:t>
      </w:r>
      <w:r>
        <w:rPr>
          <w:rFonts w:ascii="Arial" w:cs="Arial" w:eastAsia="Arial" w:hAnsi="Arial"/>
          <w:color w:val="444444"/>
          <w:sz w:val="22"/>
          <w:szCs w:val="22"/>
        </w:rPr>
        <w:t xml:space="preserve">what the tool does and why it is needed</w:t>
      </w:r>
    </w:p>
    <w:p>
      <w:pPr>
        <w:pStyle w:val="ListParagraph"/>
        <w:numPr>
          <w:ilvl w:val="0"/>
          <w:numId w:val="2"/>
        </w:numPr>
        <w:spacing w:before="50" w:after="50"/>
      </w:pPr>
      <w:r>
        <w:rPr>
          <w:rFonts w:ascii="Arial" w:cs="Arial" w:eastAsia="Arial" w:hAnsi="Arial"/>
          <w:b/>
          <w:bCs/>
          <w:color w:val="1A3A5C"/>
          <w:sz w:val="22"/>
          <w:szCs w:val="22"/>
        </w:rPr>
        <w:t xml:space="preserve">Trigger — </w:t>
      </w:r>
      <w:r>
        <w:rPr>
          <w:rFonts w:ascii="Arial" w:cs="Arial" w:eastAsia="Arial" w:hAnsi="Arial"/>
          <w:color w:val="444444"/>
          <w:sz w:val="22"/>
          <w:szCs w:val="22"/>
        </w:rPr>
        <w:t xml:space="preserve">what event causes the tool to run</w:t>
      </w:r>
    </w:p>
    <w:p>
      <w:pPr>
        <w:pStyle w:val="ListParagraph"/>
        <w:numPr>
          <w:ilvl w:val="0"/>
          <w:numId w:val="2"/>
        </w:numPr>
        <w:spacing w:before="50" w:after="50"/>
      </w:pPr>
      <w:r>
        <w:rPr>
          <w:rFonts w:ascii="Arial" w:cs="Arial" w:eastAsia="Arial" w:hAnsi="Arial"/>
          <w:b/>
          <w:bCs/>
          <w:color w:val="1A3A5C"/>
          <w:sz w:val="22"/>
          <w:szCs w:val="22"/>
        </w:rPr>
        <w:t xml:space="preserve">Inputs — </w:t>
      </w:r>
      <w:r>
        <w:rPr>
          <w:rFonts w:ascii="Arial" w:cs="Arial" w:eastAsia="Arial" w:hAnsi="Arial"/>
          <w:color w:val="444444"/>
          <w:sz w:val="22"/>
          <w:szCs w:val="22"/>
        </w:rPr>
        <w:t xml:space="preserve">all parameters the tool requires</w:t>
      </w:r>
    </w:p>
    <w:p>
      <w:pPr>
        <w:pStyle w:val="ListParagraph"/>
        <w:numPr>
          <w:ilvl w:val="0"/>
          <w:numId w:val="2"/>
        </w:numPr>
        <w:spacing w:before="50" w:after="50"/>
      </w:pPr>
      <w:r>
        <w:rPr>
          <w:rFonts w:ascii="Arial" w:cs="Arial" w:eastAsia="Arial" w:hAnsi="Arial"/>
          <w:b/>
          <w:bCs/>
          <w:color w:val="1A3A5C"/>
          <w:sz w:val="22"/>
          <w:szCs w:val="22"/>
        </w:rPr>
        <w:t xml:space="preserve">Outputs — </w:t>
      </w:r>
      <w:r>
        <w:rPr>
          <w:rFonts w:ascii="Arial" w:cs="Arial" w:eastAsia="Arial" w:hAnsi="Arial"/>
          <w:color w:val="444444"/>
          <w:sz w:val="22"/>
          <w:szCs w:val="22"/>
        </w:rPr>
        <w:t xml:space="preserve">what the tool produces and where it goes</w:t>
      </w:r>
    </w:p>
    <w:p>
      <w:pPr>
        <w:pStyle w:val="ListParagraph"/>
        <w:numPr>
          <w:ilvl w:val="0"/>
          <w:numId w:val="2"/>
        </w:numPr>
        <w:spacing w:before="50" w:after="50"/>
      </w:pPr>
      <w:r>
        <w:rPr>
          <w:rFonts w:ascii="Arial" w:cs="Arial" w:eastAsia="Arial" w:hAnsi="Arial"/>
          <w:b/>
          <w:bCs/>
          <w:color w:val="1A3A5C"/>
          <w:sz w:val="22"/>
          <w:szCs w:val="22"/>
        </w:rPr>
        <w:t xml:space="preserve">Implementation — </w:t>
      </w:r>
      <w:r>
        <w:rPr>
          <w:rFonts w:ascii="Arial" w:cs="Arial" w:eastAsia="Arial" w:hAnsi="Arial"/>
          <w:color w:val="444444"/>
          <w:sz w:val="22"/>
          <w:szCs w:val="22"/>
        </w:rPr>
        <w:t xml:space="preserve">the technical approach and key methods</w:t>
      </w:r>
    </w:p>
    <w:p>
      <w:pPr>
        <w:pStyle w:val="ListParagraph"/>
        <w:numPr>
          <w:ilvl w:val="0"/>
          <w:numId w:val="2"/>
        </w:numPr>
        <w:spacing w:before="50" w:after="50"/>
      </w:pPr>
      <w:r>
        <w:rPr>
          <w:rFonts w:ascii="Arial" w:cs="Arial" w:eastAsia="Arial" w:hAnsi="Arial"/>
          <w:b/>
          <w:bCs/>
          <w:color w:val="1A3A5C"/>
          <w:sz w:val="22"/>
          <w:szCs w:val="22"/>
        </w:rPr>
        <w:t xml:space="preserve">Schema / Pattern — </w:t>
      </w:r>
      <w:r>
        <w:rPr>
          <w:rFonts w:ascii="Arial" w:cs="Arial" w:eastAsia="Arial" w:hAnsi="Arial"/>
          <w:color w:val="444444"/>
          <w:sz w:val="22"/>
          <w:szCs w:val="22"/>
        </w:rPr>
        <w:t xml:space="preserve">code pattern or data structure where applicable</w:t>
      </w:r>
    </w:p>
    <w:p>
      <w:pPr>
        <w:spacing w:before="0" w:after="240"/>
      </w:pPr>
      <w:r>
        <w:t xml:space="preserve"/>
      </w:r>
    </w:p>
    <w:p>
      <w:pPr>
        <w:spacing w:before="60" w:after="60"/>
      </w:pPr>
      <w:r>
        <w:rPr>
          <w:rFonts w:ascii="Arial" w:cs="Arial" w:eastAsia="Arial" w:hAnsi="Arial"/>
          <w:b/>
          <w:bCs/>
          <w:color w:val="444444"/>
          <w:sz w:val="22"/>
          <w:szCs w:val="22"/>
        </w:rPr>
        <w:t xml:space="preserve">Phase classification:</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A6B3C"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CORE</w:t>
            </w:r>
          </w:p>
        </w:tc>
        <w:tc>
          <w:tcPr>
            <w:tcW w:type="dxa" w:w="7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44444"/>
                <w:sz w:val="20"/>
                <w:szCs w:val="20"/>
              </w:rPr>
              <w:t xml:space="preserve">Required for Stage 1. The operational cycle cannot close without it.</w:t>
            </w:r>
          </w:p>
        </w:tc>
      </w:tr>
      <w:tr>
        <w:tc>
          <w:tcPr>
            <w:tcW w:type="dxa" w:w="1400"/>
            <w:tcBorders>
              <w:top w:val="single" w:color="CCCCCC" w:sz="1"/>
              <w:left w:val="single" w:color="CCCCCC" w:sz="1"/>
              <w:bottom w:val="single" w:color="CCCCCC" w:sz="1"/>
              <w:right w:val="single" w:color="CCCCCC" w:sz="1"/>
            </w:tcBorders>
            <w:shd w:fill="8A5C00"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PHASE 2</w:t>
            </w:r>
          </w:p>
        </w:tc>
        <w:tc>
          <w:tcPr>
            <w:tcW w:type="dxa" w:w="7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44444"/>
                <w:sz w:val="20"/>
                <w:szCs w:val="20"/>
              </w:rPr>
              <w:t xml:space="preserve">Needed when scaling to multiple subnets or expanding the operator network.</w:t>
            </w:r>
          </w:p>
        </w:tc>
      </w:tr>
      <w:tr>
        <w:tc>
          <w:tcPr>
            <w:tcW w:type="dxa" w:w="1400"/>
            <w:tcBorders>
              <w:top w:val="single" w:color="CCCCCC" w:sz="1"/>
              <w:left w:val="single" w:color="CCCCCC" w:sz="1"/>
              <w:bottom w:val="single" w:color="CCCCCC" w:sz="1"/>
              <w:right w:val="single" w:color="CCCCCC" w:sz="1"/>
            </w:tcBorders>
            <w:shd w:fill="4A5568"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PHASE 3</w:t>
            </w:r>
          </w:p>
        </w:tc>
        <w:tc>
          <w:tcPr>
            <w:tcW w:type="dxa" w:w="7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44444"/>
                <w:sz w:val="20"/>
                <w:szCs w:val="20"/>
              </w:rPr>
              <w:t xml:space="preserve">Advanced automation, compliance and tax tooling for full production operations.</w:t>
            </w:r>
          </w:p>
        </w:tc>
      </w:tr>
    </w:tbl>
    <w:p>
      <w:pPr>
        <w:spacing w:before="0" w:after="240"/>
      </w:pPr>
      <w:r>
        <w:t xml:space="preserve"/>
      </w:r>
    </w:p>
    <w:p>
      <w:pPr>
        <w:pStyle w:val="Heading2"/>
        <w:pBdr>
          <w:bottom w:val="single" w:color="2563A8" w:sz="4"/>
        </w:pBdr>
        <w:spacing w:before="280" w:after="100"/>
      </w:pPr>
      <w:r>
        <w:rPr>
          <w:rFonts w:ascii="Arial" w:cs="Arial" w:eastAsia="Arial" w:hAnsi="Arial"/>
          <w:b/>
          <w:bCs/>
          <w:color w:val="1A3A5C"/>
          <w:sz w:val="26"/>
          <w:szCs w:val="26"/>
        </w:rPr>
        <w:t xml:space="preserve">System Context</w:t>
      </w:r>
    </w:p>
    <w:p>
      <w:pPr>
        <w:spacing w:before="60" w:after="60"/>
      </w:pPr>
      <w:r>
        <w:rPr>
          <w:rFonts w:ascii="Arial" w:cs="Arial" w:eastAsia="Arial" w:hAnsi="Arial"/>
          <w:color w:val="444444"/>
          <w:sz w:val="22"/>
          <w:szCs w:val="22"/>
        </w:rPr>
        <w:t xml:space="preserve">The Jarvis Miner Service operates as the Orchestrator layer within a miner pool architecture. The Orchestrator holds the single registered hotkey on Bittensor. Behind it, a network of Personal Operators executes the actual tasks. All tools described here serve the Orchestrator — managing its slots, monitoring its health, and measuring its profitability.</w:t>
      </w:r>
    </w:p>
    <w:p>
      <w:pPr>
        <w:spacing w:before="0" w:after="120"/>
      </w:pPr>
      <w:r>
        <w:t xml:space="preserve"/>
      </w:r>
    </w:p>
    <w:p>
      <w:pPr>
        <w:spacing w:before="60" w:after="60"/>
      </w:pPr>
      <w:r>
        <w:rPr>
          <w:rFonts w:ascii="Arial" w:cs="Arial" w:eastAsia="Arial" w:hAnsi="Arial"/>
          <w:color w:val="444444"/>
          <w:sz w:val="22"/>
          <w:szCs w:val="22"/>
        </w:rPr>
        <w:t xml:space="preserve">Bittensor only ever sees the Orchestrator hotkey. The tooling layer ensures that hotkey stays registered, competitive, and profitable at all times.</w:t>
      </w:r>
    </w:p>
    <w:p>
      <w:pPr>
        <w:spacing w:before="0" w:after="240"/>
      </w:pPr>
      <w:r>
        <w:t xml:space="preserve"/>
      </w:r>
    </w:p>
    <w:p>
      <w:r>
        <w:br w:type="page"/>
      </w:r>
    </w:p>
    <w:p>
      <w:pPr>
        <w:pStyle w:val="Heading1"/>
        <w:shd w:fill="0D1F3C" w:val="clear"/>
        <w:spacing w:before="400" w:after="160"/>
        <w:ind w:left="200" w:right="200"/>
      </w:pPr>
      <w:r>
        <w:rPr>
          <w:rFonts w:ascii="Arial" w:cs="Arial" w:eastAsia="Arial" w:hAnsi="Arial"/>
          <w:b/>
          <w:bCs/>
          <w:color w:val="D6E8F7"/>
          <w:sz w:val="32"/>
          <w:szCs w:val="32"/>
        </w:rPr>
        <w:t xml:space="preserve">02  </w:t>
      </w:r>
      <w:r>
        <w:rPr>
          <w:rFonts w:ascii="Arial" w:cs="Arial" w:eastAsia="Arial" w:hAnsi="Arial"/>
          <w:b/>
          <w:bCs/>
          <w:color w:val="FFFFFF"/>
          <w:sz w:val="32"/>
          <w:szCs w:val="32"/>
        </w:rPr>
        <w:t xml:space="preserve">REGISTRATION TOOLS</w:t>
      </w:r>
    </w:p>
    <w:p>
      <w:pPr>
        <w:spacing w:before="0" w:after="120"/>
      </w:pPr>
      <w:r>
        <w:t xml:space="preserve"/>
      </w:r>
    </w:p>
    <w:p>
      <w:pPr>
        <w:spacing w:before="60" w:after="60"/>
      </w:pPr>
      <w:r>
        <w:rPr>
          <w:rFonts w:ascii="Arial" w:cs="Arial" w:eastAsia="Arial" w:hAnsi="Arial"/>
          <w:color w:val="444444"/>
          <w:sz w:val="22"/>
          <w:szCs w:val="22"/>
        </w:rPr>
        <w:t xml:space="preserve">Registration tools manage the full lifecycle of subnet slot acquisition. They cover price monitoring, automated slot entry, deregistration detection, and multi-subnet coordination. These are the highest operational priority tools — without them, the miner cannot enter or stay in the network.</w:t>
      </w:r>
    </w:p>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1A3A5C" w:val="clear"/>
            <w:tcMar>
              <w:top w:type="dxa" w:w="100"/>
              <w:left w:type="dxa" w:w="180"/>
              <w:bottom w:type="dxa" w:w="100"/>
              <w:right w:type="dxa" w:w="180"/>
            </w:tcMar>
          </w:tcPr>
          <w:p>
            <w:r>
              <w:rPr>
                <w:rFonts w:ascii="Arial" w:cs="Arial" w:eastAsia="Arial" w:hAnsi="Arial"/>
                <w:b/>
                <w:bCs/>
                <w:color w:val="FFFFFF"/>
                <w:sz w:val="26"/>
                <w:szCs w:val="26"/>
              </w:rPr>
              <w:t xml:space="preserve">R-01 — Registration Price Monitor</w:t>
            </w:r>
            <w:r>
              <w:t xml:space="preserve">      </w:t>
            </w:r>
            <w:r>
              <w:rPr>
                <w:rFonts w:ascii="Arial" w:cs="Arial" w:eastAsia="Arial" w:hAnsi="Arial"/>
                <w:b/>
                <w:bCs/>
                <w:color w:val="D6E8F7"/>
                <w:sz w:val="20"/>
                <w:szCs w:val="20"/>
              </w:rPr>
              <w:t xml:space="preserve">[ CORE ]</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Continuously polls taostats.io for the current burn cost (registration fee) on a specified subnet. Compares the live price against a configured threshold and dispatches an alert to Discord when the price is at or below the threshold. Enables the operator to register at optimal cost rather than overpaying during high-demand periods.</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Trigger</w:t>
            </w:r>
          </w:p>
        </w:tc>
        <w:tc>
          <w:tcPr>
            <w:tcW w:type="dxa" w:w="736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color w:val="444444"/>
                <w:sz w:val="20"/>
                <w:szCs w:val="20"/>
              </w:rPr>
              <w:t xml:space="preserve">Scheduled cron job running every 5 minutes per monitored subnet. Also invocable manually via CLI for an immediate price check.</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Inputs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netuid (int) — target subnet ID. price_threshold_tao (float) — alert trigger level in TAO. alert_channel (str) — Discord webhook URL. poll_interval_seconds (int, default 300).</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Outputs</w:t>
            </w:r>
          </w:p>
        </w:tc>
        <w:tc>
          <w:tcPr>
            <w:tcW w:type="dxa" w:w="736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color w:val="444444"/>
                <w:sz w:val="20"/>
                <w:szCs w:val="20"/>
              </w:rPr>
              <w:t xml:space="preserve">Live burn cost in TAO. Price trend direction (rising / stable / falling). Discord webhook alert when price_threshold_tao is met or crossed. Price history log appended to price_history.json.</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Implementation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Fetch registration cost from taostats API endpoint for the given netuid. Compare burn_cost_tao against price_threshold_tao. On threshold breach, POST to Discord webhook with subnet ID, current price, and timestamp. Log all readings to price_history.json for trend analysis.</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Schema / Pattern</w:t>
            </w:r>
          </w:p>
        </w:tc>
        <w:tc>
          <w:tcPr>
            <w:tcW w:type="dxa" w:w="73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Courier New" w:cs="Courier New" w:eastAsia="Courier New" w:hAnsi="Courier New"/>
                <w:color w:val="1A1A1A"/>
                <w:sz w:val="19"/>
                <w:szCs w:val="19"/>
              </w:rPr>
              <w:t xml:space="preserve">GET https://taostats.io/api/subnets/{netuid}
parse: burn_cost_tao
if burn_cost_tao &lt;= price_threshold_tao:
  POST alert to webhook
append to price_history.json: {netuid, cost, ts}</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1A3A5C" w:val="clear"/>
            <w:tcMar>
              <w:top w:type="dxa" w:w="100"/>
              <w:left w:type="dxa" w:w="180"/>
              <w:bottom w:type="dxa" w:w="100"/>
              <w:right w:type="dxa" w:w="180"/>
            </w:tcMar>
          </w:tcPr>
          <w:p>
            <w:r>
              <w:rPr>
                <w:rFonts w:ascii="Arial" w:cs="Arial" w:eastAsia="Arial" w:hAnsi="Arial"/>
                <w:b/>
                <w:bCs/>
                <w:color w:val="FFFFFF"/>
                <w:sz w:val="26"/>
                <w:szCs w:val="26"/>
              </w:rPr>
              <w:t xml:space="preserve">R-02 — Automated Registration Script</w:t>
            </w:r>
            <w:r>
              <w:t xml:space="preserve">      </w:t>
            </w:r>
            <w:r>
              <w:rPr>
                <w:rFonts w:ascii="Arial" w:cs="Arial" w:eastAsia="Arial" w:hAnsi="Arial"/>
                <w:b/>
                <w:bCs/>
                <w:color w:val="D6E8F7"/>
                <w:sz w:val="20"/>
                <w:szCs w:val="20"/>
              </w:rPr>
              <w:t xml:space="preserve">[ CORE ]</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Executes subnet registration for a specified hotkey without requiring manual password entry. Uses environment variables to handle wallet decryption, enabling fully automated registration when triggered by R-01's price alert. Ensures the operator can act within seconds of a favorable price window without human intervention.</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Trigger</w:t>
            </w:r>
          </w:p>
        </w:tc>
        <w:tc>
          <w:tcPr>
            <w:tcW w:type="dxa" w:w="736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color w:val="444444"/>
                <w:sz w:val="20"/>
                <w:szCs w:val="20"/>
              </w:rPr>
              <w:t xml:space="preserve">Triggered automatically by R-01 when price threshold is breached. Can also be invoked manually via CLI when the operator chooses to register regardless of price.</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Inputs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netuid (int). wallet_name (str). hotkey_name (str). Environment variable: BT_COLD_PW_&lt;wallet_name&gt; (wallet decryption password stored securely). max_spend_tao (float, optional safety cap to prevent accidental overpayment).</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Outputs</w:t>
            </w:r>
          </w:p>
        </w:tc>
        <w:tc>
          <w:tcPr>
            <w:tcW w:type="dxa" w:w="736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color w:val="444444"/>
                <w:sz w:val="20"/>
                <w:szCs w:val="20"/>
              </w:rPr>
              <w:t xml:space="preserve">Registration transaction hash. Confirmation status (success / failed). TAO amount spent on this registration. Entry written to B-01 budget ledger: {netuid, tao_spent, usd_equiv, timestamp, tx_hash, hotkey}.</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Implementation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Load wallet password from environment variable. Execute btcli registration command for the target netuid. On success, capture the transaction hash and TAO cost. Write a ledger entry to budget_ledger.json via B-01. If max_spend_tao is set, abort before execution if current burn cost exceeds the cap.</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Schema / Pattern</w:t>
            </w:r>
          </w:p>
        </w:tc>
        <w:tc>
          <w:tcPr>
            <w:tcW w:type="dxa" w:w="73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Courier New" w:cs="Courier New" w:eastAsia="Courier New" w:hAnsi="Courier New"/>
                <w:color w:val="1A1A1A"/>
                <w:sz w:val="19"/>
                <w:szCs w:val="19"/>
              </w:rPr>
              <w:t xml:space="preserve">export BT_COLD_PW_&lt;wallet&gt;='&lt;password&gt;'
btcli subnets register \
  --netuid &lt;netuid&gt; \
  --wallet.name &lt;name&gt; \
  --wallet.hotkey &lt;hotkey&gt;
on success:
  write to budget_ledger.json</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1A3A5C" w:val="clear"/>
            <w:tcMar>
              <w:top w:type="dxa" w:w="100"/>
              <w:left w:type="dxa" w:w="180"/>
              <w:bottom w:type="dxa" w:w="100"/>
              <w:right w:type="dxa" w:w="180"/>
            </w:tcMar>
          </w:tcPr>
          <w:p>
            <w:r>
              <w:rPr>
                <w:rFonts w:ascii="Arial" w:cs="Arial" w:eastAsia="Arial" w:hAnsi="Arial"/>
                <w:b/>
                <w:bCs/>
                <w:color w:val="FFFFFF"/>
                <w:sz w:val="26"/>
                <w:szCs w:val="26"/>
              </w:rPr>
              <w:t xml:space="preserve">R-03 — Deregistration Monitor</w:t>
            </w:r>
            <w:r>
              <w:t xml:space="preserve">      </w:t>
            </w:r>
            <w:r>
              <w:rPr>
                <w:rFonts w:ascii="Arial" w:cs="Arial" w:eastAsia="Arial" w:hAnsi="Arial"/>
                <w:b/>
                <w:bCs/>
                <w:color w:val="D6E8F7"/>
                <w:sz w:val="20"/>
                <w:szCs w:val="20"/>
              </w:rPr>
              <w:t xml:space="preserve">[ CORE ]</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Monitors the Bittensor metagraph to detect whether a registered hotkey has been removed from a subnet. When a miner's incentive score falls to the bottom tier of the subnet, Bittensor deregisters the lowest performers to make room for new entrants. This tool provides immediate notification so the operator can stop paying for the cloud instance and decide whether to re-register.</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Trigger</w:t>
            </w:r>
          </w:p>
        </w:tc>
        <w:tc>
          <w:tcPr>
            <w:tcW w:type="dxa" w:w="736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color w:val="444444"/>
                <w:sz w:val="20"/>
                <w:szCs w:val="20"/>
              </w:rPr>
              <w:t xml:space="preserve">Background daemon polling every 10 minutes per registered subnet. Runs continuously alongside the miner process from the moment of registration.</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Inputs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netuid (int). hotkey_address (str) — the hotkey to monitor. alert_channel (str) — Discord webhook URL. auto_shutdown (bool) — whether to emit a shutdown signal to the infra layer on deregistration. check_interval_seconds (int, default 600).</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Outputs</w:t>
            </w:r>
          </w:p>
        </w:tc>
        <w:tc>
          <w:tcPr>
            <w:tcW w:type="dxa" w:w="736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color w:val="444444"/>
                <w:sz w:val="20"/>
                <w:szCs w:val="20"/>
              </w:rPr>
              <w:t xml:space="preserve">Registration status: active or deregistered. Discord alert sent immediately on deregistration with subnet ID, hotkey, and timestamp. Shutdown signal emitted to infra layer if auto_shutdown is enabled. Deregistration event logged to events_log.json.</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Implementation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Fetch the metagraph for the specified netuid using the Bittensor Python SDK. Check whether the monitored hotkey address appears in metagraph.hotkeys. If not found, fire the Discord alert, log the deregistration event, and emit the shutdown signal. Re-trigger R-01 to begin watching for re-registration opportunity.</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Schema / Pattern</w:t>
            </w:r>
          </w:p>
        </w:tc>
        <w:tc>
          <w:tcPr>
            <w:tcW w:type="dxa" w:w="73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Courier New" w:cs="Courier New" w:eastAsia="Courier New" w:hAnsi="Courier New"/>
                <w:color w:val="1A1A1A"/>
                <w:sz w:val="19"/>
                <w:szCs w:val="19"/>
              </w:rPr>
              <w:t xml:space="preserve">import bittensor as bt
mg = bt.metagraph(netuid=&lt;netuid&gt;)
if hotkey_address not in mg.hotkeys:
  POST alert to webhook
  log to events_log.json
  if auto_shutdown: emit_shutdown()</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1A3A5C" w:val="clear"/>
            <w:tcMar>
              <w:top w:type="dxa" w:w="100"/>
              <w:left w:type="dxa" w:w="180"/>
              <w:bottom w:type="dxa" w:w="100"/>
              <w:right w:type="dxa" w:w="180"/>
            </w:tcMar>
          </w:tcPr>
          <w:p>
            <w:r>
              <w:rPr>
                <w:rFonts w:ascii="Arial" w:cs="Arial" w:eastAsia="Arial" w:hAnsi="Arial"/>
                <w:b/>
                <w:bCs/>
                <w:color w:val="FFFFFF"/>
                <w:sz w:val="26"/>
                <w:szCs w:val="26"/>
              </w:rPr>
              <w:t xml:space="preserve">R-04 — Multi-Subnet Registration Manager</w:t>
            </w:r>
            <w:r>
              <w:t xml:space="preserve">      </w:t>
            </w:r>
            <w:r>
              <w:rPr>
                <w:rFonts w:ascii="Arial" w:cs="Arial" w:eastAsia="Arial" w:hAnsi="Arial"/>
                <w:b/>
                <w:bCs/>
                <w:color w:val="D6E8F7"/>
                <w:sz w:val="20"/>
                <w:szCs w:val="20"/>
              </w:rPr>
              <w:t xml:space="preserve">[ PHASE 2 ]</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Orchestrates the registration lifecycle across 5 to 10 subnets simultaneously. Maintains a persistent registry of which hotkeys are registered on which subnets, their current status, and their registration cost history. Automatically queues re-registrations when slots are lost and surfaces a unified dashboard view of all subnet registrations.</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Trigger</w:t>
            </w:r>
          </w:p>
        </w:tc>
        <w:tc>
          <w:tcPr>
            <w:tcW w:type="dxa" w:w="736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color w:val="444444"/>
                <w:sz w:val="20"/>
                <w:szCs w:val="20"/>
              </w:rPr>
              <w:t xml:space="preserve">Runs as a persistent background daemon once multi-subnet operations begin. Reads subnet_config.json on startup and coordinates R-01, R-02, and R-03 for each configured subnet.</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Inputs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subnet_config.json — array of {netuid, hotkey_name, price_threshold_tao, auto_reregister (bool)}. taostats API key. alert_channel (str).</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Outputs</w:t>
            </w:r>
          </w:p>
        </w:tc>
        <w:tc>
          <w:tcPr>
            <w:tcW w:type="dxa" w:w="736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color w:val="444444"/>
                <w:sz w:val="20"/>
                <w:szCs w:val="20"/>
              </w:rPr>
              <w:t xml:space="preserve">registry_state.json — live snapshot of all subnet registration statuses. Per-subnet registration queue with priority ordering. Unified Discord alert channel with subnet-tagged notifications. Cumulative TAO spend summary across all registered subnets.</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Implementation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Load subnet_config.json. For each subnet, spawn instances of R-01 (price monitor) and R-03 (deregistration monitor). When R-03 fires a deregistration event, check auto_reregister flag and push the subnet to the re-registration queue. Process the queue by calling R-02 when R-01 confirms an acceptable price. Write all state changes to registry_state.json.</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Schema / Pattern</w:t>
            </w:r>
          </w:p>
        </w:tc>
        <w:tc>
          <w:tcPr>
            <w:tcW w:type="dxa" w:w="73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Courier New" w:cs="Courier New" w:eastAsia="Courier New" w:hAnsi="Courier New"/>
                <w:color w:val="1A1A1A"/>
                <w:sz w:val="19"/>
                <w:szCs w:val="19"/>
              </w:rPr>
              <w:t xml:space="preserve">subnet_config.json structure:
[
  {
    "netuid": 13,
    "hotkey_name": "hotkey_sn13",
    "price_threshold_tao": 0.5,
    "auto_reregister": true
  }
]</w:t>
            </w:r>
          </w:p>
        </w:tc>
      </w:tr>
    </w:tbl>
    <w:p>
      <w:pPr>
        <w:spacing w:before="0" w:after="240"/>
      </w:pPr>
      <w:r>
        <w:t xml:space="preserve"/>
      </w:r>
    </w:p>
    <w:p>
      <w:r>
        <w:br w:type="page"/>
      </w:r>
    </w:p>
    <w:p>
      <w:pPr>
        <w:pStyle w:val="Heading1"/>
        <w:shd w:fill="0D1F3C" w:val="clear"/>
        <w:spacing w:before="400" w:after="160"/>
        <w:ind w:left="200" w:right="200"/>
      </w:pPr>
      <w:r>
        <w:rPr>
          <w:rFonts w:ascii="Arial" w:cs="Arial" w:eastAsia="Arial" w:hAnsi="Arial"/>
          <w:b/>
          <w:bCs/>
          <w:color w:val="D6E8F7"/>
          <w:sz w:val="32"/>
          <w:szCs w:val="32"/>
        </w:rPr>
        <w:t xml:space="preserve">03  </w:t>
      </w:r>
      <w:r>
        <w:rPr>
          <w:rFonts w:ascii="Arial" w:cs="Arial" w:eastAsia="Arial" w:hAnsi="Arial"/>
          <w:b/>
          <w:bCs/>
          <w:color w:val="FFFFFF"/>
          <w:sz w:val="32"/>
          <w:szCs w:val="32"/>
        </w:rPr>
        <w:t xml:space="preserve">TRACKING TOOLS</w:t>
      </w:r>
    </w:p>
    <w:p>
      <w:pPr>
        <w:spacing w:before="0" w:after="120"/>
      </w:pPr>
      <w:r>
        <w:t xml:space="preserve"/>
      </w:r>
    </w:p>
    <w:p>
      <w:pPr>
        <w:spacing w:before="60" w:after="60"/>
      </w:pPr>
      <w:r>
        <w:rPr>
          <w:rFonts w:ascii="Arial" w:cs="Arial" w:eastAsia="Arial" w:hAnsi="Arial"/>
          <w:color w:val="444444"/>
          <w:sz w:val="22"/>
          <w:szCs w:val="22"/>
        </w:rPr>
        <w:t xml:space="preserve">Tracking tools provide real-time visibility into miner health and performance after registration. They tell the operator whether the miner is earning, whether it is at risk of deregistration, how each Personal Operator is contributing, and whether cloud infrastructure is funded. Without tracking, there is no basis for operational decisions.</w:t>
      </w:r>
    </w:p>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1A3A5C" w:val="clear"/>
            <w:tcMar>
              <w:top w:type="dxa" w:w="100"/>
              <w:left w:type="dxa" w:w="180"/>
              <w:bottom w:type="dxa" w:w="100"/>
              <w:right w:type="dxa" w:w="180"/>
            </w:tcMar>
          </w:tcPr>
          <w:p>
            <w:r>
              <w:rPr>
                <w:rFonts w:ascii="Arial" w:cs="Arial" w:eastAsia="Arial" w:hAnsi="Arial"/>
                <w:b/>
                <w:bCs/>
                <w:color w:val="FFFFFF"/>
                <w:sz w:val="26"/>
                <w:szCs w:val="26"/>
              </w:rPr>
              <w:t xml:space="preserve">T-01 — Reward Tracker</w:t>
            </w:r>
            <w:r>
              <w:t xml:space="preserve">      </w:t>
            </w:r>
            <w:r>
              <w:rPr>
                <w:rFonts w:ascii="Arial" w:cs="Arial" w:eastAsia="Arial" w:hAnsi="Arial"/>
                <w:b/>
                <w:bCs/>
                <w:color w:val="D6E8F7"/>
                <w:sz w:val="20"/>
                <w:szCs w:val="20"/>
              </w:rPr>
              <w:t xml:space="preserve">[ CORE ]</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Captures TAO emission data at the end of each epoch for every registered subnet. Calculates gross reward, net reward after all costs, and cumulative earnings over time. This is the primary revenue data source that feeds the Profitability Calculator (B-02).</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Trigger</w:t>
            </w:r>
          </w:p>
        </w:tc>
        <w:tc>
          <w:tcPr>
            <w:tcW w:type="dxa" w:w="736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color w:val="444444"/>
                <w:sz w:val="20"/>
                <w:szCs w:val="20"/>
              </w:rPr>
              <w:t xml:space="preserve">Runs automatically at the end of each epoch (approximately every 72 minutes). Can also be triggered manually to retrieve the current epoch's in-progress emission state.</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Inputs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hotkey_address (str). netuid (int). epoch_id (int or auto-detected). rewards_log.json path. Optional: tao_market_price (float) for real-time USD conversion.</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Outputs</w:t>
            </w:r>
          </w:p>
        </w:tc>
        <w:tc>
          <w:tcPr>
            <w:tcW w:type="dxa" w:w="736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color w:val="444444"/>
                <w:sz w:val="20"/>
                <w:szCs w:val="20"/>
              </w:rPr>
              <w:t xml:space="preserve">TAO earned in this epoch. Cumulative TAO earned since the tool started. Net TAO after subtracting registration cost for this period. Reward entry appended to rewards_log.json: {epoch_id, netuid, uid, gross_tao, net_tao, usd_equiv, timestamp}.</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Implementation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Fetch the metagraph for the specified netuid. Look up the miner's UID by hotkey address. Read metagraph.dividends[uid] and metagraph.incentive[uid] to determine the emission received. If a market price is provided, convert to USD equivalent. Append the full record to rewards_log.json.</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Schema / Pattern</w:t>
            </w:r>
          </w:p>
        </w:tc>
        <w:tc>
          <w:tcPr>
            <w:tcW w:type="dxa" w:w="73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Courier New" w:cs="Courier New" w:eastAsia="Courier New" w:hAnsi="Courier New"/>
                <w:color w:val="1A1A1A"/>
                <w:sz w:val="19"/>
                <w:szCs w:val="19"/>
              </w:rPr>
              <w:t xml:space="preserve">import bittensor as bt
mg = bt.metagraph(netuid=&lt;netuid&gt;)
uid = mg.hotkeys.index(hotkey_address)
gross_tao = mg.dividends[uid]
append to rewards_log.json:
  {epoch_id, netuid, uid, gross_tao, ts}</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1A3A5C" w:val="clear"/>
            <w:tcMar>
              <w:top w:type="dxa" w:w="100"/>
              <w:left w:type="dxa" w:w="180"/>
              <w:bottom w:type="dxa" w:w="100"/>
              <w:right w:type="dxa" w:w="180"/>
            </w:tcMar>
          </w:tcPr>
          <w:p>
            <w:r>
              <w:rPr>
                <w:rFonts w:ascii="Arial" w:cs="Arial" w:eastAsia="Arial" w:hAnsi="Arial"/>
                <w:b/>
                <w:bCs/>
                <w:color w:val="FFFFFF"/>
                <w:sz w:val="26"/>
                <w:szCs w:val="26"/>
              </w:rPr>
              <w:t xml:space="preserve">T-02 — Incentive Score Monitor</w:t>
            </w:r>
            <w:r>
              <w:t xml:space="preserve">      </w:t>
            </w:r>
            <w:r>
              <w:rPr>
                <w:rFonts w:ascii="Arial" w:cs="Arial" w:eastAsia="Arial" w:hAnsi="Arial"/>
                <w:b/>
                <w:bCs/>
                <w:color w:val="D6E8F7"/>
                <w:sz w:val="20"/>
                <w:szCs w:val="20"/>
              </w:rPr>
              <w:t xml:space="preserve">[ CORE ]</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Tracks the miner's incentive and trust scores within a subnet in real time and computes its rank relative to all other miners. Issues an alert when the score drops below a configurable safe floor, giving the operator time to improve performance before reaching the deregistration threshold. This is the primary early-warning system for competitive position.</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Trigger</w:t>
            </w:r>
          </w:p>
        </w:tc>
        <w:tc>
          <w:tcPr>
            <w:tcW w:type="dxa" w:w="736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color w:val="444444"/>
                <w:sz w:val="20"/>
                <w:szCs w:val="20"/>
              </w:rPr>
              <w:t xml:space="preserve">Runs every 30 minutes for each registered subnet. On alert, escalates check frequency to every 10 minutes until the score recovers or the operator acknowledges.</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Inputs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netuid (int). hotkey_address (str). safe_floor (float, 0 to 1) — score below which an alert is triggered. alert_channel (str). score_log.json path.</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Outputs</w:t>
            </w:r>
          </w:p>
        </w:tc>
        <w:tc>
          <w:tcPr>
            <w:tcW w:type="dxa" w:w="736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color w:val="444444"/>
                <w:sz w:val="20"/>
                <w:szCs w:val="20"/>
              </w:rPr>
              <w:t xml:space="preserve">Current incentive score (float 0 to 1). Trust score (float 0 to 1). Rank among all active miners on the subnet. Percentile position (e.g. top 15%). Discord alert with full context if score drops below safe_floor. Score entry appended to score_log.json.</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Implementation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Fetch metagraph. Look up UID by hotkey. Read metagraph.incentive[uid] and metagraph.trust[uid]. Compute rank by sorting all metagraph.incentive values and finding this miner's position. If incentive score is below safe_floor, fire alert. Log all readings to score_log.json for trend visibility.</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Schema / Pattern</w:t>
            </w:r>
          </w:p>
        </w:tc>
        <w:tc>
          <w:tcPr>
            <w:tcW w:type="dxa" w:w="73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Courier New" w:cs="Courier New" w:eastAsia="Courier New" w:hAnsi="Courier New"/>
                <w:color w:val="1A1A1A"/>
                <w:sz w:val="19"/>
                <w:szCs w:val="19"/>
              </w:rPr>
              <w:t xml:space="preserve">mg = bt.metagraph(netuid=&lt;netuid&gt;)
uid = mg.hotkeys.index(hotkey)
score = mg.incentive[uid]
all_scores = sorted(mg.incentive, reverse=True)
rank = all_scores.index(score) + 1
if score &lt; safe_floor: POST alert</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1A3A5C" w:val="clear"/>
            <w:tcMar>
              <w:top w:type="dxa" w:w="100"/>
              <w:left w:type="dxa" w:w="180"/>
              <w:bottom w:type="dxa" w:w="100"/>
              <w:right w:type="dxa" w:w="180"/>
            </w:tcMar>
          </w:tcPr>
          <w:p>
            <w:r>
              <w:rPr>
                <w:rFonts w:ascii="Arial" w:cs="Arial" w:eastAsia="Arial" w:hAnsi="Arial"/>
                <w:b/>
                <w:bCs/>
                <w:color w:val="FFFFFF"/>
                <w:sz w:val="26"/>
                <w:szCs w:val="26"/>
              </w:rPr>
              <w:t xml:space="preserve">T-03 — Personal Operator Contribution Tracker</w:t>
            </w:r>
            <w:r>
              <w:t xml:space="preserve">      </w:t>
            </w:r>
            <w:r>
              <w:rPr>
                <w:rFonts w:ascii="Arial" w:cs="Arial" w:eastAsia="Arial" w:hAnsi="Arial"/>
                <w:b/>
                <w:bCs/>
                <w:color w:val="D6E8F7"/>
                <w:sz w:val="20"/>
                <w:szCs w:val="20"/>
              </w:rPr>
              <w:t xml:space="preserve">[ CORE ]</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Scores each Personal Operator's contribution quality within the miner pool across multiple task cycles. Tracks which operators consistently produce outputs that align with high validator scores and which operators are underperforming. Produces the contribution weight used by the payout layer to distribute TAO proportionally and flags operators who should be reviewed.</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Trigger</w:t>
            </w:r>
          </w:p>
        </w:tc>
        <w:tc>
          <w:tcPr>
            <w:tcW w:type="dxa" w:w="736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color w:val="444444"/>
                <w:sz w:val="20"/>
                <w:szCs w:val="20"/>
              </w:rPr>
              <w:t xml:space="preserve">Runs at the end of each task cycle, after the validator score for that cycle is known and can be mapped back to which operator's output was used.</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Inputs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operator_id (str). task_id (str). output_submitted (any — the actual content submitted). validator_score (float) — the score received from the validator for this cycle. epoch_id (int). contributions.json path.</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Outputs</w:t>
            </w:r>
          </w:p>
        </w:tc>
        <w:tc>
          <w:tcPr>
            <w:tcW w:type="dxa" w:w="736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color w:val="444444"/>
                <w:sz w:val="20"/>
                <w:szCs w:val="20"/>
              </w:rPr>
              <w:t xml:space="preserve">Updated contribution score per operator. Payout weight per operator (float 0 to 1, summing to 1 across all active operators). List of flagged operators whose average score over the last 5 epochs is below the quality floor. contributions.json updated with latest cycle data.</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Implementation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On each cycle completion, look up which operator's output was selected for submission. Add the validator score to that operator's running contribution score in contributions.json. After each update, recalculate payout weights as each operator's score divided by the sum of all scores. Flag any operator whose rolling 5-epoch average falls below 0.3.</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Schema / Pattern</w:t>
            </w:r>
          </w:p>
        </w:tc>
        <w:tc>
          <w:tcPr>
            <w:tcW w:type="dxa" w:w="73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Courier New" w:cs="Courier New" w:eastAsia="Courier New" w:hAnsi="Courier New"/>
                <w:color w:val="1A1A1A"/>
                <w:sz w:val="19"/>
                <w:szCs w:val="19"/>
              </w:rPr>
              <w:t xml:space="preserve">contribution_score[op_id] += validator_score
total = sum(contribution_score.values())
for op in operators:
  weight[op] = contribution_score[op] / total
# flag low performers
if rolling_avg(op, 5) &lt; 0.3:
  flag_for_review(op)</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1A3A5C" w:val="clear"/>
            <w:tcMar>
              <w:top w:type="dxa" w:w="100"/>
              <w:left w:type="dxa" w:w="180"/>
              <w:bottom w:type="dxa" w:w="100"/>
              <w:right w:type="dxa" w:w="180"/>
            </w:tcMar>
          </w:tcPr>
          <w:p>
            <w:r>
              <w:rPr>
                <w:rFonts w:ascii="Arial" w:cs="Arial" w:eastAsia="Arial" w:hAnsi="Arial"/>
                <w:b/>
                <w:bCs/>
                <w:color w:val="FFFFFF"/>
                <w:sz w:val="26"/>
                <w:szCs w:val="26"/>
              </w:rPr>
              <w:t xml:space="preserve">T-04 — Cloud Balance Monitor</w:t>
            </w:r>
            <w:r>
              <w:t xml:space="preserve">      </w:t>
            </w:r>
            <w:r>
              <w:rPr>
                <w:rFonts w:ascii="Arial" w:cs="Arial" w:eastAsia="Arial" w:hAnsi="Arial"/>
                <w:b/>
                <w:bCs/>
                <w:color w:val="D6E8F7"/>
                <w:sz w:val="20"/>
                <w:szCs w:val="20"/>
              </w:rPr>
              <w:t xml:space="preserve">[ PHASE 2 ]</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Monitors account balances across all configured cloud providers (Runpod, Datacrunch, Latitude.sh, or similar) and alerts the operator before funds are depleted. Unmonitored cloud instances will shut down abruptly when balances run out, causing miner downtime and potential deregistration. This tool prevents that by giving advance notice.</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Trigger</w:t>
            </w:r>
          </w:p>
        </w:tc>
        <w:tc>
          <w:tcPr>
            <w:tcW w:type="dxa" w:w="736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color w:val="444444"/>
                <w:sz w:val="20"/>
                <w:szCs w:val="20"/>
              </w:rPr>
              <w:t xml:space="preserve">Scheduled check every 6 hours for each configured cloud provider. Can be triggered manually for an immediate balance snapshot.</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Inputs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provider_configs (array of {provider_name, api_key, alert_threshold_usd}) — one entry per cloud provider in use. alert_channel (str). balance_log.json path.</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Outputs</w:t>
            </w:r>
          </w:p>
        </w:tc>
        <w:tc>
          <w:tcPr>
            <w:tcW w:type="dxa" w:w="736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color w:val="444444"/>
                <w:sz w:val="20"/>
                <w:szCs w:val="20"/>
              </w:rPr>
              <w:t xml:space="preserve">Current USD balance per provider. Estimated daily burn rate based on recent spend history. Days of runway remaining at current burn rate. Discord alert when any provider balance falls below its configured alert_threshold_usd. Balance snapshot appended to balance_log.json.</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Implementation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For each configured provider, call the provider's billing API to retrieve the current account balance. Compare against alert_threshold_usd. Estimate daily burn rate by dividing recent spend by the number of days in the observation window. Calculate days of runway. Fire alert if balance is below threshold.</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Schema / Pattern</w:t>
            </w:r>
          </w:p>
        </w:tc>
        <w:tc>
          <w:tcPr>
            <w:tcW w:type="dxa" w:w="73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Courier New" w:cs="Courier New" w:eastAsia="Courier New" w:hAnsi="Courier New"/>
                <w:color w:val="1A1A1A"/>
                <w:sz w:val="19"/>
                <w:szCs w:val="19"/>
              </w:rPr>
              <w:t xml:space="preserve">for provider in provider_configs:
  balance = call_billing_api(provider)
  burn_rate = calc_daily_burn(provider)
  runway_days = balance / burn_rate
  if balance &lt; provider.alert_threshold:
    POST alert with runway estimate</w:t>
            </w:r>
          </w:p>
        </w:tc>
      </w:tr>
    </w:tbl>
    <w:p>
      <w:pPr>
        <w:spacing w:before="0" w:after="240"/>
      </w:pPr>
      <w:r>
        <w:t xml:space="preserve"/>
      </w:r>
    </w:p>
    <w:p>
      <w:r>
        <w:br w:type="page"/>
      </w:r>
    </w:p>
    <w:p>
      <w:pPr>
        <w:pStyle w:val="Heading1"/>
        <w:shd w:fill="0D1F3C" w:val="clear"/>
        <w:spacing w:before="400" w:after="160"/>
        <w:ind w:left="200" w:right="200"/>
      </w:pPr>
      <w:r>
        <w:rPr>
          <w:rFonts w:ascii="Arial" w:cs="Arial" w:eastAsia="Arial" w:hAnsi="Arial"/>
          <w:b/>
          <w:bCs/>
          <w:color w:val="D6E8F7"/>
          <w:sz w:val="32"/>
          <w:szCs w:val="32"/>
        </w:rPr>
        <w:t xml:space="preserve">04  </w:t>
      </w:r>
      <w:r>
        <w:rPr>
          <w:rFonts w:ascii="Arial" w:cs="Arial" w:eastAsia="Arial" w:hAnsi="Arial"/>
          <w:b/>
          <w:bCs/>
          <w:color w:val="FFFFFF"/>
          <w:sz w:val="32"/>
          <w:szCs w:val="32"/>
        </w:rPr>
        <w:t xml:space="preserve">BUDGETING TOOLS</w:t>
      </w:r>
    </w:p>
    <w:p>
      <w:pPr>
        <w:spacing w:before="0" w:after="120"/>
      </w:pPr>
      <w:r>
        <w:t xml:space="preserve"/>
      </w:r>
    </w:p>
    <w:p>
      <w:pPr>
        <w:spacing w:before="60" w:after="60"/>
      </w:pPr>
      <w:r>
        <w:rPr>
          <w:rFonts w:ascii="Arial" w:cs="Arial" w:eastAsia="Arial" w:hAnsi="Arial"/>
          <w:color w:val="444444"/>
          <w:sz w:val="22"/>
          <w:szCs w:val="22"/>
        </w:rPr>
        <w:t xml:space="preserve">Budgeting tools close the unit economics loop. They connect all cost data (registration fees, cloud spend) to all revenue data (TAO emissions) so the operator can measure true profitability per subnet, make exit or scale decisions, and maintain clean financial records for compliance.</w:t>
      </w:r>
    </w:p>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1A3A5C" w:val="clear"/>
            <w:tcMar>
              <w:top w:type="dxa" w:w="100"/>
              <w:left w:type="dxa" w:w="180"/>
              <w:bottom w:type="dxa" w:w="100"/>
              <w:right w:type="dxa" w:w="180"/>
            </w:tcMar>
          </w:tcPr>
          <w:p>
            <w:r>
              <w:rPr>
                <w:rFonts w:ascii="Arial" w:cs="Arial" w:eastAsia="Arial" w:hAnsi="Arial"/>
                <w:b/>
                <w:bCs/>
                <w:color w:val="FFFFFF"/>
                <w:sz w:val="26"/>
                <w:szCs w:val="26"/>
              </w:rPr>
              <w:t xml:space="preserve">B-01 — Registration Cost Ledger</w:t>
            </w:r>
            <w:r>
              <w:t xml:space="preserve">      </w:t>
            </w:r>
            <w:r>
              <w:rPr>
                <w:rFonts w:ascii="Arial" w:cs="Arial" w:eastAsia="Arial" w:hAnsi="Arial"/>
                <w:b/>
                <w:bCs/>
                <w:color w:val="D6E8F7"/>
                <w:sz w:val="20"/>
                <w:szCs w:val="20"/>
              </w:rPr>
              <w:t xml:space="preserve">[ CORE ]</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Maintains a persistent, append-only ledger of every TAO spent on subnet registrations. Each registration event writes one record containing the full cost context. This ledger is the cost-side source of truth that the Profitability Calculator (B-02) and Tax Report Generator (B-03) both read from. It is written to by R-02 and should never be edited manually.</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Trigger</w:t>
            </w:r>
          </w:p>
        </w:tc>
        <w:tc>
          <w:tcPr>
            <w:tcW w:type="dxa" w:w="736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color w:val="444444"/>
                <w:sz w:val="20"/>
                <w:szCs w:val="20"/>
              </w:rPr>
              <w:t xml:space="preserve">Written to automatically by R-02 on every successful registration event. Read by B-02 and B-03 on demand.</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Inputs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Append (from R-02): netuid, tao_spent, usd_equiv_at_time, timestamp, tx_hash, hotkey_address. Read: optional filters for date_range and netuid.</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Outputs</w:t>
            </w:r>
          </w:p>
        </w:tc>
        <w:tc>
          <w:tcPr>
            <w:tcW w:type="dxa" w:w="736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color w:val="444444"/>
                <w:sz w:val="20"/>
                <w:szCs w:val="20"/>
              </w:rPr>
              <w:t xml:space="preserve">budget_ledger.json — persistent append-only file. CSV export for spreadsheet or accountant use. Aggregate query results: total TAO spent per subnet, total USD cost at time of registration, total registrations per subnet.</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Implementation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On each R-02 success event, fetch the current TAO market price to calculate USD equivalent. Append a structured JSON record to budget_ledger.json. Expose a read interface that accepts optional date and netuid filters and returns aggregated cost summaries.</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Schema / Pattern</w:t>
            </w:r>
          </w:p>
        </w:tc>
        <w:tc>
          <w:tcPr>
            <w:tcW w:type="dxa" w:w="73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Courier New" w:cs="Courier New" w:eastAsia="Courier New" w:hAnsi="Courier New"/>
                <w:color w:val="1A1A1A"/>
                <w:sz w:val="19"/>
                <w:szCs w:val="19"/>
              </w:rPr>
              <w:t xml:space="preserve">budget_ledger.json entry:
{
  "netuid": 13,
  "tao_spent": 0.42,
  "usd_equiv": 14.70,
  "timestamp": "2026-03-17T10:30:00Z",
  "tx_hash": "0xabc123...",
  "hotkey": "5FHne..."
}</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1A3A5C" w:val="clear"/>
            <w:tcMar>
              <w:top w:type="dxa" w:w="100"/>
              <w:left w:type="dxa" w:w="180"/>
              <w:bottom w:type="dxa" w:w="100"/>
              <w:right w:type="dxa" w:w="180"/>
            </w:tcMar>
          </w:tcPr>
          <w:p>
            <w:r>
              <w:rPr>
                <w:rFonts w:ascii="Arial" w:cs="Arial" w:eastAsia="Arial" w:hAnsi="Arial"/>
                <w:b/>
                <w:bCs/>
                <w:color w:val="FFFFFF"/>
                <w:sz w:val="26"/>
                <w:szCs w:val="26"/>
              </w:rPr>
              <w:t xml:space="preserve">B-02 — Profitability Calculator</w:t>
            </w:r>
            <w:r>
              <w:t xml:space="preserve">      </w:t>
            </w:r>
            <w:r>
              <w:rPr>
                <w:rFonts w:ascii="Arial" w:cs="Arial" w:eastAsia="Arial" w:hAnsi="Arial"/>
                <w:b/>
                <w:bCs/>
                <w:color w:val="D6E8F7"/>
                <w:sz w:val="20"/>
                <w:szCs w:val="20"/>
              </w:rPr>
              <w:t xml:space="preserve">[ CORE ]</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Calculates net profitability at both the per-subnet level and the total portfolio level. Combines all registration costs from B-01 and cloud spend from a cloud_costs.json file against all TAO rewards from T-01, converted to USD at the current market rate. Produces a clear P&amp;L snapshot that tells the operator whether each subnet is worth staying on.</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Trigger</w:t>
            </w:r>
          </w:p>
        </w:tc>
        <w:tc>
          <w:tcPr>
            <w:tcW w:type="dxa" w:w="736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color w:val="444444"/>
                <w:sz w:val="20"/>
                <w:szCs w:val="20"/>
              </w:rPr>
              <w:t xml:space="preserve">Run on demand via CLI at any point. Can be scheduled to run automatically at the end of each epoch to produce a running P&amp;L. Recommended minimum: run once per day.</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Inputs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budget_ledger.json (from B-01). rewards_log.json (from T-01). cloud_costs.json — manually maintained or auto-populated file with daily cloud spend per provider. tao_market_price (float, fetched live from a price API at run time).</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Outputs</w:t>
            </w:r>
          </w:p>
        </w:tc>
        <w:tc>
          <w:tcPr>
            <w:tcW w:type="dxa" w:w="736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color w:val="444444"/>
                <w:sz w:val="20"/>
                <w:szCs w:val="20"/>
              </w:rPr>
              <w:t xml:space="preserve">Per-subnet P&amp;L table: gross revenue USD, total costs USD, net profit/loss USD, ROI percentage. Total portfolio P&amp;L across all subnets. Estimated daily revenue and daily cost. Payback period in days at current run rate. Recommendation flag per subnet: scale / hold / exit.</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Implementation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Sum all TAO rewards from rewards_log.json per subnet. Multiply by current TAO market price for gross revenue. Sum all registration costs from budget_ledger.json per subnet. Add allocated cloud costs from cloud_costs.json. Calculate net profit, ROI, and payback period. Emit recommendation based on ROI threshold config.</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Schema / Pattern</w:t>
            </w:r>
          </w:p>
        </w:tc>
        <w:tc>
          <w:tcPr>
            <w:tcW w:type="dxa" w:w="73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Courier New" w:cs="Courier New" w:eastAsia="Courier New" w:hAnsi="Courier New"/>
                <w:color w:val="1A1A1A"/>
                <w:sz w:val="19"/>
                <w:szCs w:val="19"/>
              </w:rPr>
              <w:t xml:space="preserve">gross_rev_usd = sum(tao_earned) * tao_price
total_costs_usd = reg_costs + cloud_costs
net_profit = gross_rev_usd - total_costs_usd
roi_pct = (net_profit / total_costs_usd) * 100
payback_days = total_costs / daily_avg_rev</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1A3A5C" w:val="clear"/>
            <w:tcMar>
              <w:top w:type="dxa" w:w="100"/>
              <w:left w:type="dxa" w:w="180"/>
              <w:bottom w:type="dxa" w:w="100"/>
              <w:right w:type="dxa" w:w="180"/>
            </w:tcMar>
          </w:tcPr>
          <w:p>
            <w:r>
              <w:rPr>
                <w:rFonts w:ascii="Arial" w:cs="Arial" w:eastAsia="Arial" w:hAnsi="Arial"/>
                <w:b/>
                <w:bCs/>
                <w:color w:val="FFFFFF"/>
                <w:sz w:val="26"/>
                <w:szCs w:val="26"/>
              </w:rPr>
              <w:t xml:space="preserve">B-03 — Tax Report Generator</w:t>
            </w:r>
            <w:r>
              <w:t xml:space="preserve">      </w:t>
            </w:r>
            <w:r>
              <w:rPr>
                <w:rFonts w:ascii="Arial" w:cs="Arial" w:eastAsia="Arial" w:hAnsi="Arial"/>
                <w:b/>
                <w:bCs/>
                <w:color w:val="D6E8F7"/>
                <w:sz w:val="20"/>
                <w:szCs w:val="20"/>
              </w:rPr>
              <w:t xml:space="preserve">[ PHASE 3 ]</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Generates a structured tax report by treating each TAO registration fee as a capital cost basis event and each epoch's TAO emission as taxable income. Exports a clean CSV file that can be provided directly to an accountant or imported into tax software. Ensures the operator maintains compliant financial records as mining operations scale.</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Trigger</w:t>
            </w:r>
          </w:p>
        </w:tc>
        <w:tc>
          <w:tcPr>
            <w:tcW w:type="dxa" w:w="736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color w:val="444444"/>
                <w:sz w:val="20"/>
                <w:szCs w:val="20"/>
              </w:rPr>
              <w:t xml:space="preserve">Run on demand at the end of a tax period or quarter. Can be run at any time to generate a year-to-date report.</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Inputs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budget_ledger.json (from B-01). rewards_log.json (from T-01). tax_year (int). reporting_currency (str, default USD). tao_price_history.json — historical TAO price data needed to value income at the time it was received.</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Outputs</w:t>
            </w:r>
          </w:p>
        </w:tc>
        <w:tc>
          <w:tcPr>
            <w:tcW w:type="dxa" w:w="736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color w:val="444444"/>
                <w:sz w:val="20"/>
                <w:szCs w:val="20"/>
              </w:rPr>
              <w:t xml:space="preserve">tax_report_{year}.csv with columns: date, event_type (registration_cost / mining_income), tao_amount, usd_value_at_time, tx_hash or epoch_id, netuid, notes. Summary row: total income, total costs, net taxable position.</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Implementation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Iterate through budget_ledger.json entries for the tax year. For each registration, write a row with event_type = registration_cost and the USD value at the time of the transaction. Iterate through rewards_log.json. For each epoch reward, look up the TAO price at that timestamp from tao_price_history.json and write a row with event_type = mining_income. Export all rows to a sorted CSV.</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bCs/>
                <w:color w:val="1A3A5C"/>
                <w:sz w:val="20"/>
                <w:szCs w:val="20"/>
              </w:rPr>
              <w:t xml:space="preserve">Schema / Pattern</w:t>
            </w:r>
          </w:p>
        </w:tc>
        <w:tc>
          <w:tcPr>
            <w:tcW w:type="dxa" w:w="73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Courier New" w:cs="Courier New" w:eastAsia="Courier New" w:hAnsi="Courier New"/>
                <w:color w:val="1A1A1A"/>
                <w:sz w:val="19"/>
                <w:szCs w:val="19"/>
              </w:rPr>
              <w:t xml:space="preserve">tax_report_2026.csv columns:
date, event_type, tao_amount,
usd_value_at_time, ref_id,
netuid, notes
event types:
  registration_cost
  mining_income</w:t>
            </w:r>
          </w:p>
        </w:tc>
      </w:tr>
    </w:tbl>
    <w:p>
      <w:pPr>
        <w:spacing w:before="0" w:after="240"/>
      </w:pPr>
      <w:r>
        <w:t xml:space="preserve"/>
      </w:r>
    </w:p>
    <w:p>
      <w:r>
        <w:br w:type="page"/>
      </w:r>
    </w:p>
    <w:p>
      <w:pPr>
        <w:pStyle w:val="Heading1"/>
        <w:shd w:fill="0D1F3C" w:val="clear"/>
        <w:spacing w:before="400" w:after="160"/>
        <w:ind w:left="200" w:right="200"/>
      </w:pPr>
      <w:r>
        <w:rPr>
          <w:rFonts w:ascii="Arial" w:cs="Arial" w:eastAsia="Arial" w:hAnsi="Arial"/>
          <w:b/>
          <w:bCs/>
          <w:color w:val="D6E8F7"/>
          <w:sz w:val="32"/>
          <w:szCs w:val="32"/>
        </w:rPr>
        <w:t xml:space="preserve">05  </w:t>
      </w:r>
      <w:r>
        <w:rPr>
          <w:rFonts w:ascii="Arial" w:cs="Arial" w:eastAsia="Arial" w:hAnsi="Arial"/>
          <w:b/>
          <w:bCs/>
          <w:color w:val="FFFFFF"/>
          <w:sz w:val="32"/>
          <w:szCs w:val="32"/>
        </w:rPr>
        <w:t xml:space="preserve">MVP WORKFLOW — STAGE 1</w:t>
      </w:r>
    </w:p>
    <w:p>
      <w:pPr>
        <w:spacing w:before="0" w:after="120"/>
      </w:pPr>
      <w:r>
        <w:t xml:space="preserve"/>
      </w:r>
    </w:p>
    <w:p>
      <w:pPr>
        <w:spacing w:before="60" w:after="60"/>
      </w:pPr>
      <w:r>
        <w:rPr>
          <w:rFonts w:ascii="Arial" w:cs="Arial" w:eastAsia="Arial" w:hAnsi="Arial"/>
          <w:color w:val="444444"/>
          <w:sz w:val="22"/>
          <w:szCs w:val="22"/>
        </w:rPr>
        <w:t xml:space="preserve">The following workflow sequences all tools across the three operational phases of a single miner pool epoch cycle. This is the minimum viable operational loop for Stage 1: one subnet, one registered hotkey, two Personal Operators, running on testnet before mainnet.</w:t>
      </w:r>
    </w:p>
    <w:p>
      <w:pPr>
        <w:spacing w:before="0" w:after="120"/>
      </w:pPr>
      <w:r>
        <w:t xml:space="preserve"/>
      </w:r>
    </w:p>
    <w:p>
      <w:pPr>
        <w:spacing w:before="60" w:after="60"/>
        <w:ind w:left="360"/>
      </w:pPr>
      <w:r>
        <w:rPr>
          <w:rFonts w:ascii="Arial" w:cs="Arial" w:eastAsia="Arial" w:hAnsi="Arial"/>
          <w:i/>
          <w:iCs/>
          <w:color w:val="4A5568"/>
          <w:sz w:val="20"/>
          <w:szCs w:val="20"/>
        </w:rPr>
        <w:t xml:space="preserve">ℹ  All Phase A steps happen once per registration event. Phases B and C repeat every epoch (~72 minutes).</w:t>
      </w:r>
    </w:p>
    <w:p>
      <w:pPr>
        <w:spacing w:before="0" w:after="240"/>
      </w:pPr>
      <w:r>
        <w:t xml:space="preserve"/>
      </w:r>
    </w:p>
    <w:p>
      <w:pPr>
        <w:pStyle w:val="Heading2"/>
        <w:pBdr>
          <w:bottom w:val="single" w:color="2563A8" w:sz="4"/>
        </w:pBdr>
        <w:spacing w:before="280" w:after="100"/>
      </w:pPr>
      <w:r>
        <w:rPr>
          <w:rFonts w:ascii="Arial" w:cs="Arial" w:eastAsia="Arial" w:hAnsi="Arial"/>
          <w:b/>
          <w:bCs/>
          <w:color w:val="1A3A5C"/>
          <w:sz w:val="26"/>
          <w:szCs w:val="26"/>
        </w:rPr>
        <w:t xml:space="preserve">Phase A — Pre-Registration</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2600"/>
        <w:gridCol w:w="3200"/>
        <w:gridCol w:w="2800"/>
      </w:tblGrid>
      <w:tr>
        <w:tc>
          <w:tcPr>
            <w:tcW w:type="dxa" w:w="76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Step</w:t>
            </w:r>
          </w:p>
        </w:tc>
        <w:tc>
          <w:tcPr>
            <w:tcW w:type="dxa" w:w="26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Action</w:t>
            </w:r>
          </w:p>
        </w:tc>
        <w:tc>
          <w:tcPr>
            <w:tcW w:type="dxa" w:w="32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Tool</w:t>
            </w:r>
          </w:p>
        </w:tc>
        <w:tc>
          <w:tcPr>
            <w:tcW w:type="dxa" w:w="28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Output / Checkpoint</w:t>
            </w:r>
          </w:p>
        </w:tc>
      </w:tr>
      <w:tr>
        <w:tc>
          <w:tcPr>
            <w:tcW w:type="dxa" w:w="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A-1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Monitor subnet registration price against configured threshold</w:t>
            </w:r>
          </w:p>
        </w:tc>
        <w:tc>
          <w:tcPr>
            <w:tcW w:type="dxa" w:w="32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val="false"/>
                <w:bCs w:val="false"/>
                <w:color w:val="444444"/>
                <w:sz w:val="20"/>
                <w:szCs w:val="20"/>
              </w:rPr>
              <w:t xml:space="preserve">R-01: Registration Price Monitor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Discord alert fires when TAO price is at or below threshold</w:t>
            </w:r>
          </w:p>
        </w:tc>
      </w:tr>
      <w:tr>
        <w:tc>
          <w:tcPr>
            <w:tcW w:type="dxa" w:w="7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color w:val="444444"/>
                <w:sz w:val="20"/>
                <w:szCs w:val="20"/>
              </w:rPr>
              <w:t xml:space="preserve">A-2</w:t>
            </w:r>
          </w:p>
        </w:tc>
        <w:tc>
          <w:tcPr>
            <w:tcW w:type="dxa" w:w="2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Review budget before committing to registration spend</w:t>
            </w:r>
          </w:p>
        </w:tc>
        <w:tc>
          <w:tcPr>
            <w:tcW w:type="dxa" w:w="32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val="false"/>
                <w:bCs w:val="false"/>
                <w:color w:val="444444"/>
                <w:sz w:val="20"/>
                <w:szCs w:val="20"/>
              </w:rPr>
              <w:t xml:space="preserve">B-01: Registration Cost Ledger (read)</w:t>
            </w:r>
          </w:p>
        </w:tc>
        <w:tc>
          <w:tcPr>
            <w:tcW w:type="dxa" w:w="2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Confirm remaining TAO budget is sufficient for this registration</w:t>
            </w:r>
          </w:p>
        </w:tc>
      </w:tr>
      <w:tr>
        <w:tc>
          <w:tcPr>
            <w:tcW w:type="dxa" w:w="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A-3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Execute automated registration when price window opens</w:t>
            </w:r>
          </w:p>
        </w:tc>
        <w:tc>
          <w:tcPr>
            <w:tcW w:type="dxa" w:w="32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val="false"/>
                <w:bCs w:val="false"/>
                <w:color w:val="444444"/>
                <w:sz w:val="20"/>
                <w:szCs w:val="20"/>
              </w:rPr>
              <w:t xml:space="preserve">R-02: Automated Registration Script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TX confirmed on-chain. Cost entry written to B-01 ledger</w:t>
            </w:r>
          </w:p>
        </w:tc>
      </w:tr>
      <w:tr>
        <w:tc>
          <w:tcPr>
            <w:tcW w:type="dxa" w:w="7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color w:val="444444"/>
                <w:sz w:val="20"/>
                <w:szCs w:val="20"/>
              </w:rPr>
              <w:t xml:space="preserve">A-4</w:t>
            </w:r>
          </w:p>
        </w:tc>
        <w:tc>
          <w:tcPr>
            <w:tcW w:type="dxa" w:w="2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Confirm miner UID is live in the metagraph</w:t>
            </w:r>
          </w:p>
        </w:tc>
        <w:tc>
          <w:tcPr>
            <w:tcW w:type="dxa" w:w="32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val="false"/>
                <w:bCs w:val="false"/>
                <w:color w:val="444444"/>
                <w:sz w:val="20"/>
                <w:szCs w:val="20"/>
              </w:rPr>
              <w:t xml:space="preserve">R-03: Deregistration Monitor (initial check)</w:t>
            </w:r>
          </w:p>
        </w:tc>
        <w:tc>
          <w:tcPr>
            <w:tcW w:type="dxa" w:w="2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Hotkey confirmed present in metagraph. UID assigned and active</w:t>
            </w:r>
          </w:p>
        </w:tc>
      </w:tr>
    </w:tbl>
    <w:p>
      <w:pPr>
        <w:spacing w:before="0" w:after="240"/>
      </w:pPr>
      <w:r>
        <w:t xml:space="preserve"/>
      </w:r>
    </w:p>
    <w:p>
      <w:pPr>
        <w:pStyle w:val="Heading2"/>
        <w:pBdr>
          <w:bottom w:val="single" w:color="2563A8" w:sz="4"/>
        </w:pBdr>
        <w:spacing w:before="280" w:after="100"/>
      </w:pPr>
      <w:r>
        <w:rPr>
          <w:rFonts w:ascii="Arial" w:cs="Arial" w:eastAsia="Arial" w:hAnsi="Arial"/>
          <w:b/>
          <w:bCs/>
          <w:color w:val="1A3A5C"/>
          <w:sz w:val="26"/>
          <w:szCs w:val="26"/>
        </w:rPr>
        <w:t xml:space="preserve">Phase B — During Epoch (Active Mining)</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2600"/>
        <w:gridCol w:w="3200"/>
        <w:gridCol w:w="2800"/>
      </w:tblGrid>
      <w:tr>
        <w:tc>
          <w:tcPr>
            <w:tcW w:type="dxa" w:w="76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Step</w:t>
            </w:r>
          </w:p>
        </w:tc>
        <w:tc>
          <w:tcPr>
            <w:tcW w:type="dxa" w:w="26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Action</w:t>
            </w:r>
          </w:p>
        </w:tc>
        <w:tc>
          <w:tcPr>
            <w:tcW w:type="dxa" w:w="32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Tool</w:t>
            </w:r>
          </w:p>
        </w:tc>
        <w:tc>
          <w:tcPr>
            <w:tcW w:type="dxa" w:w="28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Output / Checkpoint</w:t>
            </w:r>
          </w:p>
        </w:tc>
      </w:tr>
      <w:tr>
        <w:tc>
          <w:tcPr>
            <w:tcW w:type="dxa" w:w="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B-1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Monitor incentive score every 30 minutes</w:t>
            </w:r>
          </w:p>
        </w:tc>
        <w:tc>
          <w:tcPr>
            <w:tcW w:type="dxa" w:w="32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val="false"/>
                <w:bCs w:val="false"/>
                <w:color w:val="444444"/>
                <w:sz w:val="20"/>
                <w:szCs w:val="20"/>
              </w:rPr>
              <w:t xml:space="preserve">T-02: Incentive Score Monitor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Score above safe floor — no action required</w:t>
            </w:r>
          </w:p>
        </w:tc>
      </w:tr>
      <w:tr>
        <w:tc>
          <w:tcPr>
            <w:tcW w:type="dxa" w:w="7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color w:val="444444"/>
                <w:sz w:val="20"/>
                <w:szCs w:val="20"/>
              </w:rPr>
              <w:t xml:space="preserve">B-2</w:t>
            </w:r>
          </w:p>
        </w:tc>
        <w:tc>
          <w:tcPr>
            <w:tcW w:type="dxa" w:w="2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Personal Operators pull tasks, execute, return outputs to Orchestrator</w:t>
            </w:r>
          </w:p>
        </w:tc>
        <w:tc>
          <w:tcPr>
            <w:tcW w:type="dxa" w:w="32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val="false"/>
                <w:bCs w:val="false"/>
                <w:color w:val="444444"/>
                <w:sz w:val="20"/>
                <w:szCs w:val="20"/>
              </w:rPr>
              <w:t xml:space="preserve">Orchestrator dispatch layer + Operator workstream</w:t>
            </w:r>
          </w:p>
        </w:tc>
        <w:tc>
          <w:tcPr>
            <w:tcW w:type="dxa" w:w="2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Aggregated outputs collected and best result selected for submission</w:t>
            </w:r>
          </w:p>
        </w:tc>
      </w:tr>
      <w:tr>
        <w:tc>
          <w:tcPr>
            <w:tcW w:type="dxa" w:w="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B-3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Record each operator's output against the validator score it received</w:t>
            </w:r>
          </w:p>
        </w:tc>
        <w:tc>
          <w:tcPr>
            <w:tcW w:type="dxa" w:w="32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val="false"/>
                <w:bCs w:val="false"/>
                <w:color w:val="444444"/>
                <w:sz w:val="20"/>
                <w:szCs w:val="20"/>
              </w:rPr>
              <w:t xml:space="preserve">T-03: Operator Contribution Tracker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Contribution weights updated. Underperformers flagged if applicable</w:t>
            </w:r>
          </w:p>
        </w:tc>
      </w:tr>
      <w:tr>
        <w:tc>
          <w:tcPr>
            <w:tcW w:type="dxa" w:w="7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color w:val="444444"/>
                <w:sz w:val="20"/>
                <w:szCs w:val="20"/>
              </w:rPr>
              <w:t xml:space="preserve">B-4</w:t>
            </w:r>
          </w:p>
        </w:tc>
        <w:tc>
          <w:tcPr>
            <w:tcW w:type="dxa" w:w="2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Monitor continuously for deregistration event</w:t>
            </w:r>
          </w:p>
        </w:tc>
        <w:tc>
          <w:tcPr>
            <w:tcW w:type="dxa" w:w="32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val="false"/>
                <w:bCs w:val="false"/>
                <w:color w:val="444444"/>
                <w:sz w:val="20"/>
                <w:szCs w:val="20"/>
              </w:rPr>
              <w:t xml:space="preserve">R-03: Deregistration Monitor (background daemon)</w:t>
            </w:r>
          </w:p>
        </w:tc>
        <w:tc>
          <w:tcPr>
            <w:tcW w:type="dxa" w:w="2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Alert fires immediately if hotkey is removed from metagraph</w:t>
            </w:r>
          </w:p>
        </w:tc>
      </w:tr>
    </w:tbl>
    <w:p>
      <w:pPr>
        <w:spacing w:before="0" w:after="240"/>
      </w:pPr>
      <w:r>
        <w:t xml:space="preserve"/>
      </w:r>
    </w:p>
    <w:p>
      <w:pPr>
        <w:pStyle w:val="Heading2"/>
        <w:pBdr>
          <w:bottom w:val="single" w:color="2563A8" w:sz="4"/>
        </w:pBdr>
        <w:spacing w:before="280" w:after="100"/>
      </w:pPr>
      <w:r>
        <w:rPr>
          <w:rFonts w:ascii="Arial" w:cs="Arial" w:eastAsia="Arial" w:hAnsi="Arial"/>
          <w:b/>
          <w:bCs/>
          <w:color w:val="1A3A5C"/>
          <w:sz w:val="26"/>
          <w:szCs w:val="26"/>
        </w:rPr>
        <w:t xml:space="preserve">Phase C — End of Epoch</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2600"/>
        <w:gridCol w:w="3200"/>
        <w:gridCol w:w="2800"/>
      </w:tblGrid>
      <w:tr>
        <w:tc>
          <w:tcPr>
            <w:tcW w:type="dxa" w:w="76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Step</w:t>
            </w:r>
          </w:p>
        </w:tc>
        <w:tc>
          <w:tcPr>
            <w:tcW w:type="dxa" w:w="26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Action</w:t>
            </w:r>
          </w:p>
        </w:tc>
        <w:tc>
          <w:tcPr>
            <w:tcW w:type="dxa" w:w="32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Tool</w:t>
            </w:r>
          </w:p>
        </w:tc>
        <w:tc>
          <w:tcPr>
            <w:tcW w:type="dxa" w:w="28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Output / Checkpoint</w:t>
            </w:r>
          </w:p>
        </w:tc>
      </w:tr>
      <w:tr>
        <w:tc>
          <w:tcPr>
            <w:tcW w:type="dxa" w:w="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C-1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Capture TAO emission earned in this epoch</w:t>
            </w:r>
          </w:p>
        </w:tc>
        <w:tc>
          <w:tcPr>
            <w:tcW w:type="dxa" w:w="32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val="false"/>
                <w:bCs w:val="false"/>
                <w:color w:val="444444"/>
                <w:sz w:val="20"/>
                <w:szCs w:val="20"/>
              </w:rPr>
              <w:t xml:space="preserve">T-01: Reward Tracker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rewards_log.json updated with new epoch entry</w:t>
            </w:r>
          </w:p>
        </w:tc>
      </w:tr>
      <w:tr>
        <w:tc>
          <w:tcPr>
            <w:tcW w:type="dxa" w:w="7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color w:val="444444"/>
                <w:sz w:val="20"/>
                <w:szCs w:val="20"/>
              </w:rPr>
              <w:t xml:space="preserve">C-2</w:t>
            </w:r>
          </w:p>
        </w:tc>
        <w:tc>
          <w:tcPr>
            <w:tcW w:type="dxa" w:w="2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Calculate net profit after all costs for this epoch</w:t>
            </w:r>
          </w:p>
        </w:tc>
        <w:tc>
          <w:tcPr>
            <w:tcW w:type="dxa" w:w="32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val="false"/>
                <w:bCs w:val="false"/>
                <w:color w:val="444444"/>
                <w:sz w:val="20"/>
                <w:szCs w:val="20"/>
              </w:rPr>
              <w:t xml:space="preserve">B-02: Profitability Calculator</w:t>
            </w:r>
          </w:p>
        </w:tc>
        <w:tc>
          <w:tcPr>
            <w:tcW w:type="dxa" w:w="2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P&amp;L snapshot generated — is this subnet profitable?</w:t>
            </w:r>
          </w:p>
        </w:tc>
      </w:tr>
      <w:tr>
        <w:tc>
          <w:tcPr>
            <w:tcW w:type="dxa" w:w="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C-3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Distribute TAO to contributing operators based on contribution weights</w:t>
            </w:r>
          </w:p>
        </w:tc>
        <w:tc>
          <w:tcPr>
            <w:tcW w:type="dxa" w:w="32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val="false"/>
                <w:bCs w:val="false"/>
                <w:color w:val="444444"/>
                <w:sz w:val="20"/>
                <w:szCs w:val="20"/>
              </w:rPr>
              <w:t xml:space="preserve">Payout layer reading T-03 contribution weights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TAO distributed proportionally. Each operator receives their earned share</w:t>
            </w:r>
          </w:p>
        </w:tc>
      </w:tr>
      <w:tr>
        <w:tc>
          <w:tcPr>
            <w:tcW w:type="dxa" w:w="7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color w:val="444444"/>
                <w:sz w:val="20"/>
                <w:szCs w:val="20"/>
              </w:rPr>
              <w:t xml:space="preserve">C-4</w:t>
            </w:r>
          </w:p>
        </w:tc>
        <w:tc>
          <w:tcPr>
            <w:tcW w:type="dxa" w:w="2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Decide: maintain slot or allow it to lapse</w:t>
            </w:r>
          </w:p>
        </w:tc>
        <w:tc>
          <w:tcPr>
            <w:tcW w:type="dxa" w:w="32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val="false"/>
                <w:bCs w:val="false"/>
                <w:color w:val="444444"/>
                <w:sz w:val="20"/>
                <w:szCs w:val="20"/>
              </w:rPr>
              <w:t xml:space="preserve">B-02 output + T-02 trend data</w:t>
            </w:r>
          </w:p>
        </w:tc>
        <w:tc>
          <w:tcPr>
            <w:tcW w:type="dxa" w:w="2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Go/no-go decision documented. Re-registration queued if staying on subnet</w:t>
            </w:r>
          </w:p>
        </w:tc>
      </w:tr>
    </w:tbl>
    <w:p>
      <w:pPr>
        <w:spacing w:before="0" w:after="240"/>
      </w:pPr>
      <w:r>
        <w:t xml:space="preserve"/>
      </w:r>
    </w:p>
    <w:p>
      <w:r>
        <w:br w:type="page"/>
      </w:r>
    </w:p>
    <w:p>
      <w:pPr>
        <w:pStyle w:val="Heading1"/>
        <w:shd w:fill="0D1F3C" w:val="clear"/>
        <w:spacing w:before="400" w:after="160"/>
        <w:ind w:left="200" w:right="200"/>
      </w:pPr>
      <w:r>
        <w:rPr>
          <w:rFonts w:ascii="Arial" w:cs="Arial" w:eastAsia="Arial" w:hAnsi="Arial"/>
          <w:b/>
          <w:bCs/>
          <w:color w:val="D6E8F7"/>
          <w:sz w:val="32"/>
          <w:szCs w:val="32"/>
        </w:rPr>
        <w:t xml:space="preserve">06  </w:t>
      </w:r>
      <w:r>
        <w:rPr>
          <w:rFonts w:ascii="Arial" w:cs="Arial" w:eastAsia="Arial" w:hAnsi="Arial"/>
          <w:b/>
          <w:bCs/>
          <w:color w:val="FFFFFF"/>
          <w:sz w:val="32"/>
          <w:szCs w:val="32"/>
        </w:rPr>
        <w:t xml:space="preserve">TOOL DEPENDENCY MAP</w:t>
      </w:r>
    </w:p>
    <w:p>
      <w:pPr>
        <w:spacing w:before="0" w:after="120"/>
      </w:pPr>
      <w:r>
        <w:t xml:space="preserve"/>
      </w:r>
    </w:p>
    <w:p>
      <w:pPr>
        <w:spacing w:before="60" w:after="60"/>
      </w:pPr>
      <w:r>
        <w:rPr>
          <w:rFonts w:ascii="Arial" w:cs="Arial" w:eastAsia="Arial" w:hAnsi="Arial"/>
          <w:color w:val="444444"/>
          <w:sz w:val="22"/>
          <w:szCs w:val="22"/>
        </w:rPr>
        <w:t xml:space="preserve">The table below shows how tools feed into each other. Build and test tools in dependency order — tools at the top of the chain must be stable before tools that depend on them are built.</w:t>
      </w:r>
    </w:p>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00"/>
        <w:gridCol w:w="65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Tool</w:t>
            </w:r>
          </w:p>
        </w:tc>
        <w:tc>
          <w:tcPr>
            <w:tcW w:type="dxa" w:w="6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
            </w:r>
          </w:p>
        </w:tc>
        <w:tc>
          <w:tcPr>
            <w:tcW w:type="dxa" w:w="656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Feeds Into / Depends 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R-01  Price Monitor</w:t>
            </w:r>
          </w:p>
        </w:tc>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Triggers R-02 (automated registration) when threshold is breached</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R-02  Registration Script</w:t>
            </w:r>
          </w:p>
        </w:tc>
        <w:tc>
          <w:tcPr>
            <w:tcW w:type="dxa" w:w="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color w:val="444444"/>
                <w:sz w:val="20"/>
                <w:szCs w:val="20"/>
              </w:rPr>
              <w:t xml:space="preserve">→</w:t>
            </w:r>
          </w:p>
        </w:tc>
        <w:tc>
          <w:tcPr>
            <w:tcW w:type="dxa" w:w="65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Writes cost entry to B-01 (ledger) on every successful registration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R-03  Deregistration Monitor</w:t>
            </w:r>
          </w:p>
        </w:tc>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Re-triggers R-01 watch loop when slot is lost. Feeds events_log.json</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R-04  Multi-Subnet Manager</w:t>
            </w:r>
          </w:p>
        </w:tc>
        <w:tc>
          <w:tcPr>
            <w:tcW w:type="dxa" w:w="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color w:val="444444"/>
                <w:sz w:val="20"/>
                <w:szCs w:val="20"/>
              </w:rPr>
              <w:t xml:space="preserve">→</w:t>
            </w:r>
          </w:p>
        </w:tc>
        <w:tc>
          <w:tcPr>
            <w:tcW w:type="dxa" w:w="65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Coordinates R-01, R-02, R-03 across all configured subnets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T-01  Reward Tracker</w:t>
            </w:r>
          </w:p>
        </w:tc>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Feeds rewards_log.json — primary input to B-02 (profitability)</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T-02  Incentive Monitor</w:t>
            </w:r>
          </w:p>
        </w:tc>
        <w:tc>
          <w:tcPr>
            <w:tcW w:type="dxa" w:w="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color w:val="444444"/>
                <w:sz w:val="20"/>
                <w:szCs w:val="20"/>
              </w:rPr>
              <w:t xml:space="preserve">→</w:t>
            </w:r>
          </w:p>
        </w:tc>
        <w:tc>
          <w:tcPr>
            <w:tcW w:type="dxa" w:w="65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Early warning input to R-03. Informs operator routing decisions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T-03  Operator Tracker</w:t>
            </w:r>
          </w:p>
        </w:tc>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Produces payout weights for the contribution payout layer</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T-04  Cloud Balance Monitor</w:t>
            </w:r>
          </w:p>
        </w:tc>
        <w:tc>
          <w:tcPr>
            <w:tcW w:type="dxa" w:w="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color w:val="444444"/>
                <w:sz w:val="20"/>
                <w:szCs w:val="20"/>
              </w:rPr>
              <w:t xml:space="preserve">→</w:t>
            </w:r>
          </w:p>
        </w:tc>
        <w:tc>
          <w:tcPr>
            <w:tcW w:type="dxa" w:w="65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Feeds into B-02 cloud cost inputs. Alerts before infra shutdown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B-01  Cost Ledger</w:t>
            </w:r>
          </w:p>
        </w:tc>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Primary cost input to B-02 (profitability) and B-03 (tax)</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B-02  Profitability Calc</w:t>
            </w:r>
          </w:p>
        </w:tc>
        <w:tc>
          <w:tcPr>
            <w:tcW w:type="dxa" w:w="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color w:val="444444"/>
                <w:sz w:val="20"/>
                <w:szCs w:val="20"/>
              </w:rPr>
              <w:t xml:space="preserve">→</w:t>
            </w:r>
          </w:p>
        </w:tc>
        <w:tc>
          <w:tcPr>
            <w:tcW w:type="dxa" w:w="65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Reads B-01 + T-01. Outputs go/no-go decision per subnet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B-03  Tax Report Generator</w:t>
            </w:r>
          </w:p>
        </w:tc>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Reads B-01 + T-01 + price history. Outputs compliance CSV</w:t>
            </w:r>
          </w:p>
        </w:tc>
      </w:tr>
    </w:tbl>
    <w:p>
      <w:pPr>
        <w:spacing w:before="0" w:after="240"/>
      </w:pPr>
      <w:r>
        <w:t xml:space="preserve"/>
      </w:r>
    </w:p>
    <w:p>
      <w:r>
        <w:br w:type="page"/>
      </w:r>
    </w:p>
    <w:p>
      <w:pPr>
        <w:pStyle w:val="Heading1"/>
        <w:shd w:fill="0D1F3C" w:val="clear"/>
        <w:spacing w:before="400" w:after="160"/>
        <w:ind w:left="200" w:right="200"/>
      </w:pPr>
      <w:r>
        <w:rPr>
          <w:rFonts w:ascii="Arial" w:cs="Arial" w:eastAsia="Arial" w:hAnsi="Arial"/>
          <w:b/>
          <w:bCs/>
          <w:color w:val="D6E8F7"/>
          <w:sz w:val="32"/>
          <w:szCs w:val="32"/>
        </w:rPr>
        <w:t xml:space="preserve">07  </w:t>
      </w:r>
      <w:r>
        <w:rPr>
          <w:rFonts w:ascii="Arial" w:cs="Arial" w:eastAsia="Arial" w:hAnsi="Arial"/>
          <w:b/>
          <w:bCs/>
          <w:color w:val="FFFFFF"/>
          <w:sz w:val="32"/>
          <w:szCs w:val="32"/>
        </w:rPr>
        <w:t xml:space="preserve">RECOMMENDED BUILD ORDER</w:t>
      </w:r>
    </w:p>
    <w:p>
      <w:pPr>
        <w:spacing w:before="0" w:after="120"/>
      </w:pPr>
      <w:r>
        <w:t xml:space="preserve"/>
      </w:r>
    </w:p>
    <w:p>
      <w:pPr>
        <w:spacing w:before="60" w:after="60"/>
      </w:pPr>
      <w:r>
        <w:rPr>
          <w:rFonts w:ascii="Arial" w:cs="Arial" w:eastAsia="Arial" w:hAnsi="Arial"/>
          <w:color w:val="444444"/>
          <w:sz w:val="22"/>
          <w:szCs w:val="22"/>
        </w:rPr>
        <w:t xml:space="preserve">Build in this sprint sequence. Each sprint produces a working checkpoint that can be tested independently before the next sprint begins. Do not skip sprints — later tools depend on the stability of earlier ones.</w:t>
      </w:r>
    </w:p>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060"/>
        <w:gridCol w:w="2200"/>
      </w:tblGrid>
      <w:tr>
        <w:tc>
          <w:tcPr>
            <w:tcW w:type="dxa" w:w="9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Sprint</w:t>
            </w:r>
          </w:p>
        </w:tc>
        <w:tc>
          <w:tcPr>
            <w:tcW w:type="dxa" w:w="22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Tools</w:t>
            </w:r>
          </w:p>
        </w:tc>
        <w:tc>
          <w:tcPr>
            <w:tcW w:type="dxa" w:w="406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Objective</w:t>
            </w:r>
          </w:p>
        </w:tc>
        <w:tc>
          <w:tcPr>
            <w:tcW w:type="dxa" w:w="22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Checkpoint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1</w:t>
            </w:r>
          </w:p>
        </w:tc>
        <w:tc>
          <w:tcPr>
            <w:tcW w:type="dxa" w:w="22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val="false"/>
                <w:bCs w:val="false"/>
                <w:color w:val="444444"/>
                <w:sz w:val="20"/>
                <w:szCs w:val="20"/>
              </w:rPr>
              <w:t xml:space="preserve">R-01, R-02, R-03</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Full registration lifecycle on testnet. Monitor price, execute registration, detect deregistration.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Miner registered on testnet. Deregistration alert confirmed working.</w:t>
            </w:r>
          </w:p>
        </w:tc>
      </w:tr>
      <w:tr>
        <w:tc>
          <w:tcPr>
            <w:tcW w:type="dxa" w:w="9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color w:val="444444"/>
                <w:sz w:val="20"/>
                <w:szCs w:val="20"/>
              </w:rPr>
              <w:t xml:space="preserve">2</w:t>
            </w:r>
          </w:p>
        </w:tc>
        <w:tc>
          <w:tcPr>
            <w:tcW w:type="dxa" w:w="22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val="false"/>
                <w:bCs w:val="false"/>
                <w:color w:val="444444"/>
                <w:sz w:val="20"/>
                <w:szCs w:val="20"/>
              </w:rPr>
              <w:t xml:space="preserve">T-01, T-02</w:t>
            </w:r>
          </w:p>
        </w:tc>
        <w:tc>
          <w:tcPr>
            <w:tcW w:type="dxa" w:w="40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Reward and incentive data flowing. Operator can see what is being earned and whether rank is healthy.</w:t>
            </w:r>
          </w:p>
        </w:tc>
        <w:tc>
          <w:tcPr>
            <w:tcW w:type="dxa" w:w="22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TAO rewards logged per epoch. Incentive score alert fires on test threshold.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3</w:t>
            </w:r>
          </w:p>
        </w:tc>
        <w:tc>
          <w:tcPr>
            <w:tcW w:type="dxa" w:w="22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val="false"/>
                <w:bCs w:val="false"/>
                <w:color w:val="444444"/>
                <w:sz w:val="20"/>
                <w:szCs w:val="20"/>
              </w:rPr>
              <w:t xml:space="preserve">B-01, B-02</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Unit economics visible before moving to mainnet. Know whether the subnet is viable.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P&amp;L report produced. Net profit or loss figure is accurate and matches raw data.</w:t>
            </w:r>
          </w:p>
        </w:tc>
      </w:tr>
      <w:tr>
        <w:tc>
          <w:tcPr>
            <w:tcW w:type="dxa" w:w="9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color w:val="444444"/>
                <w:sz w:val="20"/>
                <w:szCs w:val="20"/>
              </w:rPr>
              <w:t xml:space="preserve">4</w:t>
            </w:r>
          </w:p>
        </w:tc>
        <w:tc>
          <w:tcPr>
            <w:tcW w:type="dxa" w:w="22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val="false"/>
                <w:bCs w:val="false"/>
                <w:color w:val="444444"/>
                <w:sz w:val="20"/>
                <w:szCs w:val="20"/>
              </w:rPr>
              <w:t xml:space="preserve">T-03</w:t>
            </w:r>
          </w:p>
        </w:tc>
        <w:tc>
          <w:tcPr>
            <w:tcW w:type="dxa" w:w="40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Operator contribution tracked. Payout weights calculable and auditable.</w:t>
            </w:r>
          </w:p>
        </w:tc>
        <w:tc>
          <w:tcPr>
            <w:tcW w:type="dxa" w:w="22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First payout weights generated across 2 test operators. Output verified against validator scores.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5</w:t>
            </w:r>
          </w:p>
        </w:tc>
        <w:tc>
          <w:tcPr>
            <w:tcW w:type="dxa" w:w="22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val="false"/>
                <w:bCs w:val="false"/>
                <w:color w:val="444444"/>
                <w:sz w:val="20"/>
                <w:szCs w:val="20"/>
              </w:rPr>
              <w:t xml:space="preserve">R-04, T-04</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Scale to multiple subnets. Cloud balances monitored to prevent unexpected downtime.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5 subnets running concurrently. Cloud balance alert tested and confirmed.</w:t>
            </w:r>
          </w:p>
        </w:tc>
      </w:tr>
      <w:tr>
        <w:tc>
          <w:tcPr>
            <w:tcW w:type="dxa" w:w="9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color w:val="444444"/>
                <w:sz w:val="20"/>
                <w:szCs w:val="20"/>
              </w:rPr>
              <w:t xml:space="preserve">6</w:t>
            </w:r>
          </w:p>
        </w:tc>
        <w:tc>
          <w:tcPr>
            <w:tcW w:type="dxa" w:w="22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val="false"/>
                <w:bCs w:val="false"/>
                <w:color w:val="444444"/>
                <w:sz w:val="20"/>
                <w:szCs w:val="20"/>
              </w:rPr>
              <w:t xml:space="preserve">B-03</w:t>
            </w:r>
          </w:p>
        </w:tc>
        <w:tc>
          <w:tcPr>
            <w:tcW w:type="dxa" w:w="40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Tax compliance tooling complete. Clean records for all prior epochs.</w:t>
            </w:r>
          </w:p>
        </w:tc>
        <w:tc>
          <w:tcPr>
            <w:tcW w:type="dxa" w:w="22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tax_report_2026.csv generated and validated against manual calculation.</w:t>
            </w:r>
          </w:p>
        </w:tc>
      </w:tr>
    </w:tbl>
    <w:p>
      <w:pPr>
        <w:spacing w:before="0" w:after="240"/>
      </w:pPr>
      <w:r>
        <w:t xml:space="preserve"/>
      </w:r>
    </w:p>
    <w:p>
      <w:r>
        <w:br w:type="page"/>
      </w:r>
    </w:p>
    <w:p>
      <w:pPr>
        <w:pStyle w:val="Heading1"/>
        <w:shd w:fill="0D1F3C" w:val="clear"/>
        <w:spacing w:before="400" w:after="160"/>
        <w:ind w:left="200" w:right="200"/>
      </w:pPr>
      <w:r>
        <w:rPr>
          <w:rFonts w:ascii="Arial" w:cs="Arial" w:eastAsia="Arial" w:hAnsi="Arial"/>
          <w:b/>
          <w:bCs/>
          <w:color w:val="D6E8F7"/>
          <w:sz w:val="32"/>
          <w:szCs w:val="32"/>
        </w:rPr>
        <w:t xml:space="preserve">08  </w:t>
      </w:r>
      <w:r>
        <w:rPr>
          <w:rFonts w:ascii="Arial" w:cs="Arial" w:eastAsia="Arial" w:hAnsi="Arial"/>
          <w:b/>
          <w:bCs/>
          <w:color w:val="FFFFFF"/>
          <w:sz w:val="32"/>
          <w:szCs w:val="32"/>
        </w:rPr>
        <w:t xml:space="preserve">REFERENCE IMPLEMENTATIONS</w:t>
      </w:r>
    </w:p>
    <w:p>
      <w:pPr>
        <w:spacing w:before="0" w:after="120"/>
      </w:pPr>
      <w:r>
        <w:t xml:space="preserve"/>
      </w:r>
    </w:p>
    <w:p>
      <w:pPr>
        <w:spacing w:before="60" w:after="60"/>
      </w:pPr>
      <w:r>
        <w:rPr>
          <w:rFonts w:ascii="Arial" w:cs="Arial" w:eastAsia="Arial" w:hAnsi="Arial"/>
          <w:color w:val="444444"/>
          <w:sz w:val="22"/>
          <w:szCs w:val="22"/>
        </w:rPr>
        <w:t xml:space="preserve">The following open-source tools from the Bittensor community serve as reference implementations for the patterns described in this document. These should be studied for approach and adapted into the Jarvis tooling — not copied directly.</w:t>
      </w:r>
    </w:p>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Jarvis Tool</w:t>
            </w:r>
          </w:p>
        </w:tc>
        <w:tc>
          <w:tcPr>
            <w:tcW w:type="dxa" w:w="32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Reference File</w:t>
            </w:r>
          </w:p>
        </w:tc>
        <w:tc>
          <w:tcPr>
            <w:tcW w:type="dxa" w:w="436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Repository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R-01</w:t>
            </w:r>
          </w:p>
        </w:tc>
        <w:tc>
          <w:tcPr>
            <w:tcW w:type="dxa" w:w="32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val="false"/>
                <w:bCs w:val="false"/>
                <w:color w:val="444444"/>
                <w:sz w:val="20"/>
                <w:szCs w:val="20"/>
              </w:rPr>
              <w:t xml:space="preserve">registration-cost-tracker.py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github.com/taeoldlee/bittensor-tools</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color w:val="444444"/>
                <w:sz w:val="20"/>
                <w:szCs w:val="20"/>
              </w:rPr>
              <w:t xml:space="preserve">R-02</w:t>
            </w:r>
          </w:p>
        </w:tc>
        <w:tc>
          <w:tcPr>
            <w:tcW w:type="dxa" w:w="32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val="false"/>
                <w:bCs w:val="false"/>
                <w:color w:val="444444"/>
                <w:sz w:val="20"/>
                <w:szCs w:val="20"/>
              </w:rPr>
              <w:t xml:space="preserve">registration-monitor.py</w:t>
            </w:r>
          </w:p>
        </w:tc>
        <w:tc>
          <w:tcPr>
            <w:tcW w:type="dxa" w:w="43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github.com/taeoldlee/bittensor-tools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R-03</w:t>
            </w:r>
          </w:p>
        </w:tc>
        <w:tc>
          <w:tcPr>
            <w:tcW w:type="dxa" w:w="32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val="false"/>
                <w:bCs w:val="false"/>
                <w:color w:val="444444"/>
                <w:sz w:val="20"/>
                <w:szCs w:val="20"/>
              </w:rPr>
              <w:t xml:space="preserve">deregistration/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github.com/taeoldlee/bittensor-tools</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color w:val="444444"/>
                <w:sz w:val="20"/>
                <w:szCs w:val="20"/>
              </w:rPr>
              <w:t xml:space="preserve">T-01</w:t>
            </w:r>
          </w:p>
        </w:tc>
        <w:tc>
          <w:tcPr>
            <w:tcW w:type="dxa" w:w="32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val="false"/>
                <w:bCs w:val="false"/>
                <w:color w:val="444444"/>
                <w:sz w:val="20"/>
                <w:szCs w:val="20"/>
              </w:rPr>
              <w:t xml:space="preserve">reward-tracker.py</w:t>
            </w:r>
          </w:p>
        </w:tc>
        <w:tc>
          <w:tcPr>
            <w:tcW w:type="dxa" w:w="43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github.com/taeoldlee/bittensor-tools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T-04</w:t>
            </w:r>
          </w:p>
        </w:tc>
        <w:tc>
          <w:tcPr>
            <w:tcW w:type="dxa" w:w="32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val="false"/>
                <w:bCs w:val="false"/>
                <w:color w:val="444444"/>
                <w:sz w:val="20"/>
                <w:szCs w:val="20"/>
              </w:rPr>
              <w:t xml:space="preserve">balance-alert.py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github.com/taeoldlee/bittensor-tools</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color w:val="444444"/>
                <w:sz w:val="20"/>
                <w:szCs w:val="20"/>
              </w:rPr>
              <w:t xml:space="preserve">R-04 (GPU phase)</w:t>
            </w:r>
          </w:p>
        </w:tc>
        <w:tc>
          <w:tcPr>
            <w:tcW w:type="dxa" w:w="3200"/>
            <w:tcBorders>
              <w:top w:val="single" w:color="CCCCCC" w:sz="1"/>
              <w:left w:val="single" w:color="CCCCCC" w:sz="1"/>
              <w:bottom w:val="single" w:color="CCCCCC" w:sz="1"/>
              <w:right w:val="single" w:color="CCCCCC" w:sz="1"/>
            </w:tcBorders>
            <w:shd w:fill="EEF5FB" w:val="clear"/>
            <w:tcMar>
              <w:top w:type="dxa" w:w="80"/>
              <w:left w:type="dxa" w:w="140"/>
              <w:bottom w:type="dxa" w:w="80"/>
              <w:right w:type="dxa" w:w="140"/>
            </w:tcMar>
          </w:tcPr>
          <w:p>
            <w:r>
              <w:rPr>
                <w:rFonts w:ascii="Arial" w:cs="Arial" w:eastAsia="Arial" w:hAnsi="Arial"/>
                <w:b w:val="false"/>
                <w:bCs w:val="false"/>
                <w:color w:val="444444"/>
                <w:sz w:val="20"/>
                <w:szCs w:val="20"/>
              </w:rPr>
              <w:t xml:space="preserve">datacrunch-instance-sniper.py</w:t>
            </w:r>
          </w:p>
        </w:tc>
        <w:tc>
          <w:tcPr>
            <w:tcW w:type="dxa" w:w="43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github.com/taeoldlee/bittensor-tools</w:t>
            </w:r>
          </w:p>
        </w:tc>
      </w:tr>
    </w:tbl>
    <w:p>
      <w:pPr>
        <w:spacing w:before="0" w:after="240"/>
      </w:pPr>
      <w:r>
        <w:t xml:space="preserve"/>
      </w:r>
    </w:p>
    <w:p>
      <w:pPr>
        <w:pStyle w:val="Heading2"/>
        <w:pBdr>
          <w:bottom w:val="single" w:color="2563A8" w:sz="4"/>
        </w:pBdr>
        <w:spacing w:before="280" w:after="100"/>
      </w:pPr>
      <w:r>
        <w:rPr>
          <w:rFonts w:ascii="Arial" w:cs="Arial" w:eastAsia="Arial" w:hAnsi="Arial"/>
          <w:b/>
          <w:bCs/>
          <w:color w:val="1A3A5C"/>
          <w:sz w:val="26"/>
          <w:szCs w:val="26"/>
        </w:rPr>
        <w:t xml:space="preserve">Key Resources</w:t>
      </w:r>
    </w:p>
    <w:p>
      <w:pPr>
        <w:pStyle w:val="ListParagraph"/>
        <w:numPr>
          <w:ilvl w:val="0"/>
          <w:numId w:val="2"/>
        </w:numPr>
        <w:spacing w:before="50" w:after="50"/>
      </w:pPr>
      <w:r>
        <w:rPr>
          <w:rFonts w:ascii="Arial" w:cs="Arial" w:eastAsia="Arial" w:hAnsi="Arial"/>
          <w:b/>
          <w:bCs/>
          <w:color w:val="1A3A5C"/>
          <w:sz w:val="22"/>
          <w:szCs w:val="22"/>
        </w:rPr>
        <w:t xml:space="preserve">Bittensor analytics &amp; metagraph explorer — </w:t>
      </w:r>
      <w:r>
        <w:rPr>
          <w:rFonts w:ascii="Arial" w:cs="Arial" w:eastAsia="Arial" w:hAnsi="Arial"/>
          <w:color w:val="444444"/>
          <w:sz w:val="22"/>
          <w:szCs w:val="22"/>
        </w:rPr>
        <w:t xml:space="preserve">taostats.io</w:t>
      </w:r>
    </w:p>
    <w:p>
      <w:pPr>
        <w:pStyle w:val="ListParagraph"/>
        <w:numPr>
          <w:ilvl w:val="0"/>
          <w:numId w:val="2"/>
        </w:numPr>
        <w:spacing w:before="50" w:after="50"/>
      </w:pPr>
      <w:r>
        <w:rPr>
          <w:rFonts w:ascii="Arial" w:cs="Arial" w:eastAsia="Arial" w:hAnsi="Arial"/>
          <w:b/>
          <w:bCs/>
          <w:color w:val="1A3A5C"/>
          <w:sz w:val="22"/>
          <w:szCs w:val="22"/>
        </w:rPr>
        <w:t xml:space="preserve">Bittensor developer documentation — </w:t>
      </w:r>
      <w:r>
        <w:rPr>
          <w:rFonts w:ascii="Arial" w:cs="Arial" w:eastAsia="Arial" w:hAnsi="Arial"/>
          <w:color w:val="444444"/>
          <w:sz w:val="22"/>
          <w:szCs w:val="22"/>
        </w:rPr>
        <w:t xml:space="preserve">docs.bittensor.com</w:t>
      </w:r>
    </w:p>
    <w:p>
      <w:pPr>
        <w:pStyle w:val="ListParagraph"/>
        <w:numPr>
          <w:ilvl w:val="0"/>
          <w:numId w:val="2"/>
        </w:numPr>
        <w:spacing w:before="50" w:after="50"/>
      </w:pPr>
      <w:r>
        <w:rPr>
          <w:rFonts w:ascii="Arial" w:cs="Arial" w:eastAsia="Arial" w:hAnsi="Arial"/>
          <w:b/>
          <w:bCs/>
          <w:color w:val="1A3A5C"/>
          <w:sz w:val="22"/>
          <w:szCs w:val="22"/>
        </w:rPr>
        <w:t xml:space="preserve">Bittensor Python SDK — </w:t>
      </w:r>
      <w:r>
        <w:rPr>
          <w:rFonts w:ascii="Arial" w:cs="Arial" w:eastAsia="Arial" w:hAnsi="Arial"/>
          <w:color w:val="444444"/>
          <w:sz w:val="22"/>
          <w:szCs w:val="22"/>
        </w:rPr>
        <w:t xml:space="preserve">github.com/opentensor/bittensor</w:t>
      </w:r>
    </w:p>
    <w:p>
      <w:pPr>
        <w:pStyle w:val="ListParagraph"/>
        <w:numPr>
          <w:ilvl w:val="0"/>
          <w:numId w:val="2"/>
        </w:numPr>
        <w:spacing w:before="50" w:after="50"/>
      </w:pPr>
      <w:r>
        <w:rPr>
          <w:rFonts w:ascii="Arial" w:cs="Arial" w:eastAsia="Arial" w:hAnsi="Arial"/>
          <w:b/>
          <w:bCs/>
          <w:color w:val="1A3A5C"/>
          <w:sz w:val="22"/>
          <w:szCs w:val="22"/>
        </w:rPr>
        <w:t xml:space="preserve">Subnet explorer and min_compute specs — </w:t>
      </w:r>
      <w:r>
        <w:rPr>
          <w:rFonts w:ascii="Arial" w:cs="Arial" w:eastAsia="Arial" w:hAnsi="Arial"/>
          <w:color w:val="444444"/>
          <w:sz w:val="22"/>
          <w:szCs w:val="22"/>
        </w:rPr>
        <w:t xml:space="preserve">taostats.io/subnets</w:t>
      </w:r>
    </w:p>
    <w:p>
      <w:pPr>
        <w:spacing w:before="0" w:after="240"/>
      </w:pPr>
      <w:r>
        <w:t xml:space="preserve"/>
      </w:r>
    </w:p>
    <w:p>
      <w:pPr>
        <w:pBdr>
          <w:top w:val="single" w:color="CCCCCC" w:sz="2"/>
        </w:pBdr>
        <w:spacing w:before="600"/>
        <w:jc w:val="center"/>
      </w:pPr>
      <w:r>
        <w:rPr>
          <w:rFonts w:ascii="Arial" w:cs="Arial" w:eastAsia="Arial" w:hAnsi="Arial"/>
          <w:i/>
          <w:iCs/>
          <w:color w:val="888888"/>
          <w:sz w:val="18"/>
          <w:szCs w:val="18"/>
        </w:rPr>
        <w:t xml:space="preserve">Jarvis Miner Service  ·  Tool Contract v1.0  ·  Stage 1 MVP Specification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FFFFFF"/>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1A3A5C"/>
      <w:sz w:val="26"/>
      <w:szCs w:val="26"/>
    </w:rPr>
  </w:style>
  <w:style w:type="paragraph" w:styleId="Heading3">
    <w:name w:val="Heading 3"/>
    <w:basedOn w:val="Normal"/>
    <w:next w:val="Normal"/>
    <w:qFormat/>
    <w:pPr>
      <w:spacing w:before="160" w:after="60"/>
      <w:outlineLvl w:val="2"/>
    </w:pPr>
    <w:rPr>
      <w:rFonts w:ascii="Arial" w:cs="Arial" w:eastAsia="Arial" w:hAnsi="Arial"/>
      <w:b/>
      <w:bCs/>
      <w:color w:val="2563A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2026-03-17T18:40:47.493Z</dcterms:created>
  <dcterms:modified xsi:type="dcterms:W3CDTF">2026-03-17T18:40:47.494Z</dcterms:modified>
</cp:coreProperties>
</file>

<file path=docProps/custom.xml><?xml version="1.0" encoding="utf-8"?>
<Properties xmlns="http://schemas.openxmlformats.org/officeDocument/2006/custom-properties" xmlns:vt="http://schemas.openxmlformats.org/officeDocument/2006/docPropsVTypes"/>
</file>