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6F54"/>
          <w:sz w:val="56"/>
          <w:szCs w:val="56"/>
        </w:rPr>
        <w:t xml:space="preserve">FlowRunner Training Program</w:t>
      </w:r>
    </w:p>
    <w:p>
      <w:pPr>
        <w:spacing w:after="120"/>
        <w:jc w:val="center"/>
      </w:pPr>
      <w:r>
        <w:rPr>
          <w:rFonts w:ascii="Calibri" w:cs="Calibri" w:eastAsia="Calibri" w:hAnsi="Calibri"/>
          <w:color w:val="595959"/>
          <w:sz w:val="28"/>
          <w:szCs w:val="28"/>
        </w:rPr>
        <w:t xml:space="preserve">A Proposal and Implementation Plan for a Video Course Series</w:t>
      </w:r>
    </w:p>
    <w:p>
      <w:pPr>
        <w:spacing w:after="2000"/>
        <w:jc w:val="center"/>
      </w:pPr>
      <w:r>
        <w:rPr>
          <w:rFonts w:ascii="Calibri" w:cs="Calibri" w:eastAsia="Calibri" w:hAnsi="Calibri"/>
          <w:i/>
          <w:iCs/>
          <w:color w:val="595959"/>
          <w:sz w:val="20"/>
          <w:szCs w:val="20"/>
        </w:rPr>
        <w:t xml:space="preserve">Prepared for Mark Piller  ·  August 24, 2026  ·  Draft for review</w:t>
      </w:r>
    </w:p>
    <w:p>
      <w:pPr>
        <w:jc w:val="center"/>
      </w:pPr>
      <w:r>
        <w:rPr>
          <w:rFonts w:ascii="Calibri" w:cs="Calibri" w:eastAsia="Calibri" w:hAnsi="Calibri"/>
          <w:color w:val="595959"/>
          <w:sz w:val="18"/>
          <w:szCs w:val="18"/>
        </w:rPr>
        <w:t xml:space="preserve">Grounded in the official FlowRunner documentation (automations/content) as of August 2026.</w:t>
      </w:r>
    </w:p>
    <w:p>
      <w:r>
        <w:br w:type="page"/>
      </w:r>
    </w:p>
    <w:p>
      <w:pPr>
        <w:pStyle w:val="Heading1"/>
        <w:spacing w:after="200" w:before="360"/>
      </w:pPr>
      <w:r>
        <w:rPr>
          <w:rFonts w:ascii="Calibri" w:cs="Calibri" w:eastAsia="Calibri" w:hAnsi="Calibri"/>
          <w:b/>
          <w:bCs/>
          <w:color w:val="1F6F54"/>
          <w:sz w:val="32"/>
          <w:szCs w:val="32"/>
        </w:rPr>
        <w:t xml:space="preserve">Contents</w:t>
      </w:r>
    </w:p>
    <w:p>
      <w:pPr>
        <w:spacing w:after="120"/>
        <w:ind w:left="200"/>
      </w:pPr>
      <w:r>
        <w:rPr>
          <w:rFonts w:ascii="Calibri" w:cs="Calibri" w:eastAsia="Calibri" w:hAnsi="Calibri"/>
          <w:color w:val="244A3C"/>
          <w:sz w:val="22"/>
          <w:szCs w:val="22"/>
        </w:rPr>
        <w:t xml:space="preserve">1. Executive Summary</w:t>
      </w:r>
    </w:p>
    <w:p>
      <w:pPr>
        <w:spacing w:after="120"/>
        <w:ind w:left="200"/>
      </w:pPr>
      <w:r>
        <w:rPr>
          <w:rFonts w:ascii="Calibri" w:cs="Calibri" w:eastAsia="Calibri" w:hAnsi="Calibri"/>
          <w:color w:val="244A3C"/>
          <w:sz w:val="22"/>
          <w:szCs w:val="22"/>
        </w:rPr>
        <w:t xml:space="preserve">2. Program Goals and Design Principles</w:t>
      </w:r>
    </w:p>
    <w:p>
      <w:pPr>
        <w:spacing w:after="120"/>
        <w:ind w:left="200"/>
      </w:pPr>
      <w:r>
        <w:rPr>
          <w:rFonts w:ascii="Calibri" w:cs="Calibri" w:eastAsia="Calibri" w:hAnsi="Calibri"/>
          <w:color w:val="244A3C"/>
          <w:sz w:val="22"/>
          <w:szCs w:val="22"/>
        </w:rPr>
        <w:t xml:space="preserve">3. Audience and Learning Paths</w:t>
      </w:r>
    </w:p>
    <w:p>
      <w:pPr>
        <w:spacing w:after="120"/>
        <w:ind w:left="200"/>
      </w:pPr>
      <w:r>
        <w:rPr>
          <w:rFonts w:ascii="Calibri" w:cs="Calibri" w:eastAsia="Calibri" w:hAnsi="Calibri"/>
          <w:color w:val="244A3C"/>
          <w:sz w:val="22"/>
          <w:szCs w:val="22"/>
        </w:rPr>
        <w:t xml:space="preserve">4. Program Architecture</w:t>
      </w:r>
    </w:p>
    <w:p>
      <w:pPr>
        <w:spacing w:after="120"/>
        <w:ind w:left="200"/>
      </w:pPr>
      <w:r>
        <w:rPr>
          <w:rFonts w:ascii="Calibri" w:cs="Calibri" w:eastAsia="Calibri" w:hAnsi="Calibri"/>
          <w:color w:val="244A3C"/>
          <w:sz w:val="22"/>
          <w:szCs w:val="22"/>
        </w:rPr>
        <w:t xml:space="preserve">5. The Courses in Detail (FR-101 through FR-201)</w:t>
      </w:r>
    </w:p>
    <w:p>
      <w:pPr>
        <w:spacing w:after="120"/>
        <w:ind w:left="200"/>
      </w:pPr>
      <w:r>
        <w:rPr>
          <w:rFonts w:ascii="Calibri" w:cs="Calibri" w:eastAsia="Calibri" w:hAnsi="Calibri"/>
          <w:color w:val="244A3C"/>
          <w:sz w:val="22"/>
          <w:szCs w:val="22"/>
        </w:rPr>
        <w:t xml:space="preserve">6. Cross-Course Instructional Design</w:t>
      </w:r>
    </w:p>
    <w:p>
      <w:pPr>
        <w:spacing w:after="120"/>
        <w:ind w:left="200"/>
      </w:pPr>
      <w:r>
        <w:rPr>
          <w:rFonts w:ascii="Calibri" w:cs="Calibri" w:eastAsia="Calibri" w:hAnsi="Calibri"/>
          <w:color w:val="244A3C"/>
          <w:sz w:val="22"/>
          <w:szCs w:val="22"/>
        </w:rPr>
        <w:t xml:space="preserve">7. Keeping the Training in Sync with the Documentation</w:t>
      </w:r>
    </w:p>
    <w:p>
      <w:pPr>
        <w:spacing w:after="120"/>
        <w:ind w:left="200"/>
      </w:pPr>
      <w:r>
        <w:rPr>
          <w:rFonts w:ascii="Calibri" w:cs="Calibri" w:eastAsia="Calibri" w:hAnsi="Calibri"/>
          <w:color w:val="244A3C"/>
          <w:sz w:val="22"/>
          <w:szCs w:val="22"/>
        </w:rPr>
        <w:t xml:space="preserve">8. Implementation Roadmap</w:t>
      </w:r>
    </w:p>
    <w:p>
      <w:pPr>
        <w:spacing w:after="120"/>
        <w:ind w:left="200"/>
      </w:pPr>
      <w:r>
        <w:rPr>
          <w:rFonts w:ascii="Calibri" w:cs="Calibri" w:eastAsia="Calibri" w:hAnsi="Calibri"/>
          <w:color w:val="244A3C"/>
          <w:sz w:val="22"/>
          <w:szCs w:val="22"/>
        </w:rPr>
        <w:t xml:space="preserve">9. Success Measures</w:t>
      </w:r>
    </w:p>
    <w:p>
      <w:pPr>
        <w:spacing w:after="120"/>
        <w:ind w:left="200"/>
      </w:pPr>
      <w:r>
        <w:rPr>
          <w:rFonts w:ascii="Calibri" w:cs="Calibri" w:eastAsia="Calibri" w:hAnsi="Calibri"/>
          <w:color w:val="244A3C"/>
          <w:sz w:val="22"/>
          <w:szCs w:val="22"/>
        </w:rPr>
        <w:t xml:space="preserve">10. Risks and Open Questions</w:t>
      </w:r>
    </w:p>
    <w:p>
      <w:pPr>
        <w:spacing w:after="120"/>
        <w:ind w:left="200"/>
      </w:pPr>
      <w:r>
        <w:rPr>
          <w:rFonts w:ascii="Calibri" w:cs="Calibri" w:eastAsia="Calibri" w:hAnsi="Calibri"/>
          <w:color w:val="244A3C"/>
          <w:sz w:val="22"/>
          <w:szCs w:val="22"/>
        </w:rPr>
        <w:t xml:space="preserve">Appendix A. Documentation Coverage Map</w:t>
      </w:r>
    </w:p>
    <w:p>
      <w:r>
        <w:br w:type="page"/>
      </w:r>
    </w:p>
    <w:p>
      <w:pPr>
        <w:pStyle w:val="Heading1"/>
        <w:spacing w:after="200" w:before="360"/>
      </w:pPr>
      <w:r>
        <w:rPr>
          <w:rFonts w:ascii="Calibri" w:cs="Calibri" w:eastAsia="Calibri" w:hAnsi="Calibri"/>
          <w:b/>
          <w:bCs/>
          <w:color w:val="1F6F54"/>
          <w:sz w:val="32"/>
          <w:szCs w:val="32"/>
        </w:rPr>
        <w:t xml:space="preserve">1. Executive Summary</w:t>
      </w:r>
    </w:p>
    <w:p>
      <w:pPr>
        <w:spacing w:after="160" w:line="276"/>
      </w:pPr>
      <w:r>
        <w:rPr>
          <w:rFonts w:ascii="Calibri" w:cs="Calibri" w:eastAsia="Calibri" w:hAnsi="Calibri"/>
          <w:sz w:val="22"/>
          <w:szCs w:val="22"/>
        </w:rPr>
        <w:t xml:space="preserve">This proposal lays out a complete training program for FlowRunner, delivered as a series of short-form video courses and designed for people with no prior automation experience. The program is a ladder of six core courses and one elective, each built around a hands-on capstone project, moving a learner from their first working flow to operating AI-powered automations in production.</w:t>
      </w:r>
    </w:p>
    <w:p>
      <w:pPr>
        <w:spacing w:after="160" w:line="276"/>
      </w:pPr>
      <w:r>
        <w:rPr>
          <w:rFonts w:ascii="Calibri" w:cs="Calibri" w:eastAsia="Calibri" w:hAnsi="Calibri"/>
          <w:sz w:val="22"/>
          <w:szCs w:val="22"/>
        </w:rPr>
        <w:t xml:space="preserve">The design rests on three commitments. First, every lesson is traceable to a specific page of the official documentation, so the training and the docs reinforce each other and the training can be kept current as the docs evolve. Second, every course is built around doing: learners follow build-alongs drawn from the official quick starts and finish each course by constructing something real. Third, the sequence respects how beginners actually learn — data handling and control flow come before AI, because an agent with tools is only teachable to someone who understands the tools.</w:t>
      </w:r>
    </w:p>
    <w:p>
      <w:pPr>
        <w:spacing w:after="160" w:line="276"/>
      </w:pPr>
      <w:r>
        <w:rPr>
          <w:rFonts w:ascii="Calibri" w:cs="Calibri" w:eastAsia="Calibri" w:hAnsi="Calibri"/>
          <w:sz w:val="22"/>
          <w:szCs w:val="22"/>
        </w:rPr>
        <w:t xml:space="preserve">The core series totals roughly 70 video lessons averaging six to seven minutes each — about seven and a half hours of finished instruction — organized so that the first course alone delivers a complete, satisfying result and can ship on its own as Phase 1. Production logistics (tooling, recording workflow, hosting, and effort estimates) are intentionally out of scope for this document and will be planned separately.</w:t>
      </w:r>
    </w:p>
    <w:p>
      <w:pPr>
        <w:pStyle w:val="Heading1"/>
        <w:spacing w:after="200" w:before="360"/>
      </w:pPr>
      <w:r>
        <w:rPr>
          <w:rFonts w:ascii="Calibri" w:cs="Calibri" w:eastAsia="Calibri" w:hAnsi="Calibri"/>
          <w:b/>
          <w:bCs/>
          <w:color w:val="1F6F54"/>
          <w:sz w:val="32"/>
          <w:szCs w:val="32"/>
        </w:rPr>
        <w:t xml:space="preserve">2. Program Goals and Design Principles</w:t>
      </w:r>
    </w:p>
    <w:p>
      <w:pPr>
        <w:spacing w:after="160" w:line="276"/>
      </w:pPr>
      <w:r>
        <w:rPr>
          <w:rFonts w:ascii="Calibri" w:cs="Calibri" w:eastAsia="Calibri" w:hAnsi="Calibri"/>
          <w:sz w:val="22"/>
          <w:szCs w:val="22"/>
        </w:rPr>
        <w:t xml:space="preserve">The brief for this program is demanding in a specific way: the audience is anyone who wants to automate, and prior knowledge must be assumed to be non-existent. That rules out the most common failure mode of product training — a walkthrough of features in menu order, comprehensible only to people who already know why the features exist. The program is therefore organized around learner problems (“how do I make the flow decide?”, “how do I wait for a manager?”) rather than around the product's navigation.</w:t>
      </w:r>
    </w:p>
    <w:p>
      <w:pPr>
        <w:pStyle w:val="Heading2"/>
        <w:spacing w:after="160" w:before="280"/>
      </w:pPr>
      <w:r>
        <w:rPr>
          <w:rFonts w:ascii="Calibri" w:cs="Calibri" w:eastAsia="Calibri" w:hAnsi="Calibri"/>
          <w:b/>
          <w:bCs/>
          <w:color w:val="244A3C"/>
          <w:sz w:val="26"/>
          <w:szCs w:val="26"/>
        </w:rPr>
        <w:t xml:space="preserve">2.1 Design principles</w:t>
      </w:r>
    </w:p>
    <w:p>
      <w:pPr>
        <w:pStyle w:val="ListParagraph"/>
        <w:numPr>
          <w:ilvl w:val="0"/>
          <w:numId w:val="2"/>
        </w:numPr>
        <w:spacing w:after="100" w:line="276"/>
      </w:pPr>
      <w:r>
        <w:rPr>
          <w:rFonts w:ascii="Calibri" w:cs="Calibri" w:eastAsia="Calibri" w:hAnsi="Calibri"/>
          <w:b/>
          <w:bCs/>
          <w:sz w:val="22"/>
          <w:szCs w:val="22"/>
        </w:rPr>
        <w:t xml:space="preserve">Build first, name later — </w:t>
      </w:r>
      <w:r>
        <w:rPr>
          <w:rFonts w:ascii="Calibri" w:cs="Calibri" w:eastAsia="Calibri" w:hAnsi="Calibri"/>
          <w:sz w:val="22"/>
          <w:szCs w:val="22"/>
        </w:rPr>
        <w:t xml:space="preserve">Each course ends with the learner having built something they could show a colleague. Concepts are introduced at the moment a build needs them, never in the abstract first.</w:t>
      </w:r>
    </w:p>
    <w:p>
      <w:pPr>
        <w:pStyle w:val="ListParagraph"/>
        <w:numPr>
          <w:ilvl w:val="0"/>
          <w:numId w:val="2"/>
        </w:numPr>
        <w:spacing w:after="100" w:line="276"/>
      </w:pPr>
      <w:r>
        <w:rPr>
          <w:rFonts w:ascii="Calibri" w:cs="Calibri" w:eastAsia="Calibri" w:hAnsi="Calibri"/>
          <w:b/>
          <w:bCs/>
          <w:sz w:val="22"/>
          <w:szCs w:val="22"/>
        </w:rPr>
        <w:t xml:space="preserve">Short lessons, single ideas — </w:t>
      </w:r>
      <w:r>
        <w:rPr>
          <w:rFonts w:ascii="Calibri" w:cs="Calibri" w:eastAsia="Calibri" w:hAnsi="Calibri"/>
          <w:sz w:val="22"/>
          <w:szCs w:val="22"/>
        </w:rPr>
        <w:t xml:space="preserve">Lessons target three to ten minutes, one competency each, so learners can find, rewatch, and share exactly the piece they need. The lesson is the unit of maintenance as well as the unit of learning.</w:t>
      </w:r>
    </w:p>
    <w:p>
      <w:pPr>
        <w:pStyle w:val="ListParagraph"/>
        <w:numPr>
          <w:ilvl w:val="0"/>
          <w:numId w:val="2"/>
        </w:numPr>
        <w:spacing w:after="100" w:line="276"/>
      </w:pPr>
      <w:r>
        <w:rPr>
          <w:rFonts w:ascii="Calibri" w:cs="Calibri" w:eastAsia="Calibri" w:hAnsi="Calibri"/>
          <w:b/>
          <w:bCs/>
          <w:sz w:val="22"/>
          <w:szCs w:val="22"/>
        </w:rPr>
        <w:t xml:space="preserve">Docs-anchored and maintainable — </w:t>
      </w:r>
      <w:r>
        <w:rPr>
          <w:rFonts w:ascii="Calibri" w:cs="Calibri" w:eastAsia="Calibri" w:hAnsi="Calibri"/>
          <w:sz w:val="22"/>
          <w:szCs w:val="22"/>
        </w:rPr>
        <w:t xml:space="preserve">Every lesson lists its source documentation pages (the mapping is in each course table and Appendix A). When a docs page changes, the affected lessons are identifiable in minutes, not by re-watching hours of video.</w:t>
      </w:r>
    </w:p>
    <w:p>
      <w:pPr>
        <w:pStyle w:val="ListParagraph"/>
        <w:numPr>
          <w:ilvl w:val="0"/>
          <w:numId w:val="2"/>
        </w:numPr>
        <w:spacing w:after="100" w:line="276"/>
      </w:pPr>
      <w:r>
        <w:rPr>
          <w:rFonts w:ascii="Calibri" w:cs="Calibri" w:eastAsia="Calibri" w:hAnsi="Calibri"/>
          <w:b/>
          <w:bCs/>
          <w:sz w:val="22"/>
          <w:szCs w:val="22"/>
        </w:rPr>
        <w:t xml:space="preserve">An early, real win — </w:t>
      </w:r>
      <w:r>
        <w:rPr>
          <w:rFonts w:ascii="Calibri" w:cs="Calibri" w:eastAsia="Calibri" w:hAnsi="Calibri"/>
          <w:sz w:val="22"/>
          <w:szCs w:val="22"/>
        </w:rPr>
        <w:t xml:space="preserve">The learner's first end-to-end success arrives inside the first hour, using the same Contact Us form the official Quick Start builds. Early wins are the strongest predictor of course completion for beginner audiences.</w:t>
      </w:r>
    </w:p>
    <w:p>
      <w:pPr>
        <w:pStyle w:val="ListParagraph"/>
        <w:numPr>
          <w:ilvl w:val="0"/>
          <w:numId w:val="2"/>
        </w:numPr>
        <w:spacing w:after="100" w:line="276"/>
      </w:pPr>
      <w:r>
        <w:rPr>
          <w:rFonts w:ascii="Calibri" w:cs="Calibri" w:eastAsia="Calibri" w:hAnsi="Calibri"/>
          <w:b/>
          <w:bCs/>
          <w:sz w:val="22"/>
          <w:szCs w:val="22"/>
        </w:rPr>
        <w:t xml:space="preserve">Production honesty — </w:t>
      </w:r>
      <w:r>
        <w:rPr>
          <w:rFonts w:ascii="Calibri" w:cs="Calibri" w:eastAsia="Calibri" w:hAnsi="Calibri"/>
          <w:sz w:val="22"/>
          <w:szCs w:val="22"/>
        </w:rPr>
        <w:t xml:space="preserve">Error handling, testing, versioning, and monitoring are core-path material, not advanced appendices. The docs are explicit that a flow stops at its first failure; training that omits this produces builders whose flows break in production and who blame the product.</w:t>
      </w:r>
    </w:p>
    <w:p>
      <w:pPr>
        <w:pStyle w:val="ListParagraph"/>
        <w:numPr>
          <w:ilvl w:val="0"/>
          <w:numId w:val="2"/>
        </w:numPr>
        <w:spacing w:after="100" w:line="276"/>
      </w:pPr>
      <w:r>
        <w:rPr>
          <w:rFonts w:ascii="Calibri" w:cs="Calibri" w:eastAsia="Calibri" w:hAnsi="Calibri"/>
          <w:b/>
          <w:bCs/>
          <w:sz w:val="22"/>
          <w:szCs w:val="22"/>
        </w:rPr>
        <w:t xml:space="preserve">No-code spine, code elective — </w:t>
      </w:r>
      <w:r>
        <w:rPr>
          <w:rFonts w:ascii="Calibri" w:cs="Calibri" w:eastAsia="Calibri" w:hAnsi="Calibri"/>
          <w:sz w:val="22"/>
          <w:szCs w:val="22"/>
        </w:rPr>
        <w:t xml:space="preserve">The no-code path is the spine of the program. Code appears only in an elective, mirroring how the documentation itself offers a code quickstart as an alternative rather than a requirement.</w:t>
      </w:r>
    </w:p>
    <w:p>
      <w:pPr>
        <w:pStyle w:val="Heading1"/>
        <w:spacing w:after="200" w:before="360"/>
      </w:pPr>
      <w:r>
        <w:rPr>
          <w:rFonts w:ascii="Calibri" w:cs="Calibri" w:eastAsia="Calibri" w:hAnsi="Calibri"/>
          <w:b/>
          <w:bCs/>
          <w:color w:val="1F6F54"/>
          <w:sz w:val="32"/>
          <w:szCs w:val="32"/>
        </w:rPr>
        <w:t xml:space="preserve">3. Audience and Learning Paths</w:t>
      </w:r>
    </w:p>
    <w:p>
      <w:pPr>
        <w:spacing w:after="160" w:line="276"/>
      </w:pPr>
      <w:r>
        <w:rPr>
          <w:rFonts w:ascii="Calibri" w:cs="Calibri" w:eastAsia="Calibri" w:hAnsi="Calibri"/>
          <w:sz w:val="22"/>
          <w:szCs w:val="22"/>
        </w:rPr>
        <w:t xml:space="preserve">“Anyone who wants to automate” covers at least three recognizably different people, and the course ladder is designed so each finds a natural stopping point rather than forcing everyone through everything:</w:t>
      </w:r>
    </w:p>
    <w:p>
      <w:pPr>
        <w:pStyle w:val="ListParagraph"/>
        <w:numPr>
          <w:ilvl w:val="0"/>
          <w:numId w:val="2"/>
        </w:numPr>
        <w:spacing w:after="100" w:line="276"/>
      </w:pPr>
      <w:r>
        <w:rPr>
          <w:rFonts w:ascii="Calibri" w:cs="Calibri" w:eastAsia="Calibri" w:hAnsi="Calibri"/>
          <w:b/>
          <w:bCs/>
          <w:sz w:val="22"/>
          <w:szCs w:val="22"/>
        </w:rPr>
        <w:t xml:space="preserve">The practical automator — </w:t>
      </w:r>
      <w:r>
        <w:rPr>
          <w:rFonts w:ascii="Calibri" w:cs="Calibri" w:eastAsia="Calibri" w:hAnsi="Calibri"/>
          <w:sz w:val="22"/>
          <w:szCs w:val="22"/>
        </w:rPr>
        <w:t xml:space="preserve">An operations or support specialist who wants one process off their plate. FR-101 alone gets them there; FR-102 and FR-103 make them self-sufficient.</w:t>
      </w:r>
    </w:p>
    <w:p>
      <w:pPr>
        <w:pStyle w:val="ListParagraph"/>
        <w:numPr>
          <w:ilvl w:val="0"/>
          <w:numId w:val="2"/>
        </w:numPr>
        <w:spacing w:after="100" w:line="276"/>
      </w:pPr>
      <w:r>
        <w:rPr>
          <w:rFonts w:ascii="Calibri" w:cs="Calibri" w:eastAsia="Calibri" w:hAnsi="Calibri"/>
          <w:b/>
          <w:bCs/>
          <w:sz w:val="22"/>
          <w:szCs w:val="22"/>
        </w:rPr>
        <w:t xml:space="preserve">The team builder — </w:t>
      </w:r>
      <w:r>
        <w:rPr>
          <w:rFonts w:ascii="Calibri" w:cs="Calibri" w:eastAsia="Calibri" w:hAnsi="Calibri"/>
          <w:sz w:val="22"/>
          <w:szCs w:val="22"/>
        </w:rPr>
        <w:t xml:space="preserve">An analyst or power user building automations for a team. The full FR-101 through FR-106 sequence is their path, and FR-106 is what makes their work trustworthy to the rest of the organization.</w:t>
      </w:r>
    </w:p>
    <w:p>
      <w:pPr>
        <w:pStyle w:val="ListParagraph"/>
        <w:numPr>
          <w:ilvl w:val="0"/>
          <w:numId w:val="2"/>
        </w:numPr>
        <w:spacing w:after="100" w:line="276"/>
      </w:pPr>
      <w:r>
        <w:rPr>
          <w:rFonts w:ascii="Calibri" w:cs="Calibri" w:eastAsia="Calibri" w:hAnsi="Calibri"/>
          <w:b/>
          <w:bCs/>
          <w:sz w:val="22"/>
          <w:szCs w:val="22"/>
        </w:rPr>
        <w:t xml:space="preserve">The technical evaluator — </w:t>
      </w:r>
      <w:r>
        <w:rPr>
          <w:rFonts w:ascii="Calibri" w:cs="Calibri" w:eastAsia="Calibri" w:hAnsi="Calibri"/>
          <w:sz w:val="22"/>
          <w:szCs w:val="22"/>
        </w:rPr>
        <w:t xml:space="preserve">A developer evaluating the platform. They will skim FR-101, need FR-104 and FR-105 in earnest, and take the FR-201 elective. The lesson-level granularity lets them skip without getting lost.</w:t>
      </w:r>
    </w:p>
    <w:p>
      <w:pPr>
        <w:spacing w:after="160" w:line="276"/>
      </w:pPr>
      <w:r>
        <w:rPr>
          <w:rFonts w:ascii="Calibri" w:cs="Calibri" w:eastAsia="Calibri" w:hAnsi="Calibri"/>
          <w:sz w:val="22"/>
          <w:szCs w:val="22"/>
        </w:rPr>
        <w:t xml:space="preserve">Prerequisites are strictly linear through FR-103; FR-104 and FR-105 both build on FR-103; FR-106 assumes only FR-101 for its first two modules, so operational literacy can be pulled forward for learners who ship early.</w:t>
      </w:r>
    </w:p>
    <w:p>
      <w:pPr>
        <w:pStyle w:val="Heading1"/>
        <w:spacing w:after="200" w:before="360"/>
      </w:pPr>
      <w:r>
        <w:rPr>
          <w:rFonts w:ascii="Calibri" w:cs="Calibri" w:eastAsia="Calibri" w:hAnsi="Calibri"/>
          <w:b/>
          <w:bCs/>
          <w:color w:val="1F6F54"/>
          <w:sz w:val="32"/>
          <w:szCs w:val="32"/>
        </w:rPr>
        <w:t xml:space="preserve">4. Program Architecture</w:t>
      </w:r>
    </w:p>
    <w:p>
      <w:pPr>
        <w:spacing w:after="160" w:line="276"/>
      </w:pPr>
      <w:r>
        <w:rPr>
          <w:rFonts w:ascii="Calibri" w:cs="Calibri" w:eastAsia="Calibri" w:hAnsi="Calibri"/>
          <w:sz w:val="22"/>
          <w:szCs w:val="22"/>
        </w:rPr>
        <w:t xml:space="preserve">The series comprises six core courses and one elective. Course numbering leaves room for future electives (a connector cookbook, industry-specific patterns) without renumbering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300"/>
        <w:gridCol w:w="1660"/>
      </w:tblGrid>
      <w:tr>
        <w:trPr>
          <w:tblHeader/>
        </w:trPr>
        <w:tc>
          <w:tcPr>
            <w:tcW w:type="dxa" w:w="15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Course</w:t>
            </w:r>
          </w:p>
        </w:tc>
        <w:tc>
          <w:tcPr>
            <w:tcW w:type="dxa" w:w="29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Title</w:t>
            </w:r>
          </w:p>
        </w:tc>
        <w:tc>
          <w:tcPr>
            <w:tcW w:type="dxa" w:w="33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One-line promise</w:t>
            </w:r>
          </w:p>
        </w:tc>
        <w:tc>
          <w:tcPr>
            <w:tcW w:type="dxa" w:w="1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Lessons</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FlowRunner Foundations</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From zero to a working automation</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13</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FR-102</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Working with Data</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How values move, change shape, and persist</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9</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FR-103</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Controlling the Flow</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Branches, loops, parallel work, and surviving failure</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11</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FR-104</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Connecting to the Outside World</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Services, APIs, people, and other flows</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12</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FR-105</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AI-Powered Automation</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From one AI step to a working agent</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10</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FR-106</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Running and Operating Flows</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Versions, schedules, monitoring, and governance</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9</w:t>
            </w:r>
          </w:p>
        </w:tc>
      </w:tr>
      <w:tr>
        <w:trPr>
          <w:tblHeader w:val="false"/>
        </w:trPr>
        <w:tc>
          <w:tcPr>
            <w:tcW w:type="dxa" w:w="15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FR-201 (elective)</w:t>
            </w:r>
          </w:p>
        </w:tc>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FlowRunner with Code</w:t>
            </w:r>
          </w:p>
        </w:tc>
        <w:tc>
          <w:tcPr>
            <w:tcW w:type="dxa" w:w="33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For learners who want to drop below the blocks</w:t>
            </w:r>
          </w:p>
        </w:tc>
        <w:tc>
          <w:tcPr>
            <w:tcW w:type="dxa" w:w="1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3</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Two sequencing decisions deserve justification because they run against common practice. AI is fifth, not first, even though it is the product's headline: an AI Agent whose tools are flows can only be taught to someone who can already build flows, and teaching AI first produces learners who can demo but not deliver. Operations is a full course, not a wrap-up lesson: versioning discipline, monitoring, and SLA governance are exactly the material that converts individual enthusiasm into organizational adoption.</w:t>
      </w:r>
    </w:p>
    <w:p>
      <w:pPr>
        <w:pStyle w:val="Heading1"/>
        <w:spacing w:after="200" w:before="360"/>
      </w:pPr>
      <w:r>
        <w:rPr>
          <w:rFonts w:ascii="Calibri" w:cs="Calibri" w:eastAsia="Calibri" w:hAnsi="Calibri"/>
          <w:b/>
          <w:bCs/>
          <w:color w:val="1F6F54"/>
          <w:sz w:val="32"/>
          <w:szCs w:val="32"/>
        </w:rPr>
        <w:t xml:space="preserve">5. The Courses in Detail</w:t>
      </w:r>
    </w:p>
    <w:p>
      <w:pPr>
        <w:pStyle w:val="Heading2"/>
        <w:spacing w:after="160" w:before="280"/>
      </w:pPr>
      <w:r>
        <w:rPr>
          <w:rFonts w:ascii="Calibri" w:cs="Calibri" w:eastAsia="Calibri" w:hAnsi="Calibri"/>
          <w:b/>
          <w:bCs/>
          <w:color w:val="244A3C"/>
          <w:sz w:val="26"/>
          <w:szCs w:val="26"/>
        </w:rPr>
        <w:t xml:space="preserve">5.1  FR-101 — FlowRunner Foundations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builds, tests, and takes live their first complete flow, and can explain the core mental model of FlowRunner: flows, blocks, triggers, and instances.</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 working Contact Us form automation: a form submission arrives, the flow fills an email template with the submitted values and sends the reply — built, tested, and set LIVE by the learner.</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Every later course assumes the vocabulary and editor fluency established here. The course deliberately follows the official no-code Quick Start so that the videos and the written docs reinforce each other, and so the first success arrives within the first hour of the program.</w:t>
      </w:r>
    </w:p>
    <w:p>
      <w:pPr>
        <w:pStyle w:val="Heading3"/>
        <w:spacing w:after="120" w:before="200"/>
      </w:pPr>
      <w:r>
        <w:rPr>
          <w:rFonts w:ascii="Calibri" w:cs="Calibri" w:eastAsia="Calibri" w:hAnsi="Calibri"/>
          <w:b/>
          <w:bCs/>
          <w:color w:val="595959"/>
          <w:sz w:val="23"/>
          <w:szCs w:val="23"/>
        </w:rPr>
        <w:t xml:space="preserve">Module 1 — What you are automating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What is automation, and what is FlowRunner?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Describe what a flow is and recognize processes worth automating</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index.md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 guided tour: workspace, flows, and the Flow Editor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Navigate the workspace and identify the editor's working areas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platform/workspace.md; build/flow-editor.md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mental model: flows, blocks, and instances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Explain that a flow is the design and each run is an independent instance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learn/concepts/flows-and-instances.md; learn/concepts/blocks.md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Triggers: how a flow wakes up</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List the events that can start or resume a flow</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learn/concepts/triggers.md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4</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Build your first flow (build-along)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Create the flow and place the form trigger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Create a flow, place a first block, and copy the address a form posts to</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(steps 1–3)</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Send a test submission and read its data</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Fire a test event and locate the Initial Data it delivered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(step 4)</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Hold the email template in a variable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Create a variable and store a multi-line template in it</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(step 5); learn/concepts/variables.md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Fill the template from submitted data</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Use block results inside a value with the Expression Editor</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(steps 6–9)</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Send the email and run the flow end to end</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Wire the final action and run a complete instance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(step 10)</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Test it, ship it, watch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Testing without going live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 a single block or the whole flow with test data in the Test Monitor</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run/testing.md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Ready, then LIVE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Move a version to Ready and set it LIVE; explain why testing costs no executions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run/running-flows.md; build/flow-editor.md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Watching your runs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Open the Instances tab, follow a run, and read what each step produced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run/running-flows.md; run/inspecting-a-run.md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walkthrough and checkpoint</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Rebuild the form flow with a variation, unaided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5.2  FR-102 — Working with Data</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route any value from where it is produced to where it is needed: reading block results, holding values in variables, reshaping data, and persisting values across runs with Shared Memory.</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An order-digest flow: take a list of order records, reshape and total them, maintain a running counter in Shared Memory across runs, and produce a formatted summary.</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Data handling is where non-technical learners stall in every automation tool. Giving it a dedicated course — including a plain-language lesson on JSON — prevents the silent drop-off that happens when data shapes are treated as assumed knowledge.</w:t>
      </w:r>
    </w:p>
    <w:p>
      <w:pPr>
        <w:pStyle w:val="Heading3"/>
        <w:spacing w:after="120" w:before="200"/>
      </w:pPr>
      <w:r>
        <w:rPr>
          <w:rFonts w:ascii="Calibri" w:cs="Calibri" w:eastAsia="Calibri" w:hAnsi="Calibri"/>
          <w:b/>
          <w:bCs/>
          <w:color w:val="595959"/>
          <w:sz w:val="23"/>
          <w:szCs w:val="23"/>
        </w:rPr>
        <w:t xml:space="preserve">Module 1 — How data travels through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pool of results: what later steps can read</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Explain Initial Data, block results, and what a later step can and cannot see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build/data-and-variables/passing-data.md; learn/concepts/blocks.md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JSON without fear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Read an object, an array, and a nested value — in plain language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(new material; grounded in learn/concepts/expressions.md examples)</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Expression Editor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Compose a value from earlier results, literals, and JSON</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learn/concepts/expressions.md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Holding and shaping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Variables: keep a value for later in the run</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Create, read, update, and clear variables; know their lifetime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learn/concepts/variables.md; build/data-and-variables/holding-values.md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Building a value up as the run goes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Accumulate results into a variable across steps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build/data-and-variables/holding-values.md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Reshaping data with Transform Data</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Pick the right operation to extract, convert, sort, or filter</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build/data-and-variables/reshaping-data.md; reference/transform-data.md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Data beyond a single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Shared Memory: values that outlive the run</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Decide when a value belongs in a variable vs Shared Memory</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build/data-and-variables/across-runs.md; learn/concepts/shared-memory.md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counter pattern, expiration, and per-caller memory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Write, read, and clear shared values; set lifetime and anchoring correctly</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learn/concepts/shared-memory.md; reference/shared-memory-put.md / -read.md / -delete.md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the order-digest flow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Combine transforms, variables, and Shared Memory in one build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 material</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5.3  FR-103 — Controlling the Flow</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make a flow follow a real process: branching on conditions, routing on values, looping over lists, running steps in parallel, pausing deliberately, and recovering from errors instead of stopping at them.</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 ticket-triage pipeline: incoming items are checked, routed by category, processed in a loop with a failsafe, enriched by parallel lookups joined with Synchronize, and protected by retry-with-backoff error handling.</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Control flow is the difference between a demo and a process. Error handling is placed here — not in an advanced course — because the docs are explicit that a flow stops at the first failure; a beginner who ships without a Handle Error block ships something fragile.</w:t>
      </w:r>
    </w:p>
    <w:p>
      <w:pPr>
        <w:pStyle w:val="Heading3"/>
        <w:spacing w:after="120" w:before="200"/>
      </w:pPr>
      <w:r>
        <w:rPr>
          <w:rFonts w:ascii="Calibri" w:cs="Calibri" w:eastAsia="Calibri" w:hAnsi="Calibri"/>
          <w:b/>
          <w:bCs/>
          <w:color w:val="595959"/>
          <w:sz w:val="23"/>
          <w:szCs w:val="23"/>
        </w:rPr>
        <w:t xml:space="preserve">Module 1 —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Yes/No branching with Condition</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Fork a flow on a typed comparison and wire both paths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build/flow-control/branching.md; reference/condition.md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Compound checks and evaluation order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Combine checks with AND/OR and parentheses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build/flow-control/branching.md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Routing on a value: one of many paths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Use Value Router with exact, collection, and range matches; know when to prefer Condition or AI Router</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build/flow-control/routing.md; reference/value-router.md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Working through a list with List Iterator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 steps per element and carry a result out of the loop</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build/flow-control/collections.md; reference/list-iterator.md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Repeat while true — and the failsafe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condition-driven loops capped against running away</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build/flow-control/repeating.md; reference/repeat.md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Leaving early with Break; reading the iteration number</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Exit a loop on a condition and use the current pass in logic</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build/flow-control/repeating.md; reference/break.md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Time and simultaneity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Running steps in parallel and regrouping</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Fan out independent branches and join them with Synchronize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build/flow-control/parallel.md; reference/synchronize.md; reference/actions-group.md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Adding a deliberate delay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Pause a branch for a fixed or data-driven time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build/flow-control/waiting.md; reference/wait.md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4</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When things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 flow stops at the first failure — unless you catch it</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Attach Handle Error and keep the run going</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build/flow-control/error-handling.md; reference/handle-error.md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Reading the error and retrying with backoff</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Branch on error details and configure retries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build/flow-control/error-handling.md; reference/error-handling-concept.md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the triage pipeline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Assemble branching, loops, parallel work, and error handling in one flow</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 material</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5.4  FR-104 — Connecting to the Outside World</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wire a flow to real systems: calling external services, exposing flows as APIs, pausing for humans or external events, composing flows from other flows, and extending the palette through MCP.</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 quote-approval workflow: a form starts the run, the flow calls an external service, pauses on an External Callback until a manager approves by link, then returns a result to the original caller.</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This is the longest course because it is where FlowRunner earns its keep — and where the docs show the platform is differentiated (long-lived waits, Learning Mode, MCP). Human-in-the-loop is taught as an integration pattern, matching how the docs frame it.</w:t>
      </w:r>
    </w:p>
    <w:p>
      <w:pPr>
        <w:pStyle w:val="Heading3"/>
        <w:spacing w:after="120" w:before="200"/>
      </w:pPr>
      <w:r>
        <w:rPr>
          <w:rFonts w:ascii="Calibri" w:cs="Calibri" w:eastAsia="Calibri" w:hAnsi="Calibri"/>
          <w:b/>
          <w:bCs/>
          <w:color w:val="595959"/>
          <w:sz w:val="23"/>
          <w:szCs w:val="23"/>
        </w:rPr>
        <w:t xml:space="preserve">Module 1 — Calling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Look for a dedicated block first; then HTTP Request</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Choose between a connector block and a raw HTTP call, and read the response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build/integrations/calling-a-service.md; reference/http-request.md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API keys and OAuth connections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Store provider keys and account connections once; use them in blocks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platform/api-keys.md; platform/oauth-connections.md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Forms: a front door for people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Design a form and connect its pages to flows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platform/forms.md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Being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Returning a result to whoever asked</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Compose the answer a caller reads; understand that Return Result ends its path</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build/integrations/returning-a-result.md; reference/return-result.md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Starting a flow from outside: the Call Flow API</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Launch a run with a blocking or non-blocking call and read the envelope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api/call-flow-blocking.md; api/call-flow-nonblocking.md; api/block-results.md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Waiting on the world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External Callbacks: pause until the answer arrives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Pause a run and resume it with a callback; understand the execution id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build/flow-control/external-callbacks.md; reference/external-callback.md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Learning Mode and callback conditions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Capture the payload shape and filter which calls resume the run</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build/flow-control/external-callbacks.md; api/activating-a-trigger.md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Waiting for a set of events: Triggers Group</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Use rendezvous mode when several triggers must arrive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reference/triggers-group.md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4 — Flows calling flows, and extending the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Subflows: factor logic you reuse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Extract shared steps into a subflow with inputs and a return value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learn/concepts/subflows.md; reference/subflow.md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Running another flow with Call Flow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Choose blocking vs fire-and-forget between flows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build/integrations/running-another-flow.md; reference/call-flow.md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MCP servers and marketplace actions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Register an MCP server and use its tools as blocks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platform/mcp-servers.md; build/integrations/custom-actions.md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the quote-approval workflow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Combine a form, a service call, a human pause, and a returned result</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 material</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5.5  FR-105 — AI-Powered Automation</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add AI where it earns its place — reshaping values, answering judgment questions, routing on intent — and can build an AI Agent with tools, a knowledge base, and memory, kept accountable inside a flow.</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A support agent that reads an incoming request, consults a Knowledge Base of the learner's own content, drafts a reply, and pauses for human approval before sending — the exact pattern the product positions as its core story.</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AI is sequenced after data, control flow, and integrations deliberately: an agent with tools is only teachable once the learner understands the tools. The course ladder inside — transform, question, router, agent — mirrors AI in Flows, escalating one notch of autonomy per step.</w:t>
      </w:r>
    </w:p>
    <w:p>
      <w:pPr>
        <w:pStyle w:val="Heading3"/>
        <w:spacing w:after="120" w:before="200"/>
      </w:pPr>
      <w:r>
        <w:rPr>
          <w:rFonts w:ascii="Calibri" w:cs="Calibri" w:eastAsia="Calibri" w:hAnsi="Calibri"/>
          <w:b/>
          <w:bCs/>
          <w:color w:val="595959"/>
          <w:sz w:val="23"/>
          <w:szCs w:val="23"/>
        </w:rPr>
        <w:t xml:space="preserve">Module 1 — AI as a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Every AI step needs a model and your key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Configure a model and provider key once, correctly</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build/ai-in-flows.md; platform/api-keys.md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Reshape a value by describing the change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Use an AI transform where a rule would be brittle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build/ai-in-flows.md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AI questions and AI routing</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Branch on a yes/no no rule can answer; route on intent in plain language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build/ai-in-flows.md; reference/ai-router.md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The AI Agent (build-along)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Add the agent and give it its job</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Place an AI Agent, choose a model, and write its instructions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learn/quickstart-agent.md (steps 1–6); reference/ai-agent.md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Give the agent tools — and watch it choose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Attach capabilities and flows as tools; pin exact inputs; describe tools well</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learn/quickstart-agent.md (steps 7–9); reference/flows-as-agent-tools-concept.md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Use the agent's answer in the rest of the flow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Treat the agent as one accountable step among many</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learn/quickstart-agent.md; build/ai-in-flows.md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Knowledge and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Knowledge Bases: ground the agent in your content</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Create a Knowledge Base, load documents, attach it to an agent</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reference/knowledge-bases-concept.md; reference/knowledge-base-add-document.md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8</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Maintaining a Knowledge Base from a flow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List, add, and delete documents with the KB blocks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reference/knowledge-base-list-documents.md; -delete-document.md; -delete-by-filter.md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Agent Memory and Per-User Memory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Carry conversation context across runs, scoped per caller with an anchor</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reference/flow-memory-concept.md; reference/per-user-memory-concept.md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the accountable support agent</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Agent + Knowledge Base + human approval, end to end</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 material; index.md pattern</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10</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5.6  FR-106 — Running and Operating Flows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operate flows in production: managing versions safely, scheduling runs, reading the monitoring dashboards and logs, debugging a failed instance, and applying the platform's governance tools.</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Operate a deliberately misbehaving flow: schedule it, find the failure in Monitoring, diagnose it in the instance view, fix it in a new version, and switch LIVE over — plus set an SLA goal and review the audit trail.</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Operations is a separate discipline from building, and it is what makes training credible for teams. It is last in the required sequence, but its first two modules are useful the day a learner ships anything from FR-101.</w:t>
      </w:r>
    </w:p>
    <w:p>
      <w:pPr>
        <w:pStyle w:val="Heading3"/>
        <w:spacing w:after="120" w:before="200"/>
      </w:pPr>
      <w:r>
        <w:rPr>
          <w:rFonts w:ascii="Calibri" w:cs="Calibri" w:eastAsia="Calibri" w:hAnsi="Calibri"/>
          <w:b/>
          <w:bCs/>
          <w:color w:val="595959"/>
          <w:sz w:val="23"/>
          <w:szCs w:val="23"/>
        </w:rPr>
        <w:t xml:space="preserve">Module 1 — Change without breakage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Versions: clone, change, switch LIVE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Change a running flow safely; never edit LIVE in place</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manage/flows.md; build/flow-editor.md; definitions.md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Scheduling runs — and the execution policy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Put a flow on a schedule; start and stop schedules from a flow</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reference/flow-scheduling-concept.md; reference/start-scheduled-runs.md; -stop-.md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2 — Seeing what is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Monitoring dashboard and Performance view</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Read the flow at a glance and find where the time goes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run/monitoring.md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Logs: the play-by-play</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Narrow logs to answer a specific question</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run/monitoring.md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Debugging one run</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Step through loop passes, retry attempts, and find the failing step</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run/inspecting-a-run.md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bl>
    <w:p>
      <w:pPr>
        <w:spacing w:after="6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595959"/>
          <w:sz w:val="23"/>
          <w:szCs w:val="23"/>
        </w:rPr>
        <w:t xml:space="preserve">Module 3 — Governance and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SLA goals and calendars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Set a target, measure in business hours, escalate late runs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platform/sla-goals.md; platform/compliance-and-security.md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Audit log, compliance, and Panic Mode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Review who did what; know the emergency stop</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platform/compliance-and-security.md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Team, workspace, and what an execution costs</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Manage members and ownership; understand plans and execution counting</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manage/team.md; manage/workspace-settings.md; manage/billing.md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6</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 the operations drill</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Diagnose, fix, re-version, and govern a failing flow</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 material</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9</w:t>
            </w:r>
          </w:p>
        </w:tc>
      </w:tr>
    </w:tbl>
    <w:p>
      <w:pPr>
        <w:spacing w:after="6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44A3C"/>
          <w:sz w:val="26"/>
          <w:szCs w:val="26"/>
        </w:rPr>
        <w:t xml:space="preserve">5.7  FR-201 (elective) — FlowRunner with Code</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learner can replace a chain of no-code steps with a single Custom Cloud Code block where that is clearer, and knows how custom actions extend the palette.</w:t>
      </w:r>
    </w:p>
    <w:p>
      <w:pPr>
        <w:spacing w:after="160" w:line="276"/>
      </w:pPr>
      <w:r>
        <w:rPr>
          <w:rFonts w:ascii="Calibri" w:cs="Calibri" w:eastAsia="Calibri" w:hAnsi="Calibri"/>
          <w:b/>
          <w:bCs/>
          <w:sz w:val="22"/>
          <w:szCs w:val="22"/>
        </w:rPr>
        <w:t xml:space="preserve">Capstone. </w:t>
      </w:r>
      <w:r>
        <w:rPr>
          <w:rFonts w:ascii="Calibri" w:cs="Calibri" w:eastAsia="Calibri" w:hAnsi="Calibri"/>
          <w:sz w:val="22"/>
          <w:szCs w:val="22"/>
        </w:rPr>
        <w:t xml:space="preserve">Rebuild the FR-101 contact form using one code block in place of five no-code replacements, then package a reusable step.</w:t>
      </w:r>
    </w:p>
    <w:p>
      <w:pPr>
        <w:spacing w:after="160" w:line="276"/>
      </w:pPr>
      <w:r>
        <w:rPr>
          <w:rFonts w:ascii="Calibri" w:cs="Calibri" w:eastAsia="Calibri" w:hAnsi="Calibri"/>
          <w:b/>
          <w:bCs/>
          <w:sz w:val="22"/>
          <w:szCs w:val="22"/>
        </w:rPr>
        <w:t xml:space="preserve">Why it is designed this way. </w:t>
      </w:r>
      <w:r>
        <w:rPr>
          <w:rFonts w:ascii="Calibri" w:cs="Calibri" w:eastAsia="Calibri" w:hAnsi="Calibri"/>
          <w:sz w:val="22"/>
          <w:szCs w:val="22"/>
        </w:rPr>
        <w:t xml:space="preserve">Kept out of the core path on purpose. The audience is defined as having no prior experience, and the docs themselves offer the code quickstart as an alternative, not a requirement. Making this an elective keeps the core series honest about its promise while still serving the minority who will ask for code on day one.</w:t>
      </w:r>
    </w:p>
    <w:p>
      <w:pPr>
        <w:pStyle w:val="Heading3"/>
        <w:spacing w:after="120" w:before="200"/>
      </w:pPr>
      <w:r>
        <w:rPr>
          <w:rFonts w:ascii="Calibri" w:cs="Calibri" w:eastAsia="Calibri" w:hAnsi="Calibri"/>
          <w:b/>
          <w:bCs/>
          <w:color w:val="595959"/>
          <w:sz w:val="23"/>
          <w:szCs w:val="23"/>
        </w:rPr>
        <w:t xml:space="preserve">Single module — code where it earns its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480"/>
        <w:gridCol w:w="2570"/>
        <w:gridCol w:w="660"/>
      </w:tblGrid>
      <w:tr>
        <w:trPr>
          <w:tblHeader/>
        </w:trPr>
        <w:tc>
          <w:tcPr>
            <w:tcW w:type="dxa" w:w="265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Lesson</w:t>
            </w:r>
          </w:p>
        </w:tc>
        <w:tc>
          <w:tcPr>
            <w:tcW w:type="dxa" w:w="348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The learner can…</w:t>
            </w:r>
          </w:p>
        </w:tc>
        <w:tc>
          <w:tcPr>
            <w:tcW w:type="dxa" w:w="257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Source docs</w:t>
            </w:r>
          </w:p>
        </w:tc>
        <w:tc>
          <w:tcPr>
            <w:tcW w:type="dxa" w:w="6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Min</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contact form, again — with one code block</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Swap repetitive no-code steps for a Custom Cloud Code block</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learn/quickstart-code.md; reference/custom-cloud-code.md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9</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Reading arguments and returning results from code</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Bind flow data into code and expose its result to later blocks</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learn/quickstart-code.md; reference/custom-cloud-code.md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7</w:t>
            </w:r>
          </w:p>
        </w:tc>
      </w:tr>
      <w:tr>
        <w:trPr>
          <w:tblHeader w:val="false"/>
        </w:trPr>
        <w:tc>
          <w:tcPr>
            <w:tcW w:type="dxa" w:w="265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Custom actions: your code as a palette block</w:t>
            </w:r>
          </w:p>
        </w:tc>
        <w:tc>
          <w:tcPr>
            <w:tcW w:type="dxa" w:w="348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Know the path from one-off code to a reusable action</w:t>
            </w:r>
          </w:p>
        </w:tc>
        <w:tc>
          <w:tcPr>
            <w:tcW w:type="dxa" w:w="257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extend/custom-actions.md; build/integrations/custom-actions.md</w:t>
            </w:r>
          </w:p>
        </w:tc>
        <w:tc>
          <w:tcPr>
            <w:tcW w:type="dxa" w:w="6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r>
    </w:tbl>
    <w:p>
      <w:pPr>
        <w:spacing w:after="6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6F54"/>
          <w:sz w:val="32"/>
          <w:szCs w:val="32"/>
        </w:rPr>
        <w:t xml:space="preserve">6. Cross-Course Instructional Design</w:t>
      </w:r>
    </w:p>
    <w:p>
      <w:pPr>
        <w:pStyle w:val="Heading2"/>
        <w:spacing w:after="160" w:before="280"/>
      </w:pPr>
      <w:r>
        <w:rPr>
          <w:rFonts w:ascii="Calibri" w:cs="Calibri" w:eastAsia="Calibri" w:hAnsi="Calibri"/>
          <w:b/>
          <w:bCs/>
          <w:color w:val="244A3C"/>
          <w:sz w:val="26"/>
          <w:szCs w:val="26"/>
        </w:rPr>
        <w:t xml:space="preserve">6.1 Anatomy of a lesson</w:t>
      </w:r>
    </w:p>
    <w:p>
      <w:pPr>
        <w:spacing w:after="160" w:line="276"/>
      </w:pPr>
      <w:r>
        <w:rPr>
          <w:rFonts w:ascii="Calibri" w:cs="Calibri" w:eastAsia="Calibri" w:hAnsi="Calibri"/>
          <w:sz w:val="22"/>
          <w:szCs w:val="22"/>
        </w:rPr>
        <w:t xml:space="preserve">Every lesson follows the same four-beat shape so learners always know where they are: the problem in the learner's terms (thirty seconds), the build on screen (the bulk of the lesson), the one thing that goes wrong — a deliberate mistake and its diagnosis, because beginners learn debugging by watching it — and the recap naming what was learned, with a pointer to the documentation page that covers it in depth.</w:t>
      </w:r>
    </w:p>
    <w:p>
      <w:pPr>
        <w:pStyle w:val="Heading2"/>
        <w:spacing w:after="160" w:before="280"/>
      </w:pPr>
      <w:r>
        <w:rPr>
          <w:rFonts w:ascii="Calibri" w:cs="Calibri" w:eastAsia="Calibri" w:hAnsi="Calibri"/>
          <w:b/>
          <w:bCs/>
          <w:color w:val="244A3C"/>
          <w:sz w:val="26"/>
          <w:szCs w:val="26"/>
        </w:rPr>
        <w:t xml:space="preserve">6.2 Practice and assessment</w:t>
      </w:r>
    </w:p>
    <w:p>
      <w:pPr>
        <w:spacing w:after="160" w:line="276"/>
      </w:pPr>
      <w:r>
        <w:rPr>
          <w:rFonts w:ascii="Calibri" w:cs="Calibri" w:eastAsia="Calibri" w:hAnsi="Calibri"/>
          <w:sz w:val="22"/>
          <w:szCs w:val="22"/>
        </w:rPr>
        <w:t xml:space="preserve">Watching produces familiarity; building produces competence. Each module ends with a short exercise the learner performs in their own workspace — a variation on what was just built, not a repetition — with a downloadable checklist of what the finished result should do. Each course ends with the capstone plus a short knowledge check (eight to twelve questions) targeting the concepts that the exercises cannot verify, such as when Shared Memory is appropriate or why a LIVE version is never edited in place. Testing in FlowRunner costs no executions, which the training states early and often: learners should feel free to experiment.</w:t>
      </w:r>
    </w:p>
    <w:p>
      <w:pPr>
        <w:pStyle w:val="Heading2"/>
        <w:spacing w:after="160" w:before="280"/>
      </w:pPr>
      <w:r>
        <w:rPr>
          <w:rFonts w:ascii="Calibri" w:cs="Calibri" w:eastAsia="Calibri" w:hAnsi="Calibri"/>
          <w:b/>
          <w:bCs/>
          <w:color w:val="244A3C"/>
          <w:sz w:val="26"/>
          <w:szCs w:val="26"/>
        </w:rPr>
        <w:t xml:space="preserve">6.3 The running example</w:t>
      </w:r>
    </w:p>
    <w:p>
      <w:pPr>
        <w:spacing w:after="160" w:line="276"/>
      </w:pPr>
      <w:r>
        <w:rPr>
          <w:rFonts w:ascii="Calibri" w:cs="Calibri" w:eastAsia="Calibri" w:hAnsi="Calibri"/>
          <w:sz w:val="22"/>
          <w:szCs w:val="22"/>
        </w:rPr>
        <w:t xml:space="preserve">One fictional company — a small e-commerce operation — supplies the scenario for every course: its contact form (FR-101), its order data (FR-102), its ticket triage (FR-103), its quote approvals (FR-104), its support agent (FR-105), and its operations (FR-106). A continuing scenario removes the cognitive cost of a new premise per course and quietly demonstrates how flows compose into a real automation estate.</w:t>
      </w:r>
    </w:p>
    <w:p>
      <w:pPr>
        <w:pStyle w:val="Heading1"/>
        <w:spacing w:after="200" w:before="360"/>
      </w:pPr>
      <w:r>
        <w:rPr>
          <w:rFonts w:ascii="Calibri" w:cs="Calibri" w:eastAsia="Calibri" w:hAnsi="Calibri"/>
          <w:b/>
          <w:bCs/>
          <w:color w:val="1F6F54"/>
          <w:sz w:val="32"/>
          <w:szCs w:val="32"/>
        </w:rPr>
        <w:t xml:space="preserve">7. Keeping the Training in Sync with the Documentation</w:t>
      </w:r>
    </w:p>
    <w:p>
      <w:pPr>
        <w:spacing w:after="160" w:line="276"/>
      </w:pPr>
      <w:r>
        <w:rPr>
          <w:rFonts w:ascii="Calibri" w:cs="Calibri" w:eastAsia="Calibri" w:hAnsi="Calibri"/>
          <w:sz w:val="22"/>
          <w:szCs w:val="22"/>
        </w:rPr>
        <w:t xml:space="preserve">The documentation is updated regularly as features are released or improved, and training that drifts from the product is worse than no training: it actively teaches wrong things. Three mechanisms keep the program current.</w:t>
      </w:r>
    </w:p>
    <w:p>
      <w:pPr>
        <w:pStyle w:val="ListParagraph"/>
        <w:numPr>
          <w:ilvl w:val="0"/>
          <w:numId w:val="2"/>
        </w:numPr>
        <w:spacing w:after="100" w:line="276"/>
      </w:pPr>
      <w:r>
        <w:rPr>
          <w:rFonts w:ascii="Calibri" w:cs="Calibri" w:eastAsia="Calibri" w:hAnsi="Calibri"/>
          <w:b/>
          <w:bCs/>
          <w:sz w:val="22"/>
          <w:szCs w:val="22"/>
        </w:rPr>
        <w:t xml:space="preserve">The traceability matrix — </w:t>
      </w:r>
      <w:r>
        <w:rPr>
          <w:rFonts w:ascii="Calibri" w:cs="Calibri" w:eastAsia="Calibri" w:hAnsi="Calibri"/>
          <w:sz w:val="22"/>
          <w:szCs w:val="22"/>
        </w:rPr>
        <w:t xml:space="preserve">The lesson-to-docs mapping in Section 5 and Appendix A is maintained as a living matrix. When a docs page changes, the matrix answers “which lessons are affected?” immediately; a lesson with no docs source (the JSON primer, the capstones) is flagged as training-owned content reviewed on its own cadence.</w:t>
      </w:r>
    </w:p>
    <w:p>
      <w:pPr>
        <w:pStyle w:val="ListParagraph"/>
        <w:numPr>
          <w:ilvl w:val="0"/>
          <w:numId w:val="2"/>
        </w:numPr>
        <w:spacing w:after="100" w:line="276"/>
      </w:pPr>
      <w:r>
        <w:rPr>
          <w:rFonts w:ascii="Calibri" w:cs="Calibri" w:eastAsia="Calibri" w:hAnsi="Calibri"/>
          <w:b/>
          <w:bCs/>
          <w:sz w:val="22"/>
          <w:szCs w:val="22"/>
        </w:rPr>
        <w:t xml:space="preserve">The lesson as the unit of re-recording — </w:t>
      </w:r>
      <w:r>
        <w:rPr>
          <w:rFonts w:ascii="Calibri" w:cs="Calibri" w:eastAsia="Calibri" w:hAnsi="Calibri"/>
          <w:sz w:val="22"/>
          <w:szCs w:val="22"/>
        </w:rPr>
        <w:t xml:space="preserve">Because a lesson carries one competency in three to ten minutes, a product change invalidates a lesson, not a course. Re-recording one six-minute lesson is a fundamentally different maintenance burden from re-recording a one-hour module — this is the strongest argument for the short-lesson format.</w:t>
      </w:r>
    </w:p>
    <w:p>
      <w:pPr>
        <w:pStyle w:val="ListParagraph"/>
        <w:numPr>
          <w:ilvl w:val="0"/>
          <w:numId w:val="2"/>
        </w:numPr>
        <w:spacing w:after="100" w:line="276"/>
      </w:pPr>
      <w:r>
        <w:rPr>
          <w:rFonts w:ascii="Calibri" w:cs="Calibri" w:eastAsia="Calibri" w:hAnsi="Calibri"/>
          <w:b/>
          <w:bCs/>
          <w:sz w:val="22"/>
          <w:szCs w:val="22"/>
        </w:rPr>
        <w:t xml:space="preserve">Release-triggered triage — </w:t>
      </w:r>
      <w:r>
        <w:rPr>
          <w:rFonts w:ascii="Calibri" w:cs="Calibri" w:eastAsia="Calibri" w:hAnsi="Calibri"/>
          <w:sz w:val="22"/>
          <w:szCs w:val="22"/>
        </w:rPr>
        <w:t xml:space="preserve">Each docs update batch triggers a triage pass over the matrix, classifying changes as cosmetic (UI appearance shifted; queue for the next natural re-record), substantive (behavior or steps changed; re-record the affected lessons), or additive (new capability; schedule a new lesson into the roadmap). Screenshots and UI chrome age fastest, which is one more reason lessons focus on concepts and the build rather than on tours of the interface.</w:t>
      </w:r>
    </w:p>
    <w:p>
      <w:pPr>
        <w:pStyle w:val="Heading1"/>
        <w:spacing w:after="200" w:before="360"/>
      </w:pPr>
      <w:r>
        <w:rPr>
          <w:rFonts w:ascii="Calibri" w:cs="Calibri" w:eastAsia="Calibri" w:hAnsi="Calibri"/>
          <w:b/>
          <w:bCs/>
          <w:color w:val="1F6F54"/>
          <w:sz w:val="32"/>
          <w:szCs w:val="32"/>
        </w:rPr>
        <w:t xml:space="preserve">8. Implementation Roadmap</w:t>
      </w:r>
    </w:p>
    <w:p>
      <w:pPr>
        <w:spacing w:after="160" w:line="276"/>
      </w:pPr>
      <w:r>
        <w:rPr>
          <w:rFonts w:ascii="Calibri" w:cs="Calibri" w:eastAsia="Calibri" w:hAnsi="Calibri"/>
          <w:sz w:val="22"/>
          <w:szCs w:val="22"/>
        </w:rPr>
        <w:t xml:space="preserve">The program ships in phases, each phase independently valuable, ordered so that the most learners are served earliest. Per the agreed scope, this roadmap sequences the content work only; production logistics and calendar estimates are planned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rPr>
          <w:tblHeader/>
        </w:trPr>
        <w:tc>
          <w:tcPr>
            <w:tcW w:type="dxa" w:w="11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Phase</w:t>
            </w:r>
          </w:p>
        </w:tc>
        <w:tc>
          <w:tcPr>
            <w:tcW w:type="dxa" w:w="3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Ships</w:t>
            </w:r>
          </w:p>
        </w:tc>
        <w:tc>
          <w:tcPr>
            <w:tcW w:type="dxa" w:w="50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Why this order</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1</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Foundations</w:t>
            </w:r>
          </w:p>
        </w:tc>
        <w:tc>
          <w:tcPr>
            <w:tcW w:type="dxa" w:w="50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 complete beginner-to-first-flow experience, usable on its own for onboarding and trials. Validates the lesson format and the running example before the rest of the series is scripted.</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2</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FR-102 Data + FR-103 Control</w:t>
            </w:r>
          </w:p>
        </w:tc>
        <w:tc>
          <w:tcPr>
            <w:tcW w:type="dxa" w:w="50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Together these make a learner self-sufficient for real processes. They are also the most stable content — data and control-flow semantics change far less often than AI features or connectors.</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3</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FR-104 Integrations</w:t>
            </w:r>
          </w:p>
        </w:tc>
        <w:tc>
          <w:tcPr>
            <w:tcW w:type="dxa" w:w="50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longest course, unlocked by FR-103. Human-in-the-loop and Call Flow API materially expand what learners attempt.</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4</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FR-105 AI</w:t>
            </w:r>
          </w:p>
        </w:tc>
        <w:tc>
          <w:tcPr>
            <w:tcW w:type="dxa" w:w="50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Built once learners can supply the agent's tools. Scheduled late also because AI surface area changes fastest — recording it last minimizes early re-records.</w:t>
            </w:r>
          </w:p>
        </w:tc>
      </w:tr>
      <w:tr>
        <w:trPr>
          <w:tblHeader w:val="false"/>
        </w:trPr>
        <w:tc>
          <w:tcPr>
            <w:tcW w:type="dxa" w:w="11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5</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FR-106 Operations + FR-201 elective</w:t>
            </w:r>
          </w:p>
        </w:tc>
        <w:tc>
          <w:tcPr>
            <w:tcW w:type="dxa" w:w="50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Operations completes the team-builder path; the code elective serves the technical minority without delaying the core.</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Feedback gates sit between phases: Phase 1 does not merely precede Phase 2, it informs it. Lesson-level analytics (drop-off points, rewatch spikes) and a short learner survey after FR-101 should be reviewed before the FR-102/103 scripts are finalized.</w:t>
      </w:r>
    </w:p>
    <w:p>
      <w:pPr>
        <w:pStyle w:val="Heading1"/>
        <w:spacing w:after="200" w:before="360"/>
      </w:pPr>
      <w:r>
        <w:rPr>
          <w:rFonts w:ascii="Calibri" w:cs="Calibri" w:eastAsia="Calibri" w:hAnsi="Calibri"/>
          <w:b/>
          <w:bCs/>
          <w:color w:val="1F6F54"/>
          <w:sz w:val="32"/>
          <w:szCs w:val="32"/>
        </w:rPr>
        <w:t xml:space="preserve">9. Success Measures</w:t>
      </w:r>
    </w:p>
    <w:p>
      <w:pPr>
        <w:spacing w:after="160" w:line="276"/>
      </w:pPr>
      <w:r>
        <w:rPr>
          <w:rFonts w:ascii="Calibri" w:cs="Calibri" w:eastAsia="Calibri" w:hAnsi="Calibri"/>
          <w:sz w:val="22"/>
          <w:szCs w:val="22"/>
        </w:rPr>
        <w:t xml:space="preserve">The program should be judged on learner capability and business effect, not on content volume. Proposed measures, in order of importance: capstone completion rate per course (the single best proxy for real competence); course completion and lesson drop-off (which specific lessons lose people — this drives revision priorities); time-to-first-LIVE-flow for new FlowRunner accounts that engage with FR-101 versus those that do not; support-ticket mix (a falling share of “how do I” tickets in favor of genuine product issues is the training working); and knowledge-check scores as a secondary signal. Each measure should have a baseline captured before Phase 1 ships, or the program's effect will be unarguable in both directions.</w:t>
      </w:r>
    </w:p>
    <w:p>
      <w:pPr>
        <w:pStyle w:val="Heading1"/>
        <w:spacing w:after="200" w:before="360"/>
      </w:pPr>
      <w:r>
        <w:rPr>
          <w:rFonts w:ascii="Calibri" w:cs="Calibri" w:eastAsia="Calibri" w:hAnsi="Calibri"/>
          <w:b/>
          <w:bCs/>
          <w:color w:val="1F6F54"/>
          <w:sz w:val="32"/>
          <w:szCs w:val="32"/>
        </w:rPr>
        <w:t xml:space="preserve">10.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rPr>
          <w:tblHeader/>
        </w:trPr>
        <w:tc>
          <w:tcPr>
            <w:tcW w:type="dxa" w:w="27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Risk</w:t>
            </w:r>
          </w:p>
        </w:tc>
        <w:tc>
          <w:tcPr>
            <w:tcW w:type="dxa" w:w="334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Consequence if ignored</w:t>
            </w:r>
          </w:p>
        </w:tc>
        <w:tc>
          <w:tcPr>
            <w:tcW w:type="dxa" w:w="332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Mitigation</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Docs churn outpaces re-recording</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Training teaches stale UI or behavior; learner trust drops sharply</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Traceability matrix + release-triggered triage (Section 7); concept-first lessons that age slower than UI tours</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Scope creep toward feature coverage</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Courses balloon; beginners drown; completion collapses</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docs' block reference stays reference material; the training teaches patterns, and points to reference pages for the long tail</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AI lessons demo well but transfer poorly</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Learners copy the demo agent and stall on their own use case</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Capstones require the learner's own content (their KB documents, their tool flows); knowledge checks test judgment (when NOT to use an agent)</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The 'no prior knowledge' promise breaks silently</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Data-shape lessons assume JSON literacy; non-technical learners quietly quit</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 dedicated plain-language JSON lesson in FR-102; scripts reviewed against a 'zero-knowledge reader' checklist</w:t>
            </w:r>
          </w:p>
        </w:tc>
      </w:tr>
      <w:tr>
        <w:trPr>
          <w:tblHeader w:val="false"/>
        </w:trPr>
        <w:tc>
          <w:tcPr>
            <w:tcW w:type="dxa" w:w="27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Single running example grows contrived</w:t>
            </w:r>
          </w:p>
        </w:tc>
        <w:tc>
          <w:tcPr>
            <w:tcW w:type="dxa" w:w="334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Later scenarios feel forced, examples less credible</w:t>
            </w:r>
          </w:p>
        </w:tc>
        <w:tc>
          <w:tcPr>
            <w:tcW w:type="dxa" w:w="332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Permit one-off scenarios where the running example strains; the continuity is a default, not a rule</w:t>
            </w:r>
          </w:p>
        </w:tc>
      </w:tr>
    </w:tbl>
    <w:p>
      <w:pPr>
        <w:spacing w:after="8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Two open questions need decisions before Phase 2 scripting: whether the program carries a completion credential (which changes assessment design), and whether tutorials.md in the docs will grow companion written tutorials for the capstones (which would strengthen the docs-training loop and is recommended).</w:t>
      </w:r>
    </w:p>
    <w:p>
      <w:r>
        <w:br w:type="page"/>
      </w:r>
    </w:p>
    <w:p>
      <w:pPr>
        <w:pStyle w:val="Heading1"/>
        <w:spacing w:after="200" w:before="360"/>
      </w:pPr>
      <w:r>
        <w:rPr>
          <w:rFonts w:ascii="Calibri" w:cs="Calibri" w:eastAsia="Calibri" w:hAnsi="Calibri"/>
          <w:b/>
          <w:bCs/>
          <w:color w:val="1F6F54"/>
          <w:sz w:val="32"/>
          <w:szCs w:val="32"/>
        </w:rPr>
        <w:t xml:space="preserve">Appendix A. Documentation Coverage Map</w:t>
      </w:r>
    </w:p>
    <w:p>
      <w:pPr>
        <w:spacing w:after="160" w:line="276"/>
      </w:pPr>
      <w:r>
        <w:rPr>
          <w:rFonts w:ascii="Calibri" w:cs="Calibri" w:eastAsia="Calibri" w:hAnsi="Calibri"/>
          <w:sz w:val="22"/>
          <w:szCs w:val="22"/>
        </w:rPr>
        <w:t xml:space="preserve">Every area of the current documentation, and where the program covers it. “Reference-only” marks pages that the training deliberately points to rather than teaches — the per-block reference is the product's dictionary, and dictionaries are consulted, not read cover to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w:trPr>
          <w:tblHeader/>
        </w:trPr>
        <w:tc>
          <w:tcPr>
            <w:tcW w:type="dxa" w:w="29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Docs area</w:t>
            </w:r>
          </w:p>
        </w:tc>
        <w:tc>
          <w:tcPr>
            <w:tcW w:type="dxa" w:w="326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Pages</w:t>
            </w:r>
          </w:p>
        </w:tc>
        <w:tc>
          <w:tcPr>
            <w:tcW w:type="dxa" w:w="3200"/>
            <w:tcBorders>
              <w:top w:val="single" w:color="C9D9D2" w:sz="4"/>
              <w:left w:val="single" w:color="C9D9D2" w:sz="4"/>
              <w:bottom w:val="single" w:color="C9D9D2" w:sz="4"/>
              <w:right w:val="single" w:color="C9D9D2" w:sz="4"/>
            </w:tcBorders>
            <w:shd w:fill="1F6F5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20"/>
                <w:szCs w:val="20"/>
              </w:rPr>
              <w:t xml:space="preserve">Covered in</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Welcome &amp; terminology</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index.md, definitions.md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M1; terms reinforced throughout</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Quick starts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learn/quickstart.md, quickstart-agent.md, quickstart-code.md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M2 (build-along), FR-105 M2, FR-201</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Core concepts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learn/concepts/* (7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M1, FR-102 M1–M3, FR-104 M4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flow editor</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build/flow-editor.md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M1/M3; techniques recur in every build-along</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data &amp; variables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build/data-and-variables/* (5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FR-102 (entire course)</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flow control</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build/flow-control/* (9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FR-103 (entire course); external-callbacks.md in FR-104 M3</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integrations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build/integrations/* (5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FR-104 M1, M2, M4</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 AI in flows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build/ai-in-flows.md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FR-105 M1–M2</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run/*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FR-101 M3 (first pass), FR-106 M2 (depth)</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 (9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FR-104 M1 (keys, OAuth, forms, MCP), FR-106 M3 (governance), FR-101 M1 (workspace)</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Manage</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manage/*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FR-106 M1 and M3</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API</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api/* (4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FR-104 M2–M3 (introductory treatment; full payload detail stays reference-only)</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 concept pages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error-handling, scheduling, memory, KB, agent-tools, per-user-memory</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FR-103 M4, FR-105 M3, FR-106 M1</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 per-block pages</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~30 block pages</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Reference-only; each lesson names the blocks it uses and links their pages</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Extend</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extend/custom-actions.md</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FR-201 elective</w:t>
            </w:r>
          </w:p>
        </w:tc>
      </w:tr>
      <w:tr>
        <w:trPr>
          <w:tblHeader w:val="false"/>
        </w:trPr>
        <w:tc>
          <w:tcPr>
            <w:tcW w:type="dxa" w:w="29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Knowledge bases stub</w:t>
            </w:r>
          </w:p>
        </w:tc>
        <w:tc>
          <w:tcPr>
            <w:tcW w:type="dxa" w:w="326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platform/knowledge-bases.md (stub page)</w:t>
            </w:r>
          </w:p>
        </w:tc>
        <w:tc>
          <w:tcPr>
            <w:tcW w:type="dxa" w:w="3200"/>
            <w:tcBorders>
              <w:top w:val="single" w:color="C9D9D2" w:sz="4"/>
              <w:left w:val="single" w:color="C9D9D2" w:sz="4"/>
              <w:bottom w:val="single" w:color="C9D9D2" w:sz="4"/>
              <w:right w:val="single" w:color="C9D9D2"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sz w:val="20"/>
                <w:szCs w:val="20"/>
              </w:rPr>
              <w:t xml:space="preserve">Taught from reference/knowledge-bases-concept.md; stub noted for docs team</w:t>
            </w:r>
          </w:p>
        </w:tc>
      </w:tr>
    </w:tbl>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2026-08-24T20:29:48.131Z</dcterms:created>
  <dcterms:modified xsi:type="dcterms:W3CDTF">2026-08-24T20:29:48.131Z</dcterms:modified>
</cp:coreProperties>
</file>

<file path=docProps/custom.xml><?xml version="1.0" encoding="utf-8"?>
<Properties xmlns="http://schemas.openxmlformats.org/officeDocument/2006/custom-properties" xmlns:vt="http://schemas.openxmlformats.org/officeDocument/2006/docPropsVTypes"/>
</file>