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80758" w14:textId="77777777" w:rsidR="00D166BF" w:rsidRPr="00D166BF" w:rsidRDefault="00D166BF" w:rsidP="00D166BF">
      <w:pPr>
        <w:rPr>
          <w:b/>
          <w:bCs/>
        </w:rPr>
      </w:pPr>
      <w:r w:rsidRPr="00D166BF">
        <w:rPr>
          <w:b/>
          <w:bCs/>
        </w:rPr>
        <w:t>The Continuous Compliance Organization: Integrating DevOps, AI Governance, and Financial Regulation</w:t>
      </w:r>
    </w:p>
    <w:p w14:paraId="273EA080" w14:textId="77777777" w:rsidR="00D166BF" w:rsidRPr="00D166BF" w:rsidRDefault="00D166BF" w:rsidP="00D166BF">
      <w:pPr>
        <w:rPr>
          <w:b/>
          <w:bCs/>
        </w:rPr>
      </w:pPr>
      <w:r w:rsidRPr="00D166BF">
        <w:rPr>
          <w:b/>
          <w:bCs/>
        </w:rPr>
        <w:t>I. The Executive Imperative: Governance and the Quality-Cost Equation</w:t>
      </w:r>
    </w:p>
    <w:p w14:paraId="28A006B3" w14:textId="77777777" w:rsidR="00D166BF" w:rsidRPr="00D166BF" w:rsidRDefault="00D166BF" w:rsidP="00D166BF">
      <w:pPr>
        <w:rPr>
          <w:b/>
          <w:bCs/>
        </w:rPr>
      </w:pPr>
      <w:r w:rsidRPr="00D166BF">
        <w:rPr>
          <w:b/>
          <w:bCs/>
        </w:rPr>
        <w:t>1.1. The Financial Cost of Technical Debt and Quality Failure</w:t>
      </w:r>
    </w:p>
    <w:p w14:paraId="1E2DBD59" w14:textId="77777777" w:rsidR="00D166BF" w:rsidRPr="00D166BF" w:rsidRDefault="00D166BF" w:rsidP="00D166BF">
      <w:r w:rsidRPr="00D166BF">
        <w:t>Modern organizations within the financial sector face a critical strategic challenge stemming from unsustainable expenditures dedicated to rectifying foundational quality issues. The evidence indicates a substantial financial burden where $273 million, representing 35% of the total $780 million budget allocated across 260 development teams, is currently spent combating technical debt, production support, and defect remediation.</w:t>
      </w:r>
      <w:r w:rsidRPr="00D166BF">
        <w:rPr>
          <w:vertAlign w:val="superscript"/>
        </w:rPr>
        <w:t>1</w:t>
      </w:r>
    </w:p>
    <w:p w14:paraId="5BC5BB46" w14:textId="77777777" w:rsidR="00D166BF" w:rsidRPr="00D166BF" w:rsidRDefault="00D166BF" w:rsidP="00D166BF">
      <w:r w:rsidRPr="00D166BF">
        <w:t xml:space="preserve">To quantify the lost capacity, this sunk cost represents approximately 89 teams' worth of capacity annually, based on the cost breakdown and average defect rate </w:t>
      </w:r>
      <w:r w:rsidRPr="00D166BF">
        <w:rPr>
          <w:vertAlign w:val="superscript"/>
        </w:rPr>
        <w:t>1</w:t>
      </w:r>
      <w:r w:rsidRPr="00D166BF">
        <w:t>:</w:t>
      </w:r>
    </w:p>
    <w:p w14:paraId="4BAE5242" w14:textId="77777777" w:rsidR="00D166BF" w:rsidRPr="00D166BF" w:rsidRDefault="00D166BF" w:rsidP="00D166BF">
      <w:r w:rsidRPr="00D166BF">
        <w:t>Table Title: Calculation of Sunk Cost (Lost Productivity) per Team</w:t>
      </w:r>
    </w:p>
    <w:tbl>
      <w:tblPr>
        <w:tblW w:w="0" w:type="auto"/>
        <w:tblCellSpacing w:w="15" w:type="dxa"/>
        <w:tblCellMar>
          <w:left w:w="0" w:type="dxa"/>
          <w:right w:w="0" w:type="dxa"/>
        </w:tblCellMar>
        <w:tblLook w:val="04A0" w:firstRow="1" w:lastRow="0" w:firstColumn="1" w:lastColumn="0" w:noHBand="0" w:noVBand="1"/>
      </w:tblPr>
      <w:tblGrid>
        <w:gridCol w:w="3012"/>
        <w:gridCol w:w="4471"/>
        <w:gridCol w:w="1861"/>
      </w:tblGrid>
      <w:tr w:rsidR="00D166BF" w:rsidRPr="00D166BF" w14:paraId="0F8AEA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6820B" w14:textId="77777777" w:rsidR="00D166BF" w:rsidRPr="00D166BF" w:rsidRDefault="00D166BF" w:rsidP="00D166BF">
            <w:r w:rsidRPr="00D166BF">
              <w:rPr>
                <w:b/>
                <w:bCs/>
              </w:rPr>
              <w:t>Calculation 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7D88F" w14:textId="77777777" w:rsidR="00D166BF" w:rsidRPr="00D166BF" w:rsidRDefault="00D166BF" w:rsidP="00D166BF">
            <w:r w:rsidRPr="00D166BF">
              <w:rPr>
                <w:b/>
                <w:bC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BA377" w14:textId="77777777" w:rsidR="00D166BF" w:rsidRPr="00D166BF" w:rsidRDefault="00D166BF" w:rsidP="00D166BF">
            <w:r w:rsidRPr="00D166BF">
              <w:rPr>
                <w:b/>
                <w:bCs/>
              </w:rPr>
              <w:t>Value</w:t>
            </w:r>
          </w:p>
        </w:tc>
      </w:tr>
      <w:tr w:rsidR="00D166BF" w:rsidRPr="00D166BF" w14:paraId="5D6210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3E9CE" w14:textId="77777777" w:rsidR="00D166BF" w:rsidRPr="00D166BF" w:rsidRDefault="00D166BF" w:rsidP="00D166BF">
            <w:r w:rsidRPr="00D166BF">
              <w:rPr>
                <w:b/>
                <w:bCs/>
              </w:rPr>
              <w:t>1. Annual Team Cost (US)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D5DE7" w14:textId="77777777" w:rsidR="00D166BF" w:rsidRPr="00D166BF" w:rsidRDefault="00D166BF" w:rsidP="00D166BF">
            <w:r w:rsidRPr="00D166BF">
              <w:t>Average fully loaded cost per team per 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82721" w14:textId="77777777" w:rsidR="00D166BF" w:rsidRPr="00D166BF" w:rsidRDefault="00D166BF" w:rsidP="00D166BF">
            <w:r w:rsidRPr="00D166BF">
              <w:t>$3,000,000</w:t>
            </w:r>
          </w:p>
        </w:tc>
      </w:tr>
      <w:tr w:rsidR="00D166BF" w:rsidRPr="00D166BF" w14:paraId="405CFE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B2897" w14:textId="77777777" w:rsidR="00D166BF" w:rsidRPr="00D166BF" w:rsidRDefault="00D166BF" w:rsidP="00D166BF">
            <w:r w:rsidRPr="00D166BF">
              <w:rPr>
                <w:b/>
                <w:bCs/>
              </w:rPr>
              <w:t>2. Annual Work Cycles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0EA0B" w14:textId="77777777" w:rsidR="00D166BF" w:rsidRPr="00D166BF" w:rsidRDefault="00D166BF" w:rsidP="00D166BF">
            <w:r w:rsidRPr="00D166BF">
              <w:t>Standardized 14-day cycles/sprints per 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F82E2" w14:textId="77777777" w:rsidR="00D166BF" w:rsidRPr="00D166BF" w:rsidRDefault="00D166BF" w:rsidP="00D166BF">
            <w:r w:rsidRPr="00D166BF">
              <w:t>24</w:t>
            </w:r>
          </w:p>
        </w:tc>
      </w:tr>
      <w:tr w:rsidR="00D166BF" w:rsidRPr="00D166BF" w14:paraId="405BF8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0465E" w14:textId="77777777" w:rsidR="00D166BF" w:rsidRPr="00D166BF" w:rsidRDefault="00D166BF" w:rsidP="00D166BF">
            <w:r w:rsidRPr="00D166BF">
              <w:rPr>
                <w:b/>
                <w:bCs/>
              </w:rPr>
              <w:t>3. Cost Per Cycle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8579F" w14:textId="77777777" w:rsidR="00D166BF" w:rsidRPr="00D166BF" w:rsidRDefault="00D166BF" w:rsidP="00D166BF">
            <w:r w:rsidRPr="00D166BF">
              <w:t>$3,000,000 / 24 cycles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62F94" w14:textId="77777777" w:rsidR="00D166BF" w:rsidRPr="00D166BF" w:rsidRDefault="00D166BF" w:rsidP="00D166BF">
            <w:r w:rsidRPr="00D166BF">
              <w:t>$125,000</w:t>
            </w:r>
          </w:p>
        </w:tc>
      </w:tr>
      <w:tr w:rsidR="00D166BF" w:rsidRPr="00D166BF" w14:paraId="2A4327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52F50" w14:textId="77777777" w:rsidR="00D166BF" w:rsidRPr="00D166BF" w:rsidRDefault="00D166BF" w:rsidP="00D166BF">
            <w:r w:rsidRPr="00D166BF">
              <w:rPr>
                <w:b/>
                <w:bCs/>
              </w:rPr>
              <w:t>4. Cost Per Work 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4CB2D" w14:textId="77777777" w:rsidR="00D166BF" w:rsidRPr="00D166BF" w:rsidRDefault="00D166BF" w:rsidP="00D166BF">
            <w:r w:rsidRPr="00D166BF">
              <w:t>Average throughput (15 work items/cycle): $125,000 /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3899D" w14:textId="77777777" w:rsidR="00D166BF" w:rsidRPr="00D166BF" w:rsidRDefault="00D166BF" w:rsidP="00D166BF">
            <w:r w:rsidRPr="00D166BF">
              <w:t>$8,333</w:t>
            </w:r>
          </w:p>
        </w:tc>
      </w:tr>
      <w:tr w:rsidR="00D166BF" w:rsidRPr="00D166BF" w14:paraId="3B73B0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ED1FA" w14:textId="77777777" w:rsidR="00D166BF" w:rsidRPr="00D166BF" w:rsidRDefault="00D166BF" w:rsidP="00D166BF">
            <w:r w:rsidRPr="00D166BF">
              <w:rPr>
                <w:b/>
                <w:bCs/>
              </w:rPr>
              <w:t>5. Defect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A4800" w14:textId="77777777" w:rsidR="00D166BF" w:rsidRPr="00D166BF" w:rsidRDefault="00D166BF" w:rsidP="00D166BF">
            <w:r w:rsidRPr="00D166BF">
              <w:t>Budget allocated to defect remediation and technical debt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8FC4C" w14:textId="77777777" w:rsidR="00D166BF" w:rsidRPr="00D166BF" w:rsidRDefault="00D166BF" w:rsidP="00D166BF">
            <w:r w:rsidRPr="00D166BF">
              <w:t xml:space="preserve">35% </w:t>
            </w:r>
            <w:r w:rsidRPr="00D166BF">
              <w:rPr>
                <w:vertAlign w:val="superscript"/>
              </w:rPr>
              <w:t>1</w:t>
            </w:r>
          </w:p>
        </w:tc>
      </w:tr>
      <w:tr w:rsidR="00D166BF" w:rsidRPr="00D166BF" w14:paraId="434F35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11DC6" w14:textId="77777777" w:rsidR="00D166BF" w:rsidRPr="00D166BF" w:rsidRDefault="00D166BF" w:rsidP="00D166BF">
            <w:r w:rsidRPr="00D166BF">
              <w:rPr>
                <w:b/>
                <w:bCs/>
              </w:rPr>
              <w:t>6. Annual Defects/Rework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00DCC" w14:textId="77777777" w:rsidR="00D166BF" w:rsidRPr="00D166BF" w:rsidRDefault="00D166BF" w:rsidP="00D166BF">
            <w:r w:rsidRPr="00D166BF">
              <w:t>Total annual throughput (360 items) x 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E0EEC" w14:textId="77777777" w:rsidR="00D166BF" w:rsidRPr="00D166BF" w:rsidRDefault="00D166BF" w:rsidP="00D166BF">
            <w:r w:rsidRPr="00D166BF">
              <w:t>126 Defects</w:t>
            </w:r>
          </w:p>
        </w:tc>
      </w:tr>
      <w:tr w:rsidR="00D166BF" w:rsidRPr="00D166BF" w14:paraId="183FC7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65AD0" w14:textId="77777777" w:rsidR="00D166BF" w:rsidRPr="00D166BF" w:rsidRDefault="00D166BF" w:rsidP="00D166BF">
            <w:r w:rsidRPr="00D166BF">
              <w:rPr>
                <w:b/>
                <w:bCs/>
              </w:rPr>
              <w:lastRenderedPageBreak/>
              <w:t>7. Defect Sunk Cost Per Team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6B0BC" w14:textId="77777777" w:rsidR="00D166BF" w:rsidRPr="00D166BF" w:rsidRDefault="00D166BF" w:rsidP="00D166BF">
            <w:r w:rsidRPr="00D166BF">
              <w:t>126 Defects x $8,333/defect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6E799" w14:textId="77777777" w:rsidR="00D166BF" w:rsidRPr="00D166BF" w:rsidRDefault="00D166BF" w:rsidP="00D166BF">
            <w:r w:rsidRPr="00D166BF">
              <w:t>$1,049,958</w:t>
            </w:r>
          </w:p>
        </w:tc>
      </w:tr>
      <w:tr w:rsidR="00D166BF" w:rsidRPr="00D166BF" w14:paraId="772AD3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46690" w14:textId="77777777" w:rsidR="00D166BF" w:rsidRPr="00D166BF" w:rsidRDefault="00D166BF" w:rsidP="00D166BF">
            <w:r w:rsidRPr="00D166BF">
              <w:rPr>
                <w:b/>
                <w:bCs/>
              </w:rPr>
              <w:t>8. Total Lost Productivity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F9AF3" w14:textId="77777777" w:rsidR="00D166BF" w:rsidRPr="00D166BF" w:rsidRDefault="00D166BF" w:rsidP="00D166BF">
            <w:r w:rsidRPr="00D166BF">
              <w:t>$1,049,958 x 256 teams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820B0" w14:textId="77777777" w:rsidR="00D166BF" w:rsidRPr="00D166BF" w:rsidRDefault="00D166BF" w:rsidP="00D166BF">
            <w:r w:rsidRPr="00D166BF">
              <w:rPr>
                <w:b/>
                <w:bCs/>
              </w:rPr>
              <w:t>$268,789,248</w:t>
            </w:r>
          </w:p>
        </w:tc>
      </w:tr>
    </w:tbl>
    <w:p w14:paraId="4102E3B3" w14:textId="77777777" w:rsidR="00D166BF" w:rsidRPr="00D166BF" w:rsidRDefault="00D166BF" w:rsidP="00D166BF">
      <w:r w:rsidRPr="00D166BF">
        <w:t>This expenditure signifies a colossal financial drain on resources that produce no new customer value. This allocation of capital highlights a significant opportunity cost: every dollar spent fixing preventable defects is a dollar withheld from innovation, strategic growth initiatives, and crucial customer experience enhancements.</w:t>
      </w:r>
      <w:r w:rsidRPr="00D166BF">
        <w:rPr>
          <w:vertAlign w:val="superscript"/>
        </w:rPr>
        <w:t>1</w:t>
      </w:r>
    </w:p>
    <w:p w14:paraId="26E62046" w14:textId="77777777" w:rsidR="00D166BF" w:rsidRPr="00D166BF" w:rsidRDefault="00D166BF" w:rsidP="00D166BF">
      <w:r w:rsidRPr="00D166BF">
        <w:t xml:space="preserve">Beyond the direct cost of rework, this massive resource drain creates a substantial </w:t>
      </w:r>
      <w:r w:rsidRPr="00D166BF">
        <w:rPr>
          <w:b/>
          <w:bCs/>
        </w:rPr>
        <w:t>indirect compliance risk</w:t>
      </w:r>
      <w:r w:rsidRPr="00D166BF">
        <w:t xml:space="preserve">. When 35% of engineering capacity is trapped in fixing old defects, organizational focus shifts from proactive governance to reactive maintenance, directly increasing the probability of missed regulatory controls and severe sanctions. </w:t>
      </w:r>
      <w:r w:rsidRPr="00D166BF">
        <w:rPr>
          <w:vertAlign w:val="superscript"/>
        </w:rPr>
        <w:t>1</w:t>
      </w:r>
    </w:p>
    <w:p w14:paraId="6570D387" w14:textId="77777777" w:rsidR="00D166BF" w:rsidRPr="00D166BF" w:rsidRDefault="00D166BF" w:rsidP="00D166BF">
      <w:r w:rsidRPr="00D166BF">
        <w:t xml:space="preserve">The added risk of resource scarcity manifests in several core governance failures: The capacity consumed by technical debt directly prevents the proper execution of the </w:t>
      </w:r>
      <w:r w:rsidRPr="00D166BF">
        <w:rPr>
          <w:b/>
          <w:bCs/>
        </w:rPr>
        <w:t>Definition of Releasable (DoR)</w:t>
      </w:r>
      <w:r w:rsidRPr="00D166BF">
        <w:t xml:space="preserve"> policy.</w:t>
      </w:r>
      <w:r w:rsidRPr="00D166BF">
        <w:rPr>
          <w:vertAlign w:val="superscript"/>
        </w:rPr>
        <w:t>1</w:t>
      </w:r>
      <w:r w:rsidRPr="00D166BF">
        <w:t xml:space="preserve"> This policy requires comprehensive </w:t>
      </w:r>
      <w:r w:rsidRPr="00D166BF">
        <w:rPr>
          <w:b/>
          <w:bCs/>
        </w:rPr>
        <w:t>Release Planning</w:t>
      </w:r>
      <w:r w:rsidRPr="00D166BF">
        <w:t xml:space="preserve"> and execution of essential pre- and post-deployment procedures that cannot be rushed.</w:t>
      </w:r>
      <w:r w:rsidRPr="00D166BF">
        <w:rPr>
          <w:vertAlign w:val="superscript"/>
        </w:rPr>
        <w:t>1</w:t>
      </w:r>
      <w:r w:rsidRPr="00D166BF">
        <w:t xml:space="preserve"> Critically, teams lack the bandwidth to perform mandated tasks such as: (1) detailed </w:t>
      </w:r>
      <w:r w:rsidRPr="00D166BF">
        <w:rPr>
          <w:b/>
          <w:bCs/>
        </w:rPr>
        <w:t>Internal and External Change Management</w:t>
      </w:r>
      <w:r w:rsidRPr="00D166BF">
        <w:t xml:space="preserve"> planning and </w:t>
      </w:r>
      <w:r w:rsidRPr="00D166BF">
        <w:rPr>
          <w:b/>
          <w:bCs/>
        </w:rPr>
        <w:t>Procedure Updates</w:t>
      </w:r>
      <w:r w:rsidRPr="00D166BF">
        <w:t xml:space="preserve"> </w:t>
      </w:r>
      <w:r w:rsidRPr="00D166BF">
        <w:rPr>
          <w:vertAlign w:val="superscript"/>
        </w:rPr>
        <w:t>1</w:t>
      </w:r>
      <w:r w:rsidRPr="00D166BF">
        <w:t xml:space="preserve">, (2) architectural </w:t>
      </w:r>
      <w:r w:rsidRPr="00D166BF">
        <w:rPr>
          <w:b/>
          <w:bCs/>
        </w:rPr>
        <w:t>Rollback Plan</w:t>
      </w:r>
      <w:r w:rsidRPr="00D166BF">
        <w:t xml:space="preserve"> validation (e.g., Blue/Green readiness) </w:t>
      </w:r>
      <w:r w:rsidRPr="00D166BF">
        <w:rPr>
          <w:vertAlign w:val="superscript"/>
        </w:rPr>
        <w:t>1</w:t>
      </w:r>
      <w:r w:rsidRPr="00D166BF">
        <w:t xml:space="preserve">, and (3) systematic </w:t>
      </w:r>
      <w:r w:rsidRPr="00D166BF">
        <w:rPr>
          <w:b/>
          <w:bCs/>
        </w:rPr>
        <w:t>Post-production NFR Validation</w:t>
      </w:r>
      <w:r w:rsidRPr="00D166BF">
        <w:t xml:space="preserve"> (Dark Launches and Canary soak periods).</w:t>
      </w:r>
      <w:r w:rsidRPr="00D166BF">
        <w:rPr>
          <w:vertAlign w:val="superscript"/>
        </w:rPr>
        <w:t>1</w:t>
      </w:r>
      <w:r w:rsidRPr="00D166BF">
        <w:t xml:space="preserve"> This operational bottleneck forces teams to bypass essential </w:t>
      </w:r>
      <w:r w:rsidRPr="00D166BF">
        <w:rPr>
          <w:b/>
          <w:bCs/>
        </w:rPr>
        <w:t>Go-to-Market</w:t>
      </w:r>
      <w:r w:rsidRPr="00D166BF">
        <w:t xml:space="preserve"> readiness checks, maximizing the risk of both technical failure (MTTR spike) and regulatory non-compliance (missing auditable sign-offs).</w:t>
      </w:r>
      <w:r w:rsidRPr="00D166BF">
        <w:rPr>
          <w:vertAlign w:val="superscript"/>
        </w:rPr>
        <w:t>1</w:t>
      </w:r>
    </w:p>
    <w:p w14:paraId="346FC16D" w14:textId="77777777" w:rsidR="00D166BF" w:rsidRPr="00D166BF" w:rsidRDefault="00D166BF" w:rsidP="00D166BF">
      <w:r w:rsidRPr="00D166BF">
        <w:t>Consider two scenarios resulting from persistent technical debt:</w:t>
      </w:r>
    </w:p>
    <w:p w14:paraId="3E5C5534" w14:textId="77777777" w:rsidR="00D166BF" w:rsidRPr="00D166BF" w:rsidRDefault="00D166BF" w:rsidP="00D166BF">
      <w:pPr>
        <w:numPr>
          <w:ilvl w:val="0"/>
          <w:numId w:val="1"/>
        </w:numPr>
      </w:pPr>
      <w:r w:rsidRPr="00D166BF">
        <w:rPr>
          <w:b/>
          <w:bCs/>
        </w:rPr>
        <w:t>AI Model Risk Management (MRM) Failure:</w:t>
      </w:r>
      <w:r w:rsidRPr="00D166BF">
        <w:t xml:space="preserve"> The opportunity cost prevents the development and deployment of critical model monitoring infrastructure. This results in the failure to establish adequate supervisory oversight for AI systems, which led to penalties up to </w:t>
      </w:r>
      <w:r w:rsidRPr="00D166BF">
        <w:rPr>
          <w:b/>
          <w:bCs/>
        </w:rPr>
        <w:t>$90 million</w:t>
      </w:r>
      <w:r w:rsidRPr="00D166BF">
        <w:t xml:space="preserve"> for firms with inadequate algorithmic oversight frameworks (FINRA Rule 3110 failure).</w:t>
      </w:r>
      <w:r w:rsidRPr="00D166BF">
        <w:rPr>
          <w:vertAlign w:val="superscript"/>
        </w:rPr>
        <w:t>1</w:t>
      </w:r>
      <w:r w:rsidRPr="00D166BF">
        <w:t xml:space="preserve"> The sunk cost effectively prioritized fixing minor bugs over securing the core financial logic of high-stakes AI systems.</w:t>
      </w:r>
      <w:r w:rsidRPr="00D166BF">
        <w:rPr>
          <w:vertAlign w:val="superscript"/>
        </w:rPr>
        <w:t>1</w:t>
      </w:r>
    </w:p>
    <w:p w14:paraId="773D873A" w14:textId="77777777" w:rsidR="00D166BF" w:rsidRPr="00D166BF" w:rsidRDefault="00D166BF" w:rsidP="00D166BF">
      <w:pPr>
        <w:numPr>
          <w:ilvl w:val="0"/>
          <w:numId w:val="1"/>
        </w:numPr>
      </w:pPr>
      <w:r w:rsidRPr="00D166BF">
        <w:rPr>
          <w:b/>
          <w:bCs/>
        </w:rPr>
        <w:lastRenderedPageBreak/>
        <w:t>SOX Change Management Breakdown:</w:t>
      </w:r>
      <w:r w:rsidRPr="00D166BF">
        <w:t xml:space="preserve"> High defect rates force engineers to bypass Change Validation Procedures to meet release deadlines, creating an unapproved and un-audited change path to production. This lapse in </w:t>
      </w:r>
      <w:r w:rsidRPr="00D166BF">
        <w:rPr>
          <w:b/>
          <w:bCs/>
        </w:rPr>
        <w:t>IT General Controls (ITGCs)</w:t>
      </w:r>
      <w:r w:rsidRPr="00D166BF">
        <w:t xml:space="preserve"> directly violates SOX Section 404, leading to multi-million dollar penalties for inadequate internal controls over financial reporting.</w:t>
      </w:r>
      <w:r w:rsidRPr="00D166BF">
        <w:rPr>
          <w:vertAlign w:val="superscript"/>
        </w:rPr>
        <w:t>3</w:t>
      </w:r>
    </w:p>
    <w:p w14:paraId="0E79A606" w14:textId="77777777" w:rsidR="00D166BF" w:rsidRPr="00D166BF" w:rsidRDefault="00D166BF" w:rsidP="00D166BF">
      <w:r w:rsidRPr="00D166BF">
        <w:t>The continuous expenditure on technical debt is, therefore, a strategic liability that maximizes both the operational and regulatory exposure of the firm. The compelling argument for automation and cultural shift, therefore, is rooted in the mandate to aggressively reduce this non-value-adding expense. By refocusing efforts toward quality-centric practices—a strategic realignment toward embedding quality earlier in the lifecycle—the organization can liberate significant capital for investment directly into competitive advantage and long-term sustainability.</w:t>
      </w:r>
      <w:r w:rsidRPr="00D166BF">
        <w:rPr>
          <w:vertAlign w:val="superscript"/>
        </w:rPr>
        <w:t>1</w:t>
      </w:r>
      <w:r w:rsidRPr="00D166BF">
        <w:t xml:space="preserve"> Furthermore, reducing the frequency and duration of production failures inherently drives down the Mean Time to Restore Service (MTTR), directly translating into quantifiable cost savings and reduced business exposure time.</w:t>
      </w:r>
      <w:r w:rsidRPr="00D166BF">
        <w:rPr>
          <w:vertAlign w:val="superscript"/>
        </w:rPr>
        <w:t>1</w:t>
      </w:r>
    </w:p>
    <w:p w14:paraId="6BE2E1A9" w14:textId="77777777" w:rsidR="00D166BF" w:rsidRPr="00D166BF" w:rsidRDefault="00D166BF" w:rsidP="00D166BF">
      <w:r w:rsidRPr="00D166BF">
        <w:t>Table Title: Financial and Strategic Justification for Continuous Compliance</w:t>
      </w:r>
    </w:p>
    <w:tbl>
      <w:tblPr>
        <w:tblW w:w="0" w:type="auto"/>
        <w:tblCellSpacing w:w="15" w:type="dxa"/>
        <w:tblCellMar>
          <w:left w:w="0" w:type="dxa"/>
          <w:right w:w="0" w:type="dxa"/>
        </w:tblCellMar>
        <w:tblLook w:val="04A0" w:firstRow="1" w:lastRow="0" w:firstColumn="1" w:lastColumn="0" w:noHBand="0" w:noVBand="1"/>
      </w:tblPr>
      <w:tblGrid>
        <w:gridCol w:w="1786"/>
        <w:gridCol w:w="2108"/>
        <w:gridCol w:w="2793"/>
        <w:gridCol w:w="2657"/>
      </w:tblGrid>
      <w:tr w:rsidR="00D166BF" w:rsidRPr="00D166BF" w14:paraId="51A5ED7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7F40C" w14:textId="77777777" w:rsidR="00D166BF" w:rsidRPr="00D166BF" w:rsidRDefault="00D166BF" w:rsidP="00D166BF">
            <w:r w:rsidRPr="00D166BF">
              <w:rPr>
                <w:b/>
                <w:bCs/>
              </w:rPr>
              <w:t>Metric/Cost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A60AD" w14:textId="77777777" w:rsidR="00D166BF" w:rsidRPr="00D166BF" w:rsidRDefault="00D166BF" w:rsidP="00D166BF">
            <w:r w:rsidRPr="00D166BF">
              <w:rPr>
                <w:b/>
                <w:bCs/>
              </w:rPr>
              <w:t>Pre-Transformation State (Manual QA/Audit)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BB179" w14:textId="77777777" w:rsidR="00D166BF" w:rsidRPr="00D166BF" w:rsidRDefault="00D166BF" w:rsidP="00D166BF">
            <w:r w:rsidRPr="00D166BF">
              <w:rPr>
                <w:b/>
                <w:bCs/>
              </w:rPr>
              <w:t>Goal State (Automated Compliance/DevOps)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46CFC" w14:textId="77777777" w:rsidR="00D166BF" w:rsidRPr="00D166BF" w:rsidRDefault="00D166BF" w:rsidP="00D166BF">
            <w:r w:rsidRPr="00D166BF">
              <w:rPr>
                <w:b/>
                <w:bCs/>
              </w:rPr>
              <w:t>Primary Audience Value</w:t>
            </w:r>
          </w:p>
        </w:tc>
      </w:tr>
      <w:tr w:rsidR="00D166BF" w:rsidRPr="00D166BF" w14:paraId="6EE2F4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3D9FA" w14:textId="77777777" w:rsidR="00D166BF" w:rsidRPr="00D166BF" w:rsidRDefault="00D166BF" w:rsidP="00D166BF">
            <w:r w:rsidRPr="00D166BF">
              <w:t>Technical Debt/Defect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E2D4D" w14:textId="77777777" w:rsidR="00D166BF" w:rsidRPr="00D166BF" w:rsidRDefault="00D166BF" w:rsidP="00D166BF">
            <w:r w:rsidRPr="00D166BF">
              <w:t xml:space="preserve">35% of total budget ($273M)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CC8E0" w14:textId="77777777" w:rsidR="00D166BF" w:rsidRPr="00D166BF" w:rsidRDefault="00D166BF" w:rsidP="00D166BF">
            <w:r w:rsidRPr="00D166BF">
              <w:t>Reduction by 50-80% (Reallocation to Innovation)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3146A" w14:textId="77777777" w:rsidR="00D166BF" w:rsidRPr="00D166BF" w:rsidRDefault="00D166BF" w:rsidP="00D166BF">
            <w:r w:rsidRPr="00D166BF">
              <w:t>Executive/Financial</w:t>
            </w:r>
          </w:p>
        </w:tc>
      </w:tr>
      <w:tr w:rsidR="00D166BF" w:rsidRPr="00D166BF" w14:paraId="2BD7EB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DDC50" w14:textId="77777777" w:rsidR="00D166BF" w:rsidRPr="00D166BF" w:rsidRDefault="00D166BF" w:rsidP="00D166BF">
            <w:r w:rsidRPr="00D166BF">
              <w:t>Mean Time To Restore Service (MTTR)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996FE" w14:textId="77777777" w:rsidR="00D166BF" w:rsidRPr="00D166BF" w:rsidRDefault="00D166BF" w:rsidP="00D166BF">
            <w:r w:rsidRPr="00D166BF">
              <w:t>Hours/Days (Manual Rollback/Fixes)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27560" w14:textId="77777777" w:rsidR="00D166BF" w:rsidRPr="00D166BF" w:rsidRDefault="00D166BF" w:rsidP="00D166BF">
            <w:r w:rsidRPr="00D166BF">
              <w:t xml:space="preserve">Seconds/Minutes (Blue/Green Architecture)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DBB50" w14:textId="77777777" w:rsidR="00D166BF" w:rsidRPr="00D166BF" w:rsidRDefault="00D166BF" w:rsidP="00D166BF">
            <w:r w:rsidRPr="00D166BF">
              <w:t>Executive/Operations</w:t>
            </w:r>
          </w:p>
        </w:tc>
      </w:tr>
      <w:tr w:rsidR="00D166BF" w:rsidRPr="00D166BF" w14:paraId="32CA3A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A600F" w14:textId="77777777" w:rsidR="00D166BF" w:rsidRPr="00D166BF" w:rsidRDefault="00D166BF" w:rsidP="00D166BF">
            <w:r w:rsidRPr="00D166BF">
              <w:t>Audit Readiness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3E1B0" w14:textId="77777777" w:rsidR="00D166BF" w:rsidRPr="00D166BF" w:rsidRDefault="00D166BF" w:rsidP="00D166BF">
            <w:r w:rsidRPr="00D166BF">
              <w:t xml:space="preserve">Reactive (Forensic Analysis, </w:t>
            </w:r>
            <w:r w:rsidRPr="00D166BF">
              <w:lastRenderedPageBreak/>
              <w:t>Annual Scramble)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5E64B" w14:textId="77777777" w:rsidR="00D166BF" w:rsidRPr="00D166BF" w:rsidRDefault="00D166BF" w:rsidP="00D166BF">
            <w:r w:rsidRPr="00D166BF">
              <w:lastRenderedPageBreak/>
              <w:t xml:space="preserve">Continuous (Automated Artifact Generation) </w:t>
            </w:r>
            <w:r w:rsidRPr="00D166BF">
              <w:rPr>
                <w:vertAlign w:val="superscript"/>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09E6C" w14:textId="77777777" w:rsidR="00D166BF" w:rsidRPr="00D166BF" w:rsidRDefault="00D166BF" w:rsidP="00D166BF">
            <w:r w:rsidRPr="00D166BF">
              <w:t>Risk/Controls</w:t>
            </w:r>
          </w:p>
        </w:tc>
      </w:tr>
      <w:tr w:rsidR="00D166BF" w:rsidRPr="00D166BF" w14:paraId="1315DE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698E2" w14:textId="77777777" w:rsidR="00D166BF" w:rsidRPr="00D166BF" w:rsidRDefault="00D166BF" w:rsidP="00D166BF">
            <w:r w:rsidRPr="00D166BF">
              <w:t>Quality Standard Enforcement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3D0C5" w14:textId="77777777" w:rsidR="00D166BF" w:rsidRPr="00D166BF" w:rsidRDefault="00D166BF" w:rsidP="00D166BF">
            <w:r w:rsidRPr="00D166BF">
              <w:t>Subjective Sign-offs, Theoretical Compliance (Quad-1/Quad-2)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CF805" w14:textId="77777777" w:rsidR="00D166BF" w:rsidRPr="00D166BF" w:rsidRDefault="00D166BF" w:rsidP="00D166BF">
            <w:r w:rsidRPr="00D166BF">
              <w:t xml:space="preserve">Empirical Metrics (Quad-3/Quad-4 Production Data)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3CB95" w14:textId="77777777" w:rsidR="00D166BF" w:rsidRPr="00D166BF" w:rsidRDefault="00D166BF" w:rsidP="00D166BF">
            <w:r w:rsidRPr="00D166BF">
              <w:t>QA/Product Management</w:t>
            </w:r>
          </w:p>
        </w:tc>
      </w:tr>
    </w:tbl>
    <w:p w14:paraId="49172FF3" w14:textId="77777777" w:rsidR="00D166BF" w:rsidRPr="00D166BF" w:rsidRDefault="00D166BF" w:rsidP="00D166BF">
      <w:pPr>
        <w:rPr>
          <w:b/>
          <w:bCs/>
        </w:rPr>
      </w:pPr>
      <w:r w:rsidRPr="00D166BF">
        <w:rPr>
          <w:b/>
          <w:bCs/>
        </w:rPr>
        <w:t>1.2. Quality as a Strategic Enabler: TQM and Quality at the Source</w:t>
      </w:r>
    </w:p>
    <w:p w14:paraId="19975A0B" w14:textId="77777777" w:rsidR="00D166BF" w:rsidRPr="00D166BF" w:rsidRDefault="00D166BF" w:rsidP="00D166BF">
      <w:r w:rsidRPr="00D166BF">
        <w:t xml:space="preserve">The necessary cultural and philosophical underpinning for adopting high-velocity practices like DevOps is provided by the principles of </w:t>
      </w:r>
      <w:r w:rsidRPr="00D166BF">
        <w:rPr>
          <w:b/>
          <w:bCs/>
        </w:rPr>
        <w:t>Total Quality Management (TQM)</w:t>
      </w:r>
      <w:r w:rsidRPr="00D166BF">
        <w:t>.</w:t>
      </w:r>
      <w:r w:rsidRPr="00D166BF">
        <w:rPr>
          <w:vertAlign w:val="superscript"/>
        </w:rPr>
        <w:t>1</w:t>
      </w:r>
      <w:r w:rsidRPr="00D166BF">
        <w:t xml:space="preserve"> TQM requires continuous improvement, total employee involvement, and fact-based decision making across the entire product management lifecycle, from concept development to monitoring and iteration.</w:t>
      </w:r>
      <w:r w:rsidRPr="00D166BF">
        <w:rPr>
          <w:vertAlign w:val="superscript"/>
        </w:rPr>
        <w:t>1</w:t>
      </w:r>
      <w:r w:rsidRPr="00D166BF">
        <w:t xml:space="preserve"> TQM mandates a strategic review of current practices against robust quality standards to identify and remediate gaps, ensuring that quality is the backbone of operations, guiding development, and customer service.</w:t>
      </w:r>
      <w:r w:rsidRPr="00D166BF">
        <w:rPr>
          <w:vertAlign w:val="superscript"/>
        </w:rPr>
        <w:t>1</w:t>
      </w:r>
    </w:p>
    <w:p w14:paraId="5E660686" w14:textId="77777777" w:rsidR="00D166BF" w:rsidRPr="00D166BF" w:rsidRDefault="00D166BF" w:rsidP="00D166BF">
      <w:r w:rsidRPr="00D166BF">
        <w:t xml:space="preserve">This is operationalized through the engineering philosophy of </w:t>
      </w:r>
      <w:r w:rsidRPr="00D166BF">
        <w:rPr>
          <w:b/>
          <w:bCs/>
        </w:rPr>
        <w:t>Quality at the Source (Q@S)</w:t>
      </w:r>
      <w:r w:rsidRPr="00D166BF">
        <w:t>. Q@S shifts the responsibility for quality away from a final inspection phase (QA) to every individual involved in the production process, emphasizing that quality must be managed at the point where it is created.</w:t>
      </w:r>
      <w:r w:rsidRPr="00D166BF">
        <w:rPr>
          <w:vertAlign w:val="superscript"/>
        </w:rPr>
        <w:t>1</w:t>
      </w:r>
      <w:r w:rsidRPr="00D166BF">
        <w:t xml:space="preserve"> In software development, Q@S aligns precisely with the </w:t>
      </w:r>
      <w:r w:rsidRPr="00D166BF">
        <w:rPr>
          <w:b/>
          <w:bCs/>
        </w:rPr>
        <w:t>Shift-Left Testing</w:t>
      </w:r>
      <w:r w:rsidRPr="00D166BF">
        <w:t xml:space="preserve"> approach, which embeds automated checks, code reviews, and testing directly into the earliest phases of the Software Development Life Cycle (SDLC).</w:t>
      </w:r>
      <w:r w:rsidRPr="00D166BF">
        <w:rPr>
          <w:vertAlign w:val="superscript"/>
        </w:rPr>
        <w:t>1</w:t>
      </w:r>
    </w:p>
    <w:p w14:paraId="0B153B2B" w14:textId="77777777" w:rsidR="00D166BF" w:rsidRPr="00D166BF" w:rsidRDefault="00D166BF" w:rsidP="00D166BF">
      <w:r w:rsidRPr="00D166BF">
        <w:t xml:space="preserve">To bridge the gap between technical execution and business requirements, </w:t>
      </w:r>
      <w:r w:rsidRPr="00D166BF">
        <w:rPr>
          <w:b/>
          <w:bCs/>
        </w:rPr>
        <w:t>Behavior-Driven Development (BDD)</w:t>
      </w:r>
      <w:r w:rsidRPr="00D166BF">
        <w:t xml:space="preserve"> is leveraged. BDD ensures that all stakeholders—technical teams, QA, and non-technical business participants—collaboratively define desired software behaviors using a shared, unambiguous language.</w:t>
      </w:r>
      <w:r w:rsidRPr="00D166BF">
        <w:rPr>
          <w:vertAlign w:val="superscript"/>
        </w:rPr>
        <w:t>1</w:t>
      </w:r>
      <w:r w:rsidRPr="00D166BF">
        <w:t xml:space="preserve"> This clarity is critical for regulatory compliance, allowing requirements (such as FINRA rules or SOX controls) to be translated directly into testable, automated acceptance criteria, thereby eliminating ambiguity that could otherwise lead to expensive compliance failures.</w:t>
      </w:r>
      <w:r w:rsidRPr="00D166BF">
        <w:rPr>
          <w:vertAlign w:val="superscript"/>
        </w:rPr>
        <w:t>1</w:t>
      </w:r>
      <w:r w:rsidRPr="00D166BF">
        <w:t xml:space="preserve"> BDD, therefore, </w:t>
      </w:r>
      <w:r w:rsidRPr="00D166BF">
        <w:lastRenderedPageBreak/>
        <w:t>acts as a governance layer, ensuring that the system's behavior aligns with explicit organizational and regulatory mandates before code is ever written.</w:t>
      </w:r>
    </w:p>
    <w:p w14:paraId="488B9718" w14:textId="77777777" w:rsidR="00D166BF" w:rsidRPr="00D166BF" w:rsidRDefault="00D166BF" w:rsidP="00D166BF">
      <w:pPr>
        <w:rPr>
          <w:b/>
          <w:bCs/>
        </w:rPr>
      </w:pPr>
      <w:r w:rsidRPr="00D166BF">
        <w:rPr>
          <w:b/>
          <w:bCs/>
        </w:rPr>
        <w:t>1.3. Quadrant 1 and Quadrant 2: Shift-Left Compliance and Deterministic Testing</w:t>
      </w:r>
    </w:p>
    <w:p w14:paraId="2E304F95" w14:textId="77777777" w:rsidR="00D166BF" w:rsidRPr="00D166BF" w:rsidRDefault="00D166BF" w:rsidP="00D166BF">
      <w:r w:rsidRPr="00D166BF">
        <w:t xml:space="preserve">While the ultimate goal of continuous compliance relies on empirical production validation (Quad-3/Quad-4), the foundation for stability and functional compliance must be secured in the earliest stages of the SDLC, known as </w:t>
      </w:r>
      <w:r w:rsidRPr="00D166BF">
        <w:rPr>
          <w:b/>
          <w:bCs/>
        </w:rPr>
        <w:t>Shift-Left Testing</w:t>
      </w:r>
      <w:r w:rsidRPr="00D166BF">
        <w:t>.</w:t>
      </w:r>
      <w:r w:rsidRPr="00D166BF">
        <w:rPr>
          <w:vertAlign w:val="superscript"/>
        </w:rPr>
        <w:t>1</w:t>
      </w:r>
      <w:r w:rsidRPr="00D166BF">
        <w:t xml:space="preserve"> The Quality 4 Quadrants framework provides the structural map for these pre-production controls </w:t>
      </w:r>
      <w:r w:rsidRPr="00D166BF">
        <w:rPr>
          <w:vertAlign w:val="superscript"/>
        </w:rPr>
        <w:t>1</w:t>
      </w:r>
      <w:r w:rsidRPr="00D166BF">
        <w:t>:</w:t>
      </w:r>
    </w:p>
    <w:p w14:paraId="0E69D522" w14:textId="77777777" w:rsidR="00D166BF" w:rsidRPr="00D166BF" w:rsidRDefault="00D166BF" w:rsidP="00D166BF">
      <w:pPr>
        <w:numPr>
          <w:ilvl w:val="0"/>
          <w:numId w:val="2"/>
        </w:numPr>
      </w:pPr>
      <w:r w:rsidRPr="00D166BF">
        <w:rPr>
          <w:b/>
          <w:bCs/>
        </w:rPr>
        <w:t>Quadrant 1 (Quad-1 - Technology-Facing, Supporting the Team):</w:t>
      </w:r>
      <w:r w:rsidRPr="00D166BF">
        <w:t xml:space="preserve"> This foundational quadrant encompasses all developer-driven tests, ensuring internal code quality and rapid feedback loops.</w:t>
      </w:r>
      <w:r w:rsidRPr="00D166BF">
        <w:rPr>
          <w:vertAlign w:val="superscript"/>
        </w:rPr>
        <w:t>1</w:t>
      </w:r>
      <w:r w:rsidRPr="00D166BF">
        <w:t xml:space="preserve"> Key activities here include </w:t>
      </w:r>
      <w:r w:rsidRPr="00D166BF">
        <w:rPr>
          <w:b/>
          <w:bCs/>
        </w:rPr>
        <w:t>Unit Tests</w:t>
      </w:r>
      <w:r w:rsidRPr="00D166BF">
        <w:t xml:space="preserve">, </w:t>
      </w:r>
      <w:r w:rsidRPr="00D166BF">
        <w:rPr>
          <w:b/>
          <w:bCs/>
        </w:rPr>
        <w:t>Component Tests</w:t>
      </w:r>
      <w:r w:rsidRPr="00D166BF">
        <w:t xml:space="preserve">, </w:t>
      </w:r>
      <w:r w:rsidRPr="00D166BF">
        <w:rPr>
          <w:b/>
          <w:bCs/>
        </w:rPr>
        <w:t>Static Analysis</w:t>
      </w:r>
      <w:r w:rsidRPr="00D166BF">
        <w:t xml:space="preserve">, and </w:t>
      </w:r>
      <w:r w:rsidRPr="00D166BF">
        <w:rPr>
          <w:b/>
          <w:bCs/>
        </w:rPr>
        <w:t>Automated Code Analysis</w:t>
      </w:r>
      <w:r w:rsidRPr="00D166BF">
        <w:t>.</w:t>
      </w:r>
      <w:r w:rsidRPr="00D166BF">
        <w:rPr>
          <w:vertAlign w:val="superscript"/>
        </w:rPr>
        <w:t>1</w:t>
      </w:r>
      <w:r w:rsidRPr="00D166BF">
        <w:t xml:space="preserve"> Q@S mandates that developers apply </w:t>
      </w:r>
      <w:r w:rsidRPr="00D166BF">
        <w:rPr>
          <w:b/>
          <w:bCs/>
        </w:rPr>
        <w:t>Test-Driven Development (TDD)</w:t>
      </w:r>
      <w:r w:rsidRPr="00D166BF">
        <w:t xml:space="preserve"> and automated code reviews to ensure that every code unit is tested and compliant at the moment it is written, preventing fundamental defects from entering the build pipeline.</w:t>
      </w:r>
      <w:r w:rsidRPr="00D166BF">
        <w:rPr>
          <w:vertAlign w:val="superscript"/>
        </w:rPr>
        <w:t>1</w:t>
      </w:r>
    </w:p>
    <w:p w14:paraId="0D223034" w14:textId="77777777" w:rsidR="00D166BF" w:rsidRPr="00D166BF" w:rsidRDefault="00D166BF" w:rsidP="00D166BF">
      <w:pPr>
        <w:numPr>
          <w:ilvl w:val="0"/>
          <w:numId w:val="2"/>
        </w:numPr>
      </w:pPr>
      <w:r w:rsidRPr="00D166BF">
        <w:rPr>
          <w:b/>
          <w:bCs/>
        </w:rPr>
        <w:t>Quadrant 2 (Quad-2 - Technology-Facing, Critiquing the Product):</w:t>
      </w:r>
      <w:r w:rsidRPr="00D166BF">
        <w:t xml:space="preserve"> This quadrant focuses on validating integration and system components.</w:t>
      </w:r>
      <w:r w:rsidRPr="00D166BF">
        <w:rPr>
          <w:vertAlign w:val="superscript"/>
        </w:rPr>
        <w:t>1</w:t>
      </w:r>
      <w:r w:rsidRPr="00D166BF">
        <w:t xml:space="preserve"> It includes </w:t>
      </w:r>
      <w:r w:rsidRPr="00D166BF">
        <w:rPr>
          <w:b/>
          <w:bCs/>
        </w:rPr>
        <w:t>Integration Tests</w:t>
      </w:r>
      <w:r w:rsidRPr="00D166BF">
        <w:t xml:space="preserve"> and </w:t>
      </w:r>
      <w:r w:rsidRPr="00D166BF">
        <w:rPr>
          <w:b/>
          <w:bCs/>
        </w:rPr>
        <w:t>Service-Level Tests</w:t>
      </w:r>
      <w:r w:rsidRPr="00D166BF">
        <w:t>.</w:t>
      </w:r>
      <w:r w:rsidRPr="00D166BF">
        <w:rPr>
          <w:vertAlign w:val="superscript"/>
        </w:rPr>
        <w:t>1</w:t>
      </w:r>
      <w:r w:rsidRPr="00D166BF">
        <w:t xml:space="preserve"> To ensure deterministic functional validation—a key requirement for auditable systems—Quad-2 must be stabilized through practices like </w:t>
      </w:r>
      <w:r w:rsidRPr="00D166BF">
        <w:rPr>
          <w:b/>
          <w:bCs/>
        </w:rPr>
        <w:t>Mocking</w:t>
      </w:r>
      <w:r w:rsidRPr="00D166BF">
        <w:t xml:space="preserve"> and </w:t>
      </w:r>
      <w:r w:rsidRPr="00D166BF">
        <w:rPr>
          <w:b/>
          <w:bCs/>
        </w:rPr>
        <w:t>Service Virtualization</w:t>
      </w:r>
      <w:r w:rsidRPr="00D166BF">
        <w:t>.</w:t>
      </w:r>
      <w:r w:rsidRPr="00D166BF">
        <w:rPr>
          <w:vertAlign w:val="superscript"/>
        </w:rPr>
        <w:t>1</w:t>
      </w:r>
      <w:r w:rsidRPr="00D166BF">
        <w:t xml:space="preserve"> These tools simulate dependent external systems (e.g., third-party APIs or legacy databases) with reliable, fast, and controlled responses.</w:t>
      </w:r>
      <w:r w:rsidRPr="00D166BF">
        <w:rPr>
          <w:vertAlign w:val="superscript"/>
        </w:rPr>
        <w:t>1</w:t>
      </w:r>
      <w:r w:rsidRPr="00D166BF">
        <w:t xml:space="preserve"> By ensuring Quad-2 accurately and deterministically validates all functional integration logic, the organization stabilizes the CI pipeline and guarantees that defects reaching production are limited only to complex, scale-based Non-Functional Requirements (NFRs) that could not have been replicated earlier.</w:t>
      </w:r>
      <w:r w:rsidRPr="00D166BF">
        <w:rPr>
          <w:vertAlign w:val="superscript"/>
        </w:rPr>
        <w:t>1</w:t>
      </w:r>
    </w:p>
    <w:p w14:paraId="739FECDD" w14:textId="77777777" w:rsidR="00D166BF" w:rsidRPr="00D166BF" w:rsidRDefault="00D166BF" w:rsidP="00D166BF">
      <w:r w:rsidRPr="00D166BF">
        <w:t>This integration ensures that regulatory requirements are translated into measurable acceptance criteria (</w:t>
      </w:r>
      <w:r w:rsidRPr="00D166BF">
        <w:rPr>
          <w:b/>
          <w:bCs/>
        </w:rPr>
        <w:t>BDD</w:t>
      </w:r>
      <w:r w:rsidRPr="00D166BF">
        <w:t>) and enforced as automated, non-negotiable checks at the component and integration level (</w:t>
      </w:r>
      <w:r w:rsidRPr="00D166BF">
        <w:rPr>
          <w:b/>
          <w:bCs/>
        </w:rPr>
        <w:t>Quad-1/Quad-2</w:t>
      </w:r>
      <w:r w:rsidRPr="00D166BF">
        <w:t>) before the code is exposed to high-fidelity environments.</w:t>
      </w:r>
    </w:p>
    <w:p w14:paraId="594EE068" w14:textId="77777777" w:rsidR="00D166BF" w:rsidRPr="00D166BF" w:rsidRDefault="00D166BF" w:rsidP="00D166BF">
      <w:pPr>
        <w:rPr>
          <w:b/>
          <w:bCs/>
        </w:rPr>
      </w:pPr>
      <w:r w:rsidRPr="00D166BF">
        <w:rPr>
          <w:b/>
          <w:bCs/>
        </w:rPr>
        <w:t>1.4. The Modern Definition of Releasable (DoR): Policy Enforcement through Quantifiable Metrics</w:t>
      </w:r>
    </w:p>
    <w:p w14:paraId="4203D504" w14:textId="77777777" w:rsidR="00D166BF" w:rsidRPr="00D166BF" w:rsidRDefault="00D166BF" w:rsidP="00D166BF">
      <w:r w:rsidRPr="00D166BF">
        <w:t>The traditional Definition of Releasable (DoR), heavily reliant on manual sign-offs and compliance verification in pre-production environments, is inadequate for the complexity and velocity of modern systems.</w:t>
      </w:r>
      <w:r w:rsidRPr="00D166BF">
        <w:rPr>
          <w:vertAlign w:val="superscript"/>
        </w:rPr>
        <w:t>1</w:t>
      </w:r>
      <w:r w:rsidRPr="00D166BF">
        <w:t xml:space="preserve"> The architecture of complex, distributed financial </w:t>
      </w:r>
      <w:r w:rsidRPr="00D166BF">
        <w:lastRenderedPageBreak/>
        <w:t>systems makes achieving true "production-like" fidelity in staging environments impossible due to differences in scale, state, and dynamic behavior.</w:t>
      </w:r>
      <w:r w:rsidRPr="00D166BF">
        <w:rPr>
          <w:vertAlign w:val="superscript"/>
        </w:rPr>
        <w:t>1</w:t>
      </w:r>
    </w:p>
    <w:p w14:paraId="280FCF20" w14:textId="77777777" w:rsidR="00D166BF" w:rsidRPr="00D166BF" w:rsidRDefault="00D166BF" w:rsidP="00D166BF">
      <w:r w:rsidRPr="00D166BF">
        <w:t>Therefore, the only dependable validation for critical Non-Functional Requirements (NFRs)—such as system latency under peak load or throughput limits—comes from controlled execution within the production environment itself.</w:t>
      </w:r>
      <w:r w:rsidRPr="00D166BF">
        <w:rPr>
          <w:vertAlign w:val="superscript"/>
        </w:rPr>
        <w:t>1</w:t>
      </w:r>
      <w:r w:rsidRPr="00D166BF">
        <w:t xml:space="preserve"> The modern DoR must reflect this reality by transitioning from a theoretical compliance checklist to a </w:t>
      </w:r>
      <w:r w:rsidRPr="00D166BF">
        <w:rPr>
          <w:b/>
          <w:bCs/>
        </w:rPr>
        <w:t>dynamic policy enforced by real-time, objective data</w:t>
      </w:r>
      <w:r w:rsidRPr="00D166BF">
        <w:t>.</w:t>
      </w:r>
      <w:r w:rsidRPr="00D166BF">
        <w:rPr>
          <w:vertAlign w:val="superscript"/>
        </w:rPr>
        <w:t>1</w:t>
      </w:r>
      <w:r w:rsidRPr="00D166BF">
        <w:t xml:space="preserve"> This transition makes the successful execution of controlled exposure phases the formal act of quality assurance sign-off, moving the organization from theoretical quality assessment to empirical operational readiness.</w:t>
      </w:r>
      <w:r w:rsidRPr="00D166BF">
        <w:rPr>
          <w:vertAlign w:val="superscript"/>
        </w:rPr>
        <w:t>1</w:t>
      </w:r>
    </w:p>
    <w:p w14:paraId="0189BBD8" w14:textId="77777777" w:rsidR="00D166BF" w:rsidRPr="00D166BF" w:rsidRDefault="00D166BF" w:rsidP="00D166BF">
      <w:r w:rsidRPr="00D166BF">
        <w:t xml:space="preserve">Crucially, the DoR must explicitly mandate measurable production metrics derived directly from automated progressive delivery gates. This is achieved through a </w:t>
      </w:r>
      <w:r w:rsidRPr="00D166BF">
        <w:rPr>
          <w:b/>
          <w:bCs/>
        </w:rPr>
        <w:t>Policy-Driven Release Gate</w:t>
      </w:r>
      <w:r w:rsidRPr="00D166BF">
        <w:t xml:space="preserve"> that integrates change management procedures with post-deployment validation timelines.</w:t>
      </w:r>
    </w:p>
    <w:p w14:paraId="1BF8104F" w14:textId="77777777" w:rsidR="00D166BF" w:rsidRPr="00D166BF" w:rsidRDefault="00D166BF" w:rsidP="00D166BF">
      <w:r w:rsidRPr="00D166BF">
        <w:rPr>
          <w:b/>
          <w:bCs/>
        </w:rPr>
        <w:t>Policy-Driven Release Planning and Go-to-Market Readiness</w:t>
      </w:r>
    </w:p>
    <w:p w14:paraId="16965B14" w14:textId="77777777" w:rsidR="00D166BF" w:rsidRPr="00D166BF" w:rsidRDefault="00D166BF" w:rsidP="00D166BF">
      <w:r w:rsidRPr="00D166BF">
        <w:t xml:space="preserve">The </w:t>
      </w:r>
      <w:r w:rsidRPr="00D166BF">
        <w:rPr>
          <w:b/>
          <w:bCs/>
        </w:rPr>
        <w:t>Go-to-Market (GTM) strategy</w:t>
      </w:r>
      <w:r w:rsidRPr="00D166BF">
        <w:t xml:space="preserve"> is a direct input into the DoR, requiring several non-negotiable policy artifacts and activities that must be completed </w:t>
      </w:r>
      <w:r w:rsidRPr="00D166BF">
        <w:rPr>
          <w:b/>
          <w:bCs/>
        </w:rPr>
        <w:t>before</w:t>
      </w:r>
      <w:r w:rsidRPr="00D166BF">
        <w:t xml:space="preserve"> a feature can be declared fully compliant and released to the general public </w:t>
      </w:r>
      <w:r w:rsidRPr="00D166BF">
        <w:rPr>
          <w:vertAlign w:val="superscript"/>
        </w:rPr>
        <w:t>1</w:t>
      </w:r>
      <w:r w:rsidRPr="00D166BF">
        <w:t>:</w:t>
      </w:r>
    </w:p>
    <w:tbl>
      <w:tblPr>
        <w:tblW w:w="0" w:type="auto"/>
        <w:tblCellSpacing w:w="15" w:type="dxa"/>
        <w:tblCellMar>
          <w:left w:w="0" w:type="dxa"/>
          <w:right w:w="0" w:type="dxa"/>
        </w:tblCellMar>
        <w:tblLook w:val="04A0" w:firstRow="1" w:lastRow="0" w:firstColumn="1" w:lastColumn="0" w:noHBand="0" w:noVBand="1"/>
      </w:tblPr>
      <w:tblGrid>
        <w:gridCol w:w="2542"/>
        <w:gridCol w:w="4558"/>
        <w:gridCol w:w="2244"/>
      </w:tblGrid>
      <w:tr w:rsidR="00D166BF" w:rsidRPr="00D166BF" w14:paraId="2D4837F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0CBF9" w14:textId="77777777" w:rsidR="00D166BF" w:rsidRPr="00D166BF" w:rsidRDefault="00D166BF" w:rsidP="00D166BF">
            <w:r w:rsidRPr="00D166BF">
              <w:rPr>
                <w:b/>
                <w:bCs/>
              </w:rPr>
              <w:t>GTM Readiness Check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DC60A" w14:textId="77777777" w:rsidR="00D166BF" w:rsidRPr="00D166BF" w:rsidRDefault="00D166BF" w:rsidP="00D166BF">
            <w:r w:rsidRPr="00D166BF">
              <w:rPr>
                <w:b/>
                <w:bCs/>
              </w:rPr>
              <w:t>Policy Enforcement Artifact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36720" w14:textId="77777777" w:rsidR="00D166BF" w:rsidRPr="00D166BF" w:rsidRDefault="00D166BF" w:rsidP="00D166BF">
            <w:r w:rsidRPr="00D166BF">
              <w:rPr>
                <w:b/>
                <w:bCs/>
              </w:rPr>
              <w:t>Audience</w:t>
            </w:r>
          </w:p>
        </w:tc>
      </w:tr>
      <w:tr w:rsidR="00D166BF" w:rsidRPr="00D166BF" w14:paraId="34DD9C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752E6" w14:textId="77777777" w:rsidR="00D166BF" w:rsidRPr="00D166BF" w:rsidRDefault="00D166BF" w:rsidP="00D166BF">
            <w:r w:rsidRPr="00D166BF">
              <w:rPr>
                <w:b/>
                <w:bCs/>
              </w:rPr>
              <w:t>External Change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4116E" w14:textId="77777777" w:rsidR="00D166BF" w:rsidRPr="00D166BF" w:rsidRDefault="00D166BF" w:rsidP="00D166BF">
            <w:r w:rsidRPr="00D166BF">
              <w:t xml:space="preserve">Finalized Marketing &amp; Sales Collateral, Customer Communication Plans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D7490" w14:textId="77777777" w:rsidR="00D166BF" w:rsidRPr="00D166BF" w:rsidRDefault="00D166BF" w:rsidP="00D166BF">
            <w:r w:rsidRPr="00D166BF">
              <w:t>Product Manager, Marketing</w:t>
            </w:r>
          </w:p>
        </w:tc>
      </w:tr>
      <w:tr w:rsidR="00D166BF" w:rsidRPr="00D166BF" w14:paraId="15FCF0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2019B" w14:textId="77777777" w:rsidR="00D166BF" w:rsidRPr="00D166BF" w:rsidRDefault="00D166BF" w:rsidP="00D166BF">
            <w:r w:rsidRPr="00D166BF">
              <w:rPr>
                <w:b/>
                <w:bCs/>
              </w:rPr>
              <w:t>Internal Change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46B13" w14:textId="77777777" w:rsidR="00D166BF" w:rsidRPr="00D166BF" w:rsidRDefault="00D166BF" w:rsidP="00D166BF">
            <w:r w:rsidRPr="00D166BF">
              <w:t xml:space="preserve">Training and Certification records for Support, Sales, and Risk Teams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CBAF4" w14:textId="77777777" w:rsidR="00D166BF" w:rsidRPr="00D166BF" w:rsidRDefault="00D166BF" w:rsidP="00D166BF">
            <w:r w:rsidRPr="00D166BF">
              <w:t>Operations, Support</w:t>
            </w:r>
          </w:p>
        </w:tc>
      </w:tr>
      <w:tr w:rsidR="00D166BF" w:rsidRPr="00D166BF" w14:paraId="1B0EFF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8A0CA" w14:textId="77777777" w:rsidR="00D166BF" w:rsidRPr="00D166BF" w:rsidRDefault="00D166BF" w:rsidP="00D166BF">
            <w:r w:rsidRPr="00D166BF">
              <w:rPr>
                <w:b/>
                <w:bCs/>
              </w:rPr>
              <w:t>Financial Reporting Impact Assessment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D3DBA" w14:textId="77777777" w:rsidR="00D166BF" w:rsidRPr="00D166BF" w:rsidRDefault="00D166BF" w:rsidP="00D166BF">
            <w:r w:rsidRPr="00D166BF">
              <w:t xml:space="preserve">Signed-off documentation confirming changes to financial data flows meet SOX ITGCs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5C1F7" w14:textId="77777777" w:rsidR="00D166BF" w:rsidRPr="00D166BF" w:rsidRDefault="00D166BF" w:rsidP="00D166BF">
            <w:r w:rsidRPr="00D166BF">
              <w:t>Risk/Controls, Executive</w:t>
            </w:r>
          </w:p>
        </w:tc>
      </w:tr>
      <w:tr w:rsidR="00D166BF" w:rsidRPr="00D166BF" w14:paraId="599A81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8BBA9" w14:textId="77777777" w:rsidR="00D166BF" w:rsidRPr="00D166BF" w:rsidRDefault="00D166BF" w:rsidP="00D166BF">
            <w:r w:rsidRPr="00D166BF">
              <w:rPr>
                <w:b/>
                <w:bCs/>
              </w:rPr>
              <w:lastRenderedPageBreak/>
              <w:t>Rollback Architecture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407DB" w14:textId="77777777" w:rsidR="00D166BF" w:rsidRPr="00D166BF" w:rsidRDefault="00D166BF" w:rsidP="00D166BF">
            <w:r w:rsidRPr="00D166BF">
              <w:t xml:space="preserve">Automated verification that Blue/Green path is instantaneously available and functional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E1EA5" w14:textId="77777777" w:rsidR="00D166BF" w:rsidRPr="00D166BF" w:rsidRDefault="00D166BF" w:rsidP="00D166BF">
            <w:r w:rsidRPr="00D166BF">
              <w:t>Operations, QA</w:t>
            </w:r>
          </w:p>
        </w:tc>
      </w:tr>
      <w:tr w:rsidR="00D166BF" w:rsidRPr="00D166BF" w14:paraId="0A0A60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F719F" w14:textId="77777777" w:rsidR="00D166BF" w:rsidRPr="00D166BF" w:rsidRDefault="00D166BF" w:rsidP="00D166BF">
            <w:r w:rsidRPr="00D166BF">
              <w:rPr>
                <w:b/>
                <w:bCs/>
              </w:rPr>
              <w:t>Legal &amp; Compliance Sign-off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6AB51" w14:textId="77777777" w:rsidR="00D166BF" w:rsidRPr="00D166BF" w:rsidRDefault="00D166BF" w:rsidP="00D166BF">
            <w:r w:rsidRPr="00D166BF">
              <w:t xml:space="preserve">Documented supervisory approval for AI models/communications (FINRA 3110/2210)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711FF" w14:textId="77777777" w:rsidR="00D166BF" w:rsidRPr="00D166BF" w:rsidRDefault="00D166BF" w:rsidP="00D166BF">
            <w:r w:rsidRPr="00D166BF">
              <w:t>Risk/Controls</w:t>
            </w:r>
          </w:p>
        </w:tc>
      </w:tr>
    </w:tbl>
    <w:p w14:paraId="4B15473E" w14:textId="77777777" w:rsidR="00D166BF" w:rsidRPr="00D166BF" w:rsidRDefault="00D166BF" w:rsidP="00D166BF">
      <w:r w:rsidRPr="00D166BF">
        <w:rPr>
          <w:b/>
          <w:bCs/>
        </w:rPr>
        <w:t>Post-Deployment Validation Timeline and Automated Gates</w:t>
      </w:r>
    </w:p>
    <w:p w14:paraId="0A5AFD27" w14:textId="77777777" w:rsidR="00D166BF" w:rsidRPr="00D166BF" w:rsidRDefault="00D166BF" w:rsidP="00D166BF">
      <w:r w:rsidRPr="00D166BF">
        <w:t>The DoR mandates a specific post-deployment timeline that transforms the physical deployment (low risk) into a fully signed-off release (high assurance):</w:t>
      </w:r>
    </w:p>
    <w:p w14:paraId="5FAE7CA9" w14:textId="77777777" w:rsidR="00D166BF" w:rsidRPr="00D166BF" w:rsidRDefault="00D166BF" w:rsidP="00D166BF">
      <w:pPr>
        <w:numPr>
          <w:ilvl w:val="0"/>
          <w:numId w:val="3"/>
        </w:numPr>
      </w:pPr>
      <w:r w:rsidRPr="00D166BF">
        <w:rPr>
          <w:b/>
          <w:bCs/>
        </w:rPr>
        <w:t>Deployment (Time T0):</w:t>
      </w:r>
      <w:r w:rsidRPr="00D166BF">
        <w:t xml:space="preserve"> Code is deployed silently into the 'Green' environment using Feature Flags. </w:t>
      </w:r>
      <w:r w:rsidRPr="00D166BF">
        <w:rPr>
          <w:b/>
          <w:bCs/>
        </w:rPr>
        <w:t>Rollback procedures</w:t>
      </w:r>
      <w:r w:rsidRPr="00D166BF">
        <w:t xml:space="preserve"> are verified.</w:t>
      </w:r>
      <w:r w:rsidRPr="00D166BF">
        <w:rPr>
          <w:vertAlign w:val="superscript"/>
        </w:rPr>
        <w:t>1</w:t>
      </w:r>
    </w:p>
    <w:p w14:paraId="43F141C7" w14:textId="77777777" w:rsidR="00D166BF" w:rsidRPr="00D166BF" w:rsidRDefault="00D166BF" w:rsidP="00D166BF">
      <w:pPr>
        <w:numPr>
          <w:ilvl w:val="0"/>
          <w:numId w:val="3"/>
        </w:numPr>
      </w:pPr>
      <w:r w:rsidRPr="00D166BF">
        <w:rPr>
          <w:b/>
          <w:bCs/>
        </w:rPr>
        <w:t>Dark Launch Validation (T0 to T+28 days):</w:t>
      </w:r>
      <w:r w:rsidRPr="00D166BF">
        <w:t xml:space="preserve"> The new version undergoes </w:t>
      </w:r>
      <w:r w:rsidRPr="00D166BF">
        <w:rPr>
          <w:b/>
          <w:bCs/>
        </w:rPr>
        <w:t>Dark Launch (Quad-4)</w:t>
      </w:r>
      <w:r w:rsidRPr="00D166BF">
        <w:t xml:space="preserve"> validation for a minimum soak period (e.g., 28 days) to prove core NFRs (Throughput, Latency P99, Scalability) under 100% mirrored traffic.</w:t>
      </w:r>
      <w:r w:rsidRPr="00D166BF">
        <w:rPr>
          <w:vertAlign w:val="superscript"/>
        </w:rPr>
        <w:t>1</w:t>
      </w:r>
      <w:r w:rsidRPr="00D166BF">
        <w:t xml:space="preserve"> The policy mandate is: </w:t>
      </w:r>
      <w:r w:rsidRPr="00D166BF">
        <w:rPr>
          <w:b/>
          <w:bCs/>
        </w:rPr>
        <w:t>Release Date + 28 days = NFR Validation Completion</w:t>
      </w:r>
      <w:r w:rsidRPr="00D166BF">
        <w:t>.</w:t>
      </w:r>
    </w:p>
    <w:p w14:paraId="197535BA" w14:textId="77777777" w:rsidR="00D166BF" w:rsidRPr="00D166BF" w:rsidRDefault="00D166BF" w:rsidP="00D166BF">
      <w:pPr>
        <w:numPr>
          <w:ilvl w:val="0"/>
          <w:numId w:val="3"/>
        </w:numPr>
      </w:pPr>
      <w:r w:rsidRPr="00D166BF">
        <w:rPr>
          <w:b/>
          <w:bCs/>
        </w:rPr>
        <w:t>Canary Execution (Post-NFR Completion):</w:t>
      </w:r>
      <w:r w:rsidRPr="00D166BF">
        <w:t xml:space="preserve"> Only after the Dark Launch successfully completes its soak period does </w:t>
      </w:r>
      <w:r w:rsidRPr="00D166BF">
        <w:rPr>
          <w:b/>
          <w:bCs/>
        </w:rPr>
        <w:t>Canary (Quad-3)</w:t>
      </w:r>
      <w:r w:rsidRPr="00D166BF">
        <w:t xml:space="preserve"> exposure begin, incrementally shifting real user traffic to validate user experience and business metrics.</w:t>
      </w:r>
      <w:r w:rsidRPr="00D166BF">
        <w:rPr>
          <w:vertAlign w:val="superscript"/>
        </w:rPr>
        <w:t>1</w:t>
      </w:r>
    </w:p>
    <w:p w14:paraId="409AF085" w14:textId="77777777" w:rsidR="00D166BF" w:rsidRPr="00D166BF" w:rsidRDefault="00D166BF" w:rsidP="00D166BF">
      <w:r w:rsidRPr="00D166BF">
        <w:rPr>
          <w:i/>
          <w:iCs/>
        </w:rPr>
        <w:t>Scenario: Fails Release Signoff:</w:t>
      </w:r>
      <w:r w:rsidRPr="00D166BF">
        <w:t xml:space="preserve"> If during the Canary phase, the real-time monitoring detects that the transaction error rate of the Canary group exceeds the stable baseline by 0.5%, the policy is immediately triggered: </w:t>
      </w:r>
      <w:r w:rsidRPr="00D166BF">
        <w:rPr>
          <w:b/>
          <w:bCs/>
        </w:rPr>
        <w:t>Canary Metrics Review Fails Release Signoff.</w:t>
      </w:r>
      <w:r w:rsidRPr="00D166BF">
        <w:t xml:space="preserve"> The system automatically initiates the </w:t>
      </w:r>
      <w:r w:rsidRPr="00D166BF">
        <w:rPr>
          <w:b/>
          <w:bCs/>
        </w:rPr>
        <w:t>Blue/Green Rollback</w:t>
      </w:r>
      <w:r w:rsidRPr="00D166BF">
        <w:t xml:space="preserve"> to the stable version, logging an immutable audit record of the NFR violation and the instantaneous mitigation action.</w:t>
      </w:r>
      <w:r w:rsidRPr="00D166BF">
        <w:rPr>
          <w:vertAlign w:val="superscript"/>
        </w:rPr>
        <w:t>1</w:t>
      </w:r>
    </w:p>
    <w:p w14:paraId="1309F0E4" w14:textId="77777777" w:rsidR="00D166BF" w:rsidRPr="00D166BF" w:rsidRDefault="00D166BF" w:rsidP="00D166BF">
      <w:r w:rsidRPr="00D166BF">
        <w:t>This codified policy ensures that empirical performance data seamlessly translates into auditable Agile policy, shifting the focus of auditors from reviewing process documents to reviewing verifiable, automated evidence logs derived from live operations.</w:t>
      </w:r>
    </w:p>
    <w:p w14:paraId="7F6B14BF" w14:textId="77777777" w:rsidR="00D166BF" w:rsidRPr="00D166BF" w:rsidRDefault="00D166BF" w:rsidP="00D166BF">
      <w:pPr>
        <w:rPr>
          <w:b/>
          <w:bCs/>
        </w:rPr>
      </w:pPr>
      <w:r w:rsidRPr="00D166BF">
        <w:rPr>
          <w:b/>
          <w:bCs/>
        </w:rPr>
        <w:t>II. Architecture of Compliance: Progressive Delivery as Auditable Risk Containment</w:t>
      </w:r>
    </w:p>
    <w:p w14:paraId="4A07CCE3" w14:textId="77777777" w:rsidR="00D166BF" w:rsidRPr="00D166BF" w:rsidRDefault="00D166BF" w:rsidP="00D166BF">
      <w:pPr>
        <w:rPr>
          <w:b/>
          <w:bCs/>
        </w:rPr>
      </w:pPr>
      <w:r w:rsidRPr="00D166BF">
        <w:rPr>
          <w:b/>
          <w:bCs/>
        </w:rPr>
        <w:lastRenderedPageBreak/>
        <w:t>2.1. Inverting Risk: From Uncontrolled TiP to Managed Exposure</w:t>
      </w:r>
    </w:p>
    <w:p w14:paraId="284BF0B7" w14:textId="77777777" w:rsidR="00D166BF" w:rsidRPr="00D166BF" w:rsidRDefault="00D166BF" w:rsidP="00D166BF">
      <w:r w:rsidRPr="00D166BF">
        <w:t>The inherent limitations of pre-production environments necessitate a fundamental strategic shift: instead of attempting to avoid Testing in Production (TiP)—a goal that is architecturally untenable for complex systems—organizations must implement robust governance and architectural controls to mandate and manage controlled exposure.</w:t>
      </w:r>
      <w:r w:rsidRPr="00D166BF">
        <w:rPr>
          <w:vertAlign w:val="superscript"/>
        </w:rPr>
        <w:t>1</w:t>
      </w:r>
      <w:r w:rsidRPr="00D166BF">
        <w:t xml:space="preserve"> The reality is that if pre-production environments are incapable of successfully validating critical NFRs, and NFR compliance is non-negotiable for system fitness, then controlled production testing is mandatory for regulated systems.</w:t>
      </w:r>
      <w:r w:rsidRPr="00D166BF">
        <w:rPr>
          <w:vertAlign w:val="superscript"/>
        </w:rPr>
        <w:t>1</w:t>
      </w:r>
    </w:p>
    <w:p w14:paraId="045E6491" w14:textId="77777777" w:rsidR="00D166BF" w:rsidRPr="00D166BF" w:rsidRDefault="00D166BF" w:rsidP="00D166BF">
      <w:r w:rsidRPr="00D166BF">
        <w:t xml:space="preserve">The strategic mandate shifts definitively from "avoiding production exposure" to architecturally </w:t>
      </w:r>
      <w:r w:rsidRPr="00D166BF">
        <w:rPr>
          <w:b/>
          <w:bCs/>
        </w:rPr>
        <w:t>"managing exposure risk via containment"</w:t>
      </w:r>
      <w:r w:rsidRPr="00D166BF">
        <w:t>.</w:t>
      </w:r>
      <w:r w:rsidRPr="00D166BF">
        <w:rPr>
          <w:vertAlign w:val="superscript"/>
        </w:rPr>
        <w:t>1</w:t>
      </w:r>
      <w:r w:rsidRPr="00D166BF">
        <w:t xml:space="preserve"> This architectural realism provides the operational justification for adopting advanced deployment strategies. Progressive delivery techniques, such as Canary deployments and Dark Launches, are thereby transformed from optional development tools into </w:t>
      </w:r>
      <w:r w:rsidRPr="00D166BF">
        <w:rPr>
          <w:b/>
          <w:bCs/>
        </w:rPr>
        <w:t>essential governance checkpoints</w:t>
      </w:r>
      <w:r w:rsidRPr="00D166BF">
        <w:t xml:space="preserve"> required to empirically satisfy organizational NFR policies and regulatory requirements.</w:t>
      </w:r>
      <w:r w:rsidRPr="00D166BF">
        <w:rPr>
          <w:vertAlign w:val="superscript"/>
        </w:rPr>
        <w:t>1</w:t>
      </w:r>
    </w:p>
    <w:p w14:paraId="3444B81D" w14:textId="77777777" w:rsidR="00D166BF" w:rsidRPr="00D166BF" w:rsidRDefault="00D166BF" w:rsidP="00D166BF">
      <w:pPr>
        <w:rPr>
          <w:b/>
          <w:bCs/>
        </w:rPr>
      </w:pPr>
      <w:r w:rsidRPr="00D166BF">
        <w:rPr>
          <w:b/>
          <w:bCs/>
        </w:rPr>
        <w:t>2.2. Mapping Quality to Governance: Linking Progressive Delivery Techniques to the Quality 4 Quadrants (Quad-3/Quad-4 Focus)</w:t>
      </w:r>
    </w:p>
    <w:p w14:paraId="4B57F52B" w14:textId="77777777" w:rsidR="00D166BF" w:rsidRPr="00D166BF" w:rsidRDefault="00D166BF" w:rsidP="00D166BF">
      <w:r w:rsidRPr="00D166BF">
        <w:t>The Quality 4 Quadrants framework provides a structured map for aligning quality assurance activities with the strategic intent of risk mitigation.</w:t>
      </w:r>
      <w:r w:rsidRPr="00D166BF">
        <w:rPr>
          <w:vertAlign w:val="superscript"/>
        </w:rPr>
        <w:t>1</w:t>
      </w:r>
      <w:r w:rsidRPr="00D166BF">
        <w:t xml:space="preserve"> Modern, high-velocity DevOps practices primarily address the challenges associated with the right-hand quadrants, where validation involves operational scale and real user contexts:</w:t>
      </w:r>
    </w:p>
    <w:p w14:paraId="08655B26" w14:textId="77777777" w:rsidR="00D166BF" w:rsidRPr="00D166BF" w:rsidRDefault="00D166BF" w:rsidP="00D166BF">
      <w:pPr>
        <w:numPr>
          <w:ilvl w:val="0"/>
          <w:numId w:val="4"/>
        </w:numPr>
      </w:pPr>
      <w:r w:rsidRPr="00D166BF">
        <w:rPr>
          <w:b/>
          <w:bCs/>
        </w:rPr>
        <w:t>Quadrant 3 (Quad-3 - Business-Facing, Critiquing the Product):</w:t>
      </w:r>
      <w:r w:rsidRPr="00D166BF">
        <w:t xml:space="preserve"> This quadrant focuses on validating user experience and business outcomes under real-world conditions. </w:t>
      </w:r>
      <w:r w:rsidRPr="00D166BF">
        <w:rPr>
          <w:b/>
          <w:bCs/>
        </w:rPr>
        <w:t>Canary Deployments</w:t>
      </w:r>
      <w:r w:rsidRPr="00D166BF">
        <w:t xml:space="preserve"> are intrinsically Quad-3 activities, limiting risk exposure while validating commercial and user experience efficacy.</w:t>
      </w:r>
      <w:r w:rsidRPr="00D166BF">
        <w:rPr>
          <w:vertAlign w:val="superscript"/>
        </w:rPr>
        <w:t>1</w:t>
      </w:r>
    </w:p>
    <w:p w14:paraId="33668331" w14:textId="77777777" w:rsidR="00D166BF" w:rsidRPr="00D166BF" w:rsidRDefault="00D166BF" w:rsidP="00D166BF">
      <w:pPr>
        <w:numPr>
          <w:ilvl w:val="0"/>
          <w:numId w:val="4"/>
        </w:numPr>
      </w:pPr>
      <w:r w:rsidRPr="00D166BF">
        <w:rPr>
          <w:b/>
          <w:bCs/>
        </w:rPr>
        <w:t>Quadrant 4 (Quad-4 - Technology-Facing, Supporting the Team):</w:t>
      </w:r>
      <w:r w:rsidRPr="00D166BF">
        <w:t xml:space="preserve"> This quadrant is dedicated to operational assurance, performance, security, and resilience validation in the live environment. </w:t>
      </w:r>
      <w:r w:rsidRPr="00D166BF">
        <w:rPr>
          <w:b/>
          <w:bCs/>
        </w:rPr>
        <w:t>Dark Launches</w:t>
      </w:r>
      <w:r w:rsidRPr="00D166BF">
        <w:t xml:space="preserve"> and </w:t>
      </w:r>
      <w:r w:rsidRPr="00D166BF">
        <w:rPr>
          <w:b/>
          <w:bCs/>
        </w:rPr>
        <w:t>Synthetic Testing</w:t>
      </w:r>
      <w:r w:rsidRPr="00D166BF">
        <w:t xml:space="preserve"> are key Quad-4 tools, directly addressing whether the system adheres to operational NFRs under dynamic load conditions.</w:t>
      </w:r>
      <w:r w:rsidRPr="00D166BF">
        <w:rPr>
          <w:vertAlign w:val="superscript"/>
        </w:rPr>
        <w:t>1</w:t>
      </w:r>
    </w:p>
    <w:p w14:paraId="7EC3C617" w14:textId="77777777" w:rsidR="00D166BF" w:rsidRPr="00D166BF" w:rsidRDefault="00D166BF" w:rsidP="00D166BF">
      <w:r w:rsidRPr="00D166BF">
        <w:t xml:space="preserve">The stabilization of the </w:t>
      </w:r>
      <w:r w:rsidRPr="00D166BF">
        <w:rPr>
          <w:b/>
          <w:bCs/>
        </w:rPr>
        <w:t>Quadrant 2 (Quad-2)</w:t>
      </w:r>
      <w:r w:rsidRPr="00D166BF">
        <w:t xml:space="preserve"> environment is crucial; practices like Mocking and Service Virtualization stabilize integration tests by simulating dependent service behaviors deterministically.</w:t>
      </w:r>
      <w:r w:rsidRPr="00D166BF">
        <w:rPr>
          <w:vertAlign w:val="superscript"/>
        </w:rPr>
        <w:t>1</w:t>
      </w:r>
      <w:r w:rsidRPr="00D166BF">
        <w:t xml:space="preserve"> By ensuring Quad-2 successfully validates functional logic, the organization enables Quad-3 and Quad-4 activities to focus purely on the inherent fidelity challenges of the production environment—scaling under load and measuring real </w:t>
      </w:r>
      <w:r w:rsidRPr="00D166BF">
        <w:lastRenderedPageBreak/>
        <w:t>user experience—without interference from integration defects.</w:t>
      </w:r>
      <w:r w:rsidRPr="00D166BF">
        <w:rPr>
          <w:vertAlign w:val="superscript"/>
        </w:rPr>
        <w:t>1</w:t>
      </w:r>
      <w:r w:rsidRPr="00D166BF">
        <w:t xml:space="preserve"> This framework allows auditors to categorize and locate the specific evidence proving NFR adherence (Quad-4) and user protection (Quad-3).</w:t>
      </w:r>
    </w:p>
    <w:p w14:paraId="379351A6" w14:textId="77777777" w:rsidR="00D166BF" w:rsidRPr="00D166BF" w:rsidRDefault="00D166BF" w:rsidP="00D166BF">
      <w:r w:rsidRPr="00D166BF">
        <w:t>Table Title: Mapping Progressive Delivery to Auditable Quality and Governance</w:t>
      </w:r>
    </w:p>
    <w:tbl>
      <w:tblPr>
        <w:tblW w:w="0" w:type="auto"/>
        <w:tblCellSpacing w:w="15" w:type="dxa"/>
        <w:tblCellMar>
          <w:left w:w="0" w:type="dxa"/>
          <w:right w:w="0" w:type="dxa"/>
        </w:tblCellMar>
        <w:tblLook w:val="04A0" w:firstRow="1" w:lastRow="0" w:firstColumn="1" w:lastColumn="0" w:noHBand="0" w:noVBand="1"/>
      </w:tblPr>
      <w:tblGrid>
        <w:gridCol w:w="2606"/>
        <w:gridCol w:w="1657"/>
        <w:gridCol w:w="2425"/>
        <w:gridCol w:w="2656"/>
      </w:tblGrid>
      <w:tr w:rsidR="00D166BF" w:rsidRPr="00D166BF" w14:paraId="34695B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0195C" w14:textId="77777777" w:rsidR="00D166BF" w:rsidRPr="00D166BF" w:rsidRDefault="00D166BF" w:rsidP="00D166BF">
            <w:r w:rsidRPr="00D166BF">
              <w:rPr>
                <w:b/>
                <w:bCs/>
              </w:rPr>
              <w:t>Technique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99FE8" w14:textId="77777777" w:rsidR="00D166BF" w:rsidRPr="00D166BF" w:rsidRDefault="00D166BF" w:rsidP="00D166BF">
            <w:r w:rsidRPr="00D166BF">
              <w:rPr>
                <w:b/>
                <w:bCs/>
              </w:rPr>
              <w:t>Primary Quality Quadrant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87E0B" w14:textId="77777777" w:rsidR="00D166BF" w:rsidRPr="00D166BF" w:rsidRDefault="00D166BF" w:rsidP="00D166BF">
            <w:r w:rsidRPr="00D166BF">
              <w:rPr>
                <w:b/>
                <w:bCs/>
              </w:rPr>
              <w:t>Compliance/Audit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84203" w14:textId="77777777" w:rsidR="00D166BF" w:rsidRPr="00D166BF" w:rsidRDefault="00D166BF" w:rsidP="00D166BF">
            <w:r w:rsidRPr="00D166BF">
              <w:rPr>
                <w:b/>
                <w:bCs/>
              </w:rPr>
              <w:t>Required Audit Evidence</w:t>
            </w:r>
          </w:p>
        </w:tc>
      </w:tr>
      <w:tr w:rsidR="00D166BF" w:rsidRPr="00D166BF" w14:paraId="21BB72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54779" w14:textId="77777777" w:rsidR="00D166BF" w:rsidRPr="00D166BF" w:rsidRDefault="00D166BF" w:rsidP="00D166BF">
            <w:r w:rsidRPr="00D166BF">
              <w:t>Mocking/Virtualization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3CE71" w14:textId="77777777" w:rsidR="00D166BF" w:rsidRPr="00D166BF" w:rsidRDefault="00D166BF" w:rsidP="00D166BF">
            <w:r w:rsidRPr="00D166BF">
              <w:t>Quad-2 (Technology-Facing Acceptance)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38497" w14:textId="77777777" w:rsidR="00D166BF" w:rsidRPr="00D166BF" w:rsidRDefault="00D166BF" w:rsidP="00D166BF">
            <w:r w:rsidRPr="00D166BF">
              <w:t xml:space="preserve">Stabilizes Quad-2 testing, ensures deterministic functional validation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26FE4" w14:textId="77777777" w:rsidR="00D166BF" w:rsidRPr="00D166BF" w:rsidRDefault="00D166BF" w:rsidP="00D166BF">
            <w:r w:rsidRPr="00D166BF">
              <w:t>Logs of deterministic integration test execution results</w:t>
            </w:r>
          </w:p>
        </w:tc>
      </w:tr>
      <w:tr w:rsidR="00D166BF" w:rsidRPr="00D166BF" w14:paraId="13367A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B7EE2" w14:textId="77777777" w:rsidR="00D166BF" w:rsidRPr="00D166BF" w:rsidRDefault="00D166BF" w:rsidP="00D166BF">
            <w:r w:rsidRPr="00D166BF">
              <w:t>Dark Launch/Shadow Traffic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F7852" w14:textId="77777777" w:rsidR="00D166BF" w:rsidRPr="00D166BF" w:rsidRDefault="00D166BF" w:rsidP="00D166BF">
            <w:r w:rsidRPr="00D166BF">
              <w:t>Quad-4 (Technology-Facing NFRs)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7C1EC" w14:textId="77777777" w:rsidR="00D166BF" w:rsidRPr="00D166BF" w:rsidRDefault="00D166BF" w:rsidP="00D166BF">
            <w:r w:rsidRPr="00D166BF">
              <w:t xml:space="preserve">Risk-free NFR validation (Scale, Throughput, Load)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7564D" w14:textId="77777777" w:rsidR="00D166BF" w:rsidRPr="00D166BF" w:rsidRDefault="00D166BF" w:rsidP="00D166BF">
            <w:r w:rsidRPr="00D166BF">
              <w:t xml:space="preserve">NFR metric reports (CPU, Latency P99 maintained vs. baseline) </w:t>
            </w:r>
            <w:r w:rsidRPr="00D166BF">
              <w:rPr>
                <w:vertAlign w:val="superscript"/>
              </w:rPr>
              <w:t>1</w:t>
            </w:r>
          </w:p>
        </w:tc>
      </w:tr>
      <w:tr w:rsidR="00D166BF" w:rsidRPr="00D166BF" w14:paraId="2D6DFE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6FEC7" w14:textId="77777777" w:rsidR="00D166BF" w:rsidRPr="00D166BF" w:rsidRDefault="00D166BF" w:rsidP="00D166BF">
            <w:r w:rsidRPr="00D166BF">
              <w:t>Canary Deployment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8EF23" w14:textId="77777777" w:rsidR="00D166BF" w:rsidRPr="00D166BF" w:rsidRDefault="00D166BF" w:rsidP="00D166BF">
            <w:r w:rsidRPr="00D166BF">
              <w:t>Quad-3 (Business-Facing Acceptance)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AD933" w14:textId="77777777" w:rsidR="00D166BF" w:rsidRPr="00D166BF" w:rsidRDefault="00D166BF" w:rsidP="00D166BF">
            <w:r w:rsidRPr="00D166BF">
              <w:t xml:space="preserve">Blast radius containment, UX validation under real load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B37F2" w14:textId="77777777" w:rsidR="00D166BF" w:rsidRPr="00D166BF" w:rsidRDefault="00D166BF" w:rsidP="00D166BF">
            <w:r w:rsidRPr="00D166BF">
              <w:t>Automated rollback logs, user experience degradation alerts</w:t>
            </w:r>
          </w:p>
        </w:tc>
      </w:tr>
      <w:tr w:rsidR="00D166BF" w:rsidRPr="00D166BF" w14:paraId="1162A7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C03B1" w14:textId="77777777" w:rsidR="00D166BF" w:rsidRPr="00D166BF" w:rsidRDefault="00D166BF" w:rsidP="00D166BF">
            <w:r w:rsidRPr="00D166BF">
              <w:t>Feature Flags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6A23A" w14:textId="77777777" w:rsidR="00D166BF" w:rsidRPr="00D166BF" w:rsidRDefault="00D166BF" w:rsidP="00D166BF">
            <w:r w:rsidRPr="00D166BF">
              <w:t>Quad-3/Quad-4 (Release 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A478A" w14:textId="77777777" w:rsidR="00D166BF" w:rsidRPr="00D166BF" w:rsidRDefault="00D166BF" w:rsidP="00D166BF">
            <w:r w:rsidRPr="00D166BF">
              <w:t xml:space="preserve">Decoupling deployment/release, operational resilience/circuit breaker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74303" w14:textId="77777777" w:rsidR="00D166BF" w:rsidRPr="00D166BF" w:rsidRDefault="00D166BF" w:rsidP="00D166BF">
            <w:r w:rsidRPr="00D166BF">
              <w:t>Flag activation/deactivation logs, mandated retirement policy</w:t>
            </w:r>
          </w:p>
        </w:tc>
      </w:tr>
      <w:tr w:rsidR="00D166BF" w:rsidRPr="00D166BF" w14:paraId="63CD91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76CAB" w14:textId="77777777" w:rsidR="00D166BF" w:rsidRPr="00D166BF" w:rsidRDefault="00D166BF" w:rsidP="00D166BF">
            <w:r w:rsidRPr="00D166BF">
              <w:t>Synthetic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0A746" w14:textId="77777777" w:rsidR="00D166BF" w:rsidRPr="00D166BF" w:rsidRDefault="00D166BF" w:rsidP="00D166BF">
            <w:r w:rsidRPr="00D166BF">
              <w:t>Quad-4 (Operational 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E0964" w14:textId="77777777" w:rsidR="00D166BF" w:rsidRPr="00D166BF" w:rsidRDefault="00D166BF" w:rsidP="00D166BF">
            <w:r w:rsidRPr="00D166BF">
              <w:t xml:space="preserve">Continuous, passive validation of availability and </w:t>
            </w:r>
            <w:r w:rsidRPr="00D166BF">
              <w:lastRenderedPageBreak/>
              <w:t xml:space="preserve">function post-release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AF675" w14:textId="77777777" w:rsidR="00D166BF" w:rsidRPr="00D166BF" w:rsidRDefault="00D166BF" w:rsidP="00D166BF">
            <w:r w:rsidRPr="00D166BF">
              <w:lastRenderedPageBreak/>
              <w:t>Continuous availability reports, failure alert logs</w:t>
            </w:r>
          </w:p>
        </w:tc>
      </w:tr>
    </w:tbl>
    <w:p w14:paraId="6059F235" w14:textId="77777777" w:rsidR="00D166BF" w:rsidRPr="00D166BF" w:rsidRDefault="00D166BF" w:rsidP="00D166BF">
      <w:pPr>
        <w:rPr>
          <w:b/>
          <w:bCs/>
        </w:rPr>
      </w:pPr>
      <w:r w:rsidRPr="00D166BF">
        <w:rPr>
          <w:b/>
          <w:bCs/>
        </w:rPr>
        <w:t>2.3. Deployment Patterns for Auditable Recovery: Blue/Green Architecture</w:t>
      </w:r>
    </w:p>
    <w:p w14:paraId="75ADD815" w14:textId="77777777" w:rsidR="00D166BF" w:rsidRPr="00D166BF" w:rsidRDefault="00D166BF" w:rsidP="00D166BF">
      <w:r w:rsidRPr="00D166BF">
        <w:t xml:space="preserve">The physical deployment structure determines the speed of recovery, which is a key component of auditable risk management in financial services. </w:t>
      </w:r>
      <w:r w:rsidRPr="00D166BF">
        <w:rPr>
          <w:b/>
          <w:bCs/>
        </w:rPr>
        <w:t>Blue/Green Deployment</w:t>
      </w:r>
      <w:r w:rsidRPr="00D166BF">
        <w:t xml:space="preserve"> is an architectural pattern where two identical environments operate simultaneously, providing immediate, high-speed rollback capability.</w:t>
      </w:r>
      <w:r w:rsidRPr="00D166BF">
        <w:rPr>
          <w:vertAlign w:val="superscript"/>
        </w:rPr>
        <w:t>1</w:t>
      </w:r>
      <w:r w:rsidRPr="00D166BF">
        <w:t xml:space="preserve"> Should a new deployment fail post-cutover checks, the rollback is instantaneous, achieved by flipping the traffic router back to the stable 'Blue' environment.</w:t>
      </w:r>
      <w:r w:rsidRPr="00D166BF">
        <w:rPr>
          <w:vertAlign w:val="superscript"/>
        </w:rPr>
        <w:t>1</w:t>
      </w:r>
    </w:p>
    <w:p w14:paraId="29478EFF" w14:textId="77777777" w:rsidR="00D166BF" w:rsidRPr="00D166BF" w:rsidRDefault="00D166BF" w:rsidP="00D166BF">
      <w:r w:rsidRPr="00D166BF">
        <w:t>This architectural guarantee minimizes the duration of any potential uncontrolled exposure window, dramatically reducing overall business risk time (MTTR).</w:t>
      </w:r>
      <w:r w:rsidRPr="00D166BF">
        <w:rPr>
          <w:vertAlign w:val="superscript"/>
        </w:rPr>
        <w:t>1</w:t>
      </w:r>
      <w:r w:rsidRPr="00D166BF">
        <w:t xml:space="preserve"> For compliance purposes, this capability provides the essential risk mitigation insurance policy necessary to safely conduct controlled testing in production. However, Blue/Green efficacy is complex when dealing with persistent data, necessitating the integrated use of </w:t>
      </w:r>
      <w:r w:rsidRPr="00D166BF">
        <w:rPr>
          <w:b/>
          <w:bCs/>
        </w:rPr>
        <w:t>Feature Flags</w:t>
      </w:r>
      <w:r w:rsidRPr="00D166BF">
        <w:t xml:space="preserve"> to manage database schema evolution and ensure strict backwards compatibility.</w:t>
      </w:r>
      <w:r w:rsidRPr="00D166BF">
        <w:rPr>
          <w:vertAlign w:val="superscript"/>
        </w:rPr>
        <w:t>1</w:t>
      </w:r>
      <w:r w:rsidRPr="00D166BF">
        <w:t xml:space="preserve"> Therefore, the policy mandates pairing Blue/Green infrastructure (providing the mechanism for </w:t>
      </w:r>
      <w:r w:rsidRPr="00D166BF">
        <w:rPr>
          <w:i/>
          <w:iCs/>
        </w:rPr>
        <w:t>how quickly</w:t>
      </w:r>
      <w:r w:rsidRPr="00D166BF">
        <w:t xml:space="preserve"> to stop failure) with Canary testing (providing the intelligence for </w:t>
      </w:r>
      <w:r w:rsidRPr="00D166BF">
        <w:rPr>
          <w:i/>
          <w:iCs/>
        </w:rPr>
        <w:t>when</w:t>
      </w:r>
      <w:r w:rsidRPr="00D166BF">
        <w:t xml:space="preserve"> to stop failure), ensuring rapid risk mitigation is architecturally feasible.</w:t>
      </w:r>
    </w:p>
    <w:p w14:paraId="39459FBC" w14:textId="77777777" w:rsidR="00D166BF" w:rsidRPr="00D166BF" w:rsidRDefault="00D166BF" w:rsidP="00D166BF">
      <w:pPr>
        <w:rPr>
          <w:b/>
          <w:bCs/>
        </w:rPr>
      </w:pPr>
      <w:r w:rsidRPr="00D166BF">
        <w:rPr>
          <w:b/>
          <w:bCs/>
        </w:rPr>
        <w:t>2.4. Controlled Exposure as Auditable Evidence: Canary Deployments and Dark Launches</w:t>
      </w:r>
    </w:p>
    <w:p w14:paraId="3F0DB3A2" w14:textId="77777777" w:rsidR="00D166BF" w:rsidRPr="00D166BF" w:rsidRDefault="00D166BF" w:rsidP="00D166BF">
      <w:r w:rsidRPr="00D166BF">
        <w:t>The interplay between Dark Launches and Canary deployments defines the auditable validation hierarchy for highly regulated systems.</w:t>
      </w:r>
    </w:p>
    <w:p w14:paraId="0BB11A82" w14:textId="77777777" w:rsidR="00D166BF" w:rsidRPr="00D166BF" w:rsidRDefault="00D166BF" w:rsidP="00D166BF">
      <w:r w:rsidRPr="00D166BF">
        <w:rPr>
          <w:b/>
          <w:bCs/>
        </w:rPr>
        <w:t>Dark Launches (Quad-4)</w:t>
      </w:r>
      <w:r w:rsidRPr="00D166BF">
        <w:t>, or shadow traffic, represent the purest form of silent, risk-free validation, focusing exclusively on operational quality.</w:t>
      </w:r>
      <w:r w:rsidRPr="00D166BF">
        <w:rPr>
          <w:vertAlign w:val="superscript"/>
        </w:rPr>
        <w:t>1</w:t>
      </w:r>
      <w:r w:rsidRPr="00D166BF">
        <w:t xml:space="preserve"> The process involves mirroring live production traffic to a new service version, which processes the requests but discards the output, ensuring users are never impacted.</w:t>
      </w:r>
      <w:r w:rsidRPr="00D166BF">
        <w:rPr>
          <w:vertAlign w:val="superscript"/>
        </w:rPr>
        <w:t>1</w:t>
      </w:r>
      <w:r w:rsidRPr="00D166BF">
        <w:t xml:space="preserve"> This technique is the primary tool for explicitly satisfying core </w:t>
      </w:r>
      <w:r w:rsidRPr="00D166BF">
        <w:rPr>
          <w:b/>
          <w:bCs/>
        </w:rPr>
        <w:t>Non-Functional Requirement (NFR)</w:t>
      </w:r>
      <w:r w:rsidRPr="00D166BF">
        <w:t xml:space="preserve"> gates under deterministic 100% production stress (e.g., scalability, resource consumption, stability).</w:t>
      </w:r>
      <w:r w:rsidRPr="00D166BF">
        <w:rPr>
          <w:vertAlign w:val="superscript"/>
        </w:rPr>
        <w:t>1</w:t>
      </w:r>
      <w:r w:rsidRPr="00D166BF">
        <w:t xml:space="preserve"> The resulting objective data—comparing resource utilization and API latency against the baseline—is the evidence required to satisfy the "Definition of Releasable" technical gates.</w:t>
      </w:r>
      <w:r w:rsidRPr="00D166BF">
        <w:rPr>
          <w:vertAlign w:val="superscript"/>
        </w:rPr>
        <w:t>1</w:t>
      </w:r>
      <w:r w:rsidRPr="00D166BF">
        <w:t xml:space="preserve"> A critical policy </w:t>
      </w:r>
      <w:r w:rsidRPr="00D166BF">
        <w:lastRenderedPageBreak/>
        <w:t xml:space="preserve">mandate is that the success of the Dark Launch (proving Quad-4 NFRs) </w:t>
      </w:r>
      <w:r w:rsidRPr="00D166BF">
        <w:rPr>
          <w:b/>
          <w:bCs/>
        </w:rPr>
        <w:t>must be a mandatory, automated gate before</w:t>
      </w:r>
      <w:r w:rsidRPr="00D166BF">
        <w:t xml:space="preserve"> the first percentage of live user traffic is directed to the Canary (Quad-3).</w:t>
      </w:r>
      <w:r w:rsidRPr="00D166BF">
        <w:rPr>
          <w:vertAlign w:val="superscript"/>
        </w:rPr>
        <w:t>1</w:t>
      </w:r>
    </w:p>
    <w:p w14:paraId="245299BC" w14:textId="77777777" w:rsidR="00D166BF" w:rsidRPr="00D166BF" w:rsidRDefault="00D166BF" w:rsidP="00D166BF">
      <w:r w:rsidRPr="00D166BF">
        <w:rPr>
          <w:b/>
          <w:bCs/>
        </w:rPr>
        <w:t>Canary Deployments (Quad-3)</w:t>
      </w:r>
      <w:r w:rsidRPr="00D166BF">
        <w:t xml:space="preserve"> then assume the role of controlled risk mitigation, incrementally shifting real user traffic to validate user experience and associated business metrics.</w:t>
      </w:r>
      <w:r w:rsidRPr="00D166BF">
        <w:rPr>
          <w:vertAlign w:val="superscript"/>
        </w:rPr>
        <w:t>1</w:t>
      </w:r>
      <w:r w:rsidRPr="00D166BF">
        <w:t xml:space="preserve"> This is measured not merely by the absence of catastrophic errors, but by strict adherence to predefined, user-facing NFRs, such as ensuring that P99 latency does not degrade relative to the stable baseline.</w:t>
      </w:r>
      <w:r w:rsidRPr="00D166BF">
        <w:rPr>
          <w:vertAlign w:val="superscript"/>
        </w:rPr>
        <w:t>1</w:t>
      </w:r>
      <w:r w:rsidRPr="00D166BF">
        <w:t xml:space="preserve"> The entire process relies on automated monitoring systems that continuously compare the Canary group against the baseline; if metrics degrade, an automated rollback is immediately triggered, minimizing the "blast radius".</w:t>
      </w:r>
      <w:r w:rsidRPr="00D166BF">
        <w:rPr>
          <w:vertAlign w:val="superscript"/>
        </w:rPr>
        <w:t>1</w:t>
      </w:r>
    </w:p>
    <w:p w14:paraId="0FE09718" w14:textId="77777777" w:rsidR="00D166BF" w:rsidRPr="00D166BF" w:rsidRDefault="00D166BF" w:rsidP="00D166BF">
      <w:r w:rsidRPr="00D166BF">
        <w:t xml:space="preserve">Finally, </w:t>
      </w:r>
      <w:r w:rsidRPr="00D166BF">
        <w:rPr>
          <w:b/>
          <w:bCs/>
        </w:rPr>
        <w:t>Synthetic Testing (Quad-4)</w:t>
      </w:r>
      <w:r w:rsidRPr="00D166BF">
        <w:t xml:space="preserve"> ensures continuous, long-term adherence to the DoR. These automated scripts simulate critical business journeys in the live production environment, providing continuous proof of availability and critical functionality long after the initial release gates have passed, detecting environment drift and instability regardless of recent deployment status.</w:t>
      </w:r>
      <w:r w:rsidRPr="00D166BF">
        <w:rPr>
          <w:vertAlign w:val="superscript"/>
        </w:rPr>
        <w:t>1</w:t>
      </w:r>
    </w:p>
    <w:p w14:paraId="3611265F" w14:textId="77777777" w:rsidR="00D166BF" w:rsidRPr="00D166BF" w:rsidRDefault="00D166BF" w:rsidP="00D166BF">
      <w:pPr>
        <w:rPr>
          <w:b/>
          <w:bCs/>
        </w:rPr>
      </w:pPr>
      <w:r w:rsidRPr="00D166BF">
        <w:rPr>
          <w:b/>
          <w:bCs/>
        </w:rPr>
        <w:t>III. Blueprint I: Continuous SOX Compliance and SDLC Traceability</w:t>
      </w:r>
    </w:p>
    <w:p w14:paraId="4AF9DC42" w14:textId="77777777" w:rsidR="00D166BF" w:rsidRPr="00D166BF" w:rsidRDefault="00D166BF" w:rsidP="00D166BF">
      <w:pPr>
        <w:rPr>
          <w:b/>
          <w:bCs/>
        </w:rPr>
      </w:pPr>
      <w:r w:rsidRPr="00D166BF">
        <w:rPr>
          <w:b/>
          <w:bCs/>
        </w:rPr>
        <w:t>3.1. Re-engineering IT General Controls (ITGCs) for Automation</w:t>
      </w:r>
    </w:p>
    <w:p w14:paraId="6E83B055" w14:textId="77777777" w:rsidR="00D166BF" w:rsidRPr="00D166BF" w:rsidRDefault="00D166BF" w:rsidP="00D166BF">
      <w:r w:rsidRPr="00D166BF">
        <w:t>The Sarbanes-Oxley (SOX) Act mandates strict internal controls over financial reporting (ICFR), driven by Section 404 which requires management and external auditors to assess the adequacy of these controls annually.</w:t>
      </w:r>
      <w:r w:rsidRPr="00D166BF">
        <w:rPr>
          <w:vertAlign w:val="superscript"/>
        </w:rPr>
        <w:t>4</w:t>
      </w:r>
      <w:r w:rsidRPr="00D166BF">
        <w:t xml:space="preserve"> The IT General Controls (ITGCs)—processes ensuring the confidentiality, integrity, and availability of financial data—are the foundational pillar of SOX compliance in technology.</w:t>
      </w:r>
      <w:r w:rsidRPr="00D166BF">
        <w:rPr>
          <w:vertAlign w:val="superscript"/>
        </w:rPr>
        <w:t>5</w:t>
      </w:r>
      <w:r w:rsidRPr="00D166BF">
        <w:t xml:space="preserve"> Key ITGCs include access management, systems monitoring, and, most critically for software delivery, change control.</w:t>
      </w:r>
      <w:r w:rsidRPr="00D166BF">
        <w:rPr>
          <w:vertAlign w:val="superscript"/>
        </w:rPr>
        <w:t>5</w:t>
      </w:r>
    </w:p>
    <w:p w14:paraId="4D109D59" w14:textId="77777777" w:rsidR="00D166BF" w:rsidRPr="00D166BF" w:rsidRDefault="00D166BF" w:rsidP="00D166BF">
      <w:r w:rsidRPr="00D166BF">
        <w:t>The challenge for DevOps is integrating these historically manual, rigid controls into a high-velocity, automated environment.</w:t>
      </w:r>
      <w:r w:rsidRPr="00D166BF">
        <w:rPr>
          <w:vertAlign w:val="superscript"/>
        </w:rPr>
        <w:t>6</w:t>
      </w:r>
      <w:r w:rsidRPr="00D166BF">
        <w:t xml:space="preserve"> The solution is to view the CI/CD pipeline itself as the primary, highly auditable </w:t>
      </w:r>
      <w:r w:rsidRPr="00D166BF">
        <w:rPr>
          <w:b/>
          <w:bCs/>
        </w:rPr>
        <w:t>IT General Control</w:t>
      </w:r>
      <w:r w:rsidRPr="00D166BF">
        <w:t>.</w:t>
      </w:r>
      <w:r w:rsidRPr="00D166BF">
        <w:rPr>
          <w:vertAlign w:val="superscript"/>
        </w:rPr>
        <w:t>6</w:t>
      </w:r>
      <w:r w:rsidRPr="00D166BF">
        <w:t xml:space="preserve"> Its configuration becomes the documented procedure, and its execution log becomes the immutable, auto-generated evidence.</w:t>
      </w:r>
      <w:r w:rsidRPr="00D166BF">
        <w:rPr>
          <w:vertAlign w:val="superscript"/>
        </w:rPr>
        <w:t>3</w:t>
      </w:r>
      <w:r w:rsidRPr="00D166BF">
        <w:t xml:space="preserve"> Compliance requirements must be introduced early in the SDLC, treating them as explicit </w:t>
      </w:r>
      <w:r w:rsidRPr="00D166BF">
        <w:rPr>
          <w:b/>
          <w:bCs/>
        </w:rPr>
        <w:t>Non-Functional Requirements (NFRs)</w:t>
      </w:r>
      <w:r w:rsidRPr="00D166BF">
        <w:t xml:space="preserve"> within Agile planning, ensuring they drive architecture from day one.</w:t>
      </w:r>
      <w:r w:rsidRPr="00D166BF">
        <w:rPr>
          <w:vertAlign w:val="superscript"/>
        </w:rPr>
        <w:t>1</w:t>
      </w:r>
      <w:r w:rsidRPr="00D166BF">
        <w:t xml:space="preserve"> This re-engineering transforms compliance from a retrospective, error-prone manual task into an integrated, self-documenting system that generates an audit trail strong enough to withstand legal scrutiny.</w:t>
      </w:r>
      <w:r w:rsidRPr="00D166BF">
        <w:rPr>
          <w:vertAlign w:val="superscript"/>
        </w:rPr>
        <w:t>3</w:t>
      </w:r>
    </w:p>
    <w:p w14:paraId="11712B8A" w14:textId="77777777" w:rsidR="00D166BF" w:rsidRPr="00D166BF" w:rsidRDefault="00D166BF" w:rsidP="00D166BF">
      <w:pPr>
        <w:rPr>
          <w:b/>
          <w:bCs/>
        </w:rPr>
      </w:pPr>
      <w:r w:rsidRPr="00D166BF">
        <w:rPr>
          <w:b/>
          <w:bCs/>
        </w:rPr>
        <w:t>3.2. Policy-as-Code (PaC) for Segregation of Duties (SoD) Enforcement</w:t>
      </w:r>
    </w:p>
    <w:p w14:paraId="3D9FF632" w14:textId="77777777" w:rsidR="00D166BF" w:rsidRPr="00D166BF" w:rsidRDefault="00D166BF" w:rsidP="00D166BF">
      <w:r w:rsidRPr="00D166BF">
        <w:lastRenderedPageBreak/>
        <w:t xml:space="preserve">A leading control weakness discovered in IT audits relates to the improper provisioning of user accounts and failures in </w:t>
      </w:r>
      <w:r w:rsidRPr="00D166BF">
        <w:rPr>
          <w:b/>
          <w:bCs/>
        </w:rPr>
        <w:t>Segregation of Duties (SoD)</w:t>
      </w:r>
      <w:r w:rsidRPr="00D166BF">
        <w:t>.</w:t>
      </w:r>
      <w:r w:rsidRPr="00D166BF">
        <w:rPr>
          <w:vertAlign w:val="superscript"/>
        </w:rPr>
        <w:t>7</w:t>
      </w:r>
      <w:r w:rsidRPr="00D166BF">
        <w:t xml:space="preserve"> SoD is a crucial ITGC that prevents any single individual from having sole authority over an entire process (e.g., initiating, approving, and implementing a change), thereby mitigating the risk of fraud and error.</w:t>
      </w:r>
      <w:r w:rsidRPr="00D166BF">
        <w:rPr>
          <w:vertAlign w:val="superscript"/>
        </w:rPr>
        <w:t>7</w:t>
      </w:r>
    </w:p>
    <w:p w14:paraId="3CB4A452" w14:textId="77777777" w:rsidR="00D166BF" w:rsidRPr="00D166BF" w:rsidRDefault="00D166BF" w:rsidP="00D166BF">
      <w:r w:rsidRPr="00D166BF">
        <w:rPr>
          <w:b/>
          <w:bCs/>
        </w:rPr>
        <w:t>Policy-as-Code (PaC)</w:t>
      </w:r>
      <w:r w:rsidRPr="00D166BF">
        <w:t xml:space="preserve"> provides the necessary technical mechanism to enforce SoD automatically and universally.</w:t>
      </w:r>
      <w:r w:rsidRPr="00D166BF">
        <w:rPr>
          <w:vertAlign w:val="superscript"/>
        </w:rPr>
        <w:t>6</w:t>
      </w:r>
      <w:r w:rsidRPr="00D166BF">
        <w:t xml:space="preserve"> PaC systems, often utilizing tools like </w:t>
      </w:r>
      <w:r w:rsidRPr="00D166BF">
        <w:rPr>
          <w:b/>
          <w:bCs/>
        </w:rPr>
        <w:t>Open Policy Agent (OPA)</w:t>
      </w:r>
      <w:r w:rsidRPr="00D166BF">
        <w:t xml:space="preserve"> and the </w:t>
      </w:r>
      <w:r w:rsidRPr="00D166BF">
        <w:rPr>
          <w:b/>
          <w:bCs/>
        </w:rPr>
        <w:t>Rego language</w:t>
      </w:r>
      <w:r w:rsidRPr="00D166BF">
        <w:t>, allow governance rules to be defined and enforced across microservices, Kubernetes, and CI/CD pipelines.</w:t>
      </w:r>
      <w:r w:rsidRPr="00D166BF">
        <w:rPr>
          <w:vertAlign w:val="superscript"/>
        </w:rPr>
        <w:t>8</w:t>
      </w:r>
      <w:r w:rsidRPr="00D166BF">
        <w:t xml:space="preserve"> These policies can enforce controls such as requiring multi-factor authentication for production pushes, or, critically, preventing the same user who committed the code change from also authorizing or executing the deployment to a financial system.</w:t>
      </w:r>
      <w:r w:rsidRPr="00D166BF">
        <w:rPr>
          <w:vertAlign w:val="superscript"/>
        </w:rPr>
        <w:t>9</w:t>
      </w:r>
      <w:r w:rsidRPr="00D166BF">
        <w:t xml:space="preserve"> By integrating identity-based permissions directly into the deployment workflow, PaC ensures SoD is enforced at machine speed, and the resulting immutable policy audit log serves as definitive evidence of compliance to the auditor.</w:t>
      </w:r>
      <w:r w:rsidRPr="00D166BF">
        <w:rPr>
          <w:vertAlign w:val="superscript"/>
        </w:rPr>
        <w:t>8</w:t>
      </w:r>
    </w:p>
    <w:p w14:paraId="7910B48E" w14:textId="77777777" w:rsidR="00D166BF" w:rsidRPr="00D166BF" w:rsidRDefault="00D166BF" w:rsidP="00D166BF">
      <w:pPr>
        <w:rPr>
          <w:b/>
          <w:bCs/>
        </w:rPr>
      </w:pPr>
      <w:r w:rsidRPr="00D166BF">
        <w:rPr>
          <w:b/>
          <w:bCs/>
        </w:rPr>
        <w:t>3.3. Automating SDLC Artifacts Generation for Audit Readiness</w:t>
      </w:r>
    </w:p>
    <w:p w14:paraId="10EB9277" w14:textId="77777777" w:rsidR="00D166BF" w:rsidRPr="00D166BF" w:rsidRDefault="00D166BF" w:rsidP="00D166BF">
      <w:r w:rsidRPr="00D166BF">
        <w:t>SOX compliance demands comprehensive documentation at every stage of the SDLC to demonstrate effective internal controls.</w:t>
      </w:r>
      <w:r w:rsidRPr="00D166BF">
        <w:rPr>
          <w:vertAlign w:val="superscript"/>
        </w:rPr>
        <w:t>1</w:t>
      </w:r>
      <w:r w:rsidRPr="00D166BF">
        <w:t xml:space="preserve"> Auditors require detailed system requirements (especially financial ones), version control records, documented code reviews, test results validating financial data accuracy, and deployment procedures.</w:t>
      </w:r>
      <w:r w:rsidRPr="00D166BF">
        <w:rPr>
          <w:vertAlign w:val="superscript"/>
        </w:rPr>
        <w:t>1</w:t>
      </w:r>
    </w:p>
    <w:p w14:paraId="385EA1D8" w14:textId="77777777" w:rsidR="00D166BF" w:rsidRPr="00D166BF" w:rsidRDefault="00D166BF" w:rsidP="00D166BF">
      <w:r w:rsidRPr="00D166BF">
        <w:t xml:space="preserve">The automated CI/CD pipeline is uniquely suited to generate these required artifacts continuously. A well-orchestrated pipeline automatically produces a comprehensive audit trail for every execution, which includes the </w:t>
      </w:r>
      <w:r w:rsidRPr="00D166BF">
        <w:rPr>
          <w:b/>
          <w:bCs/>
        </w:rPr>
        <w:t>Git commit hash</w:t>
      </w:r>
      <w:r w:rsidRPr="00D166BF">
        <w:t>, the results of all tests and security scans (SAST/DAST/SCA), and records of all approvals and logs from the deployment itself.</w:t>
      </w:r>
      <w:r w:rsidRPr="00D166BF">
        <w:rPr>
          <w:vertAlign w:val="superscript"/>
        </w:rPr>
        <w:t>6</w:t>
      </w:r>
      <w:r w:rsidRPr="00D166BF">
        <w:t xml:space="preserve"> This self-documenting approach shifts the compliance effort from retrospective paperwork to ensuring the </w:t>
      </w:r>
      <w:r w:rsidRPr="00D166BF">
        <w:rPr>
          <w:i/>
          <w:iCs/>
        </w:rPr>
        <w:t>workflow itself</w:t>
      </w:r>
      <w:r w:rsidRPr="00D166BF">
        <w:t xml:space="preserve"> generates the evidence.</w:t>
      </w:r>
      <w:r w:rsidRPr="00D166BF">
        <w:rPr>
          <w:vertAlign w:val="superscript"/>
        </w:rPr>
        <w:t>10</w:t>
      </w:r>
      <w:r w:rsidRPr="00D166BF">
        <w:t xml:space="preserve"> Furthermore, advanced tools enable automated </w:t>
      </w:r>
      <w:r w:rsidRPr="00D166BF">
        <w:rPr>
          <w:b/>
          <w:bCs/>
        </w:rPr>
        <w:t>Source Tracking</w:t>
      </w:r>
      <w:r w:rsidRPr="00D166BF">
        <w:t>, logging every metadata change and mapping it directly to version control history, providing an immutable record of who changed financial logic and when, thereby eliminating manual forensic analysis during audits.</w:t>
      </w:r>
      <w:r w:rsidRPr="00D166BF">
        <w:rPr>
          <w:vertAlign w:val="superscript"/>
        </w:rPr>
        <w:t>11</w:t>
      </w:r>
    </w:p>
    <w:p w14:paraId="2173A14E" w14:textId="77777777" w:rsidR="00D166BF" w:rsidRPr="00D166BF" w:rsidRDefault="00D166BF" w:rsidP="00D166BF">
      <w:pPr>
        <w:rPr>
          <w:b/>
          <w:bCs/>
        </w:rPr>
      </w:pPr>
      <w:r w:rsidRPr="00D166BF">
        <w:rPr>
          <w:b/>
          <w:bCs/>
        </w:rPr>
        <w:t>3.4. Continuous Change Management and Approval Gates</w:t>
      </w:r>
    </w:p>
    <w:p w14:paraId="6BFFEBE6" w14:textId="77777777" w:rsidR="00D166BF" w:rsidRPr="00D166BF" w:rsidRDefault="00D166BF" w:rsidP="00D166BF">
      <w:r w:rsidRPr="00D166BF">
        <w:t>Change Management is a key focus area for SOX auditors, requiring documentation of change requests, approvals from relevant stakeholders, and controlled implementation plans.</w:t>
      </w:r>
      <w:r w:rsidRPr="00D166BF">
        <w:rPr>
          <w:vertAlign w:val="superscript"/>
        </w:rPr>
        <w:t>1</w:t>
      </w:r>
      <w:r w:rsidRPr="00D166BF">
        <w:t xml:space="preserve"> In a modern DevOps environment, the traditional Change Advisory Board (CAB) is </w:t>
      </w:r>
      <w:r w:rsidRPr="00D166BF">
        <w:lastRenderedPageBreak/>
        <w:t>transformed from a manual bottleneck into a continuous, policy-enforced governance gate.</w:t>
      </w:r>
      <w:r w:rsidRPr="00D166BF">
        <w:rPr>
          <w:vertAlign w:val="superscript"/>
        </w:rPr>
        <w:t>12</w:t>
      </w:r>
    </w:p>
    <w:p w14:paraId="5409CA18" w14:textId="77777777" w:rsidR="00D166BF" w:rsidRPr="00D166BF" w:rsidRDefault="00D166BF" w:rsidP="00D166BF">
      <w:r w:rsidRPr="00D166BF">
        <w:t>CI/CD pipelines must integrate with change management systems (e.g., Jira or ServiceNow) to automatically check whether a deployment corresponds to an approved, linked change request.</w:t>
      </w:r>
      <w:r w:rsidRPr="00D166BF">
        <w:rPr>
          <w:vertAlign w:val="superscript"/>
        </w:rPr>
        <w:t>6</w:t>
      </w:r>
      <w:r w:rsidRPr="00D166BF">
        <w:t xml:space="preserve"> </w:t>
      </w:r>
      <w:r w:rsidRPr="00D166BF">
        <w:rPr>
          <w:b/>
          <w:bCs/>
        </w:rPr>
        <w:t>Policy-as-Code</w:t>
      </w:r>
      <w:r w:rsidRPr="00D166BF">
        <w:t xml:space="preserve"> enforces these automated approval gates. Moreover, rigorous </w:t>
      </w:r>
      <w:r w:rsidRPr="00D166BF">
        <w:rPr>
          <w:b/>
          <w:bCs/>
        </w:rPr>
        <w:t>Change Validation Procedures</w:t>
      </w:r>
      <w:r w:rsidRPr="00D166BF">
        <w:t xml:space="preserve"> are embedded directly into the pipeline, requiring automated security scanning and regression testing to confirm the change does not introduce adverse effects </w:t>
      </w:r>
      <w:r w:rsidRPr="00D166BF">
        <w:rPr>
          <w:i/>
          <w:iCs/>
        </w:rPr>
        <w:t>before</w:t>
      </w:r>
      <w:r w:rsidRPr="00D166BF">
        <w:t xml:space="preserve"> promotion to production.</w:t>
      </w:r>
      <w:r w:rsidRPr="00D166BF">
        <w:rPr>
          <w:vertAlign w:val="superscript"/>
        </w:rPr>
        <w:t>12</w:t>
      </w:r>
      <w:r w:rsidRPr="00D166BF">
        <w:t xml:space="preserve"> This automated validation provides integrated evidence of due diligence, guaranteeing that the controlled and systematic implementation required by SOX is executed at machine speed.</w:t>
      </w:r>
      <w:r w:rsidRPr="00D166BF">
        <w:rPr>
          <w:vertAlign w:val="superscript"/>
        </w:rPr>
        <w:t>1</w:t>
      </w:r>
    </w:p>
    <w:p w14:paraId="169AD828" w14:textId="77777777" w:rsidR="00D166BF" w:rsidRPr="00D166BF" w:rsidRDefault="00D166BF" w:rsidP="00D166BF">
      <w:r w:rsidRPr="00D166BF">
        <w:t>Table Title: SOX ITGCs Automated via Policy-as-Code in CI/CD</w:t>
      </w:r>
    </w:p>
    <w:tbl>
      <w:tblPr>
        <w:tblW w:w="0" w:type="auto"/>
        <w:tblCellSpacing w:w="15" w:type="dxa"/>
        <w:tblCellMar>
          <w:left w:w="0" w:type="dxa"/>
          <w:right w:w="0" w:type="dxa"/>
        </w:tblCellMar>
        <w:tblLook w:val="04A0" w:firstRow="1" w:lastRow="0" w:firstColumn="1" w:lastColumn="0" w:noHBand="0" w:noVBand="1"/>
      </w:tblPr>
      <w:tblGrid>
        <w:gridCol w:w="2271"/>
        <w:gridCol w:w="2602"/>
        <w:gridCol w:w="2390"/>
        <w:gridCol w:w="2081"/>
      </w:tblGrid>
      <w:tr w:rsidR="00D166BF" w:rsidRPr="00D166BF" w14:paraId="5A2A4C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33D6A" w14:textId="77777777" w:rsidR="00D166BF" w:rsidRPr="00D166BF" w:rsidRDefault="00D166BF" w:rsidP="00D166BF">
            <w:r w:rsidRPr="00D166BF">
              <w:rPr>
                <w:b/>
                <w:bCs/>
              </w:rPr>
              <w:t>SOX ITGC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7DEE6" w14:textId="77777777" w:rsidR="00D166BF" w:rsidRPr="00D166BF" w:rsidRDefault="00D166BF" w:rsidP="00D166BF">
            <w:r w:rsidRPr="00D166BF">
              <w:rPr>
                <w:b/>
                <w:bCs/>
              </w:rPr>
              <w:t>DevOps Automation Enforcement 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F2420" w14:textId="77777777" w:rsidR="00D166BF" w:rsidRPr="00D166BF" w:rsidRDefault="00D166BF" w:rsidP="00D166BF">
            <w:r w:rsidRPr="00D166BF">
              <w:rPr>
                <w:b/>
                <w:bCs/>
              </w:rPr>
              <w:t>PaC/Tooling Example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9C227" w14:textId="77777777" w:rsidR="00D166BF" w:rsidRPr="00D166BF" w:rsidRDefault="00D166BF" w:rsidP="00D166BF">
            <w:r w:rsidRPr="00D166BF">
              <w:rPr>
                <w:b/>
                <w:bCs/>
              </w:rPr>
              <w:t>SDLC Artifact Generated</w:t>
            </w:r>
          </w:p>
        </w:tc>
      </w:tr>
      <w:tr w:rsidR="00D166BF" w:rsidRPr="00D166BF" w14:paraId="6170E6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501A0" w14:textId="77777777" w:rsidR="00D166BF" w:rsidRPr="00D166BF" w:rsidRDefault="00D166BF" w:rsidP="00D166BF">
            <w:r w:rsidRPr="00D166BF">
              <w:t>Change Management (Approval)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C2A72" w14:textId="77777777" w:rsidR="00D166BF" w:rsidRPr="00D166BF" w:rsidRDefault="00D166BF" w:rsidP="00D166BF">
            <w:r w:rsidRPr="00D166BF">
              <w:t xml:space="preserve">Mandatory approval gate in CI/CD/Pull Request </w:t>
            </w:r>
            <w:r w:rsidRPr="00D166BF">
              <w:rPr>
                <w:vertAlign w:val="superscript"/>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530A8" w14:textId="77777777" w:rsidR="00D166BF" w:rsidRPr="00D166BF" w:rsidRDefault="00D166BF" w:rsidP="00D166BF">
            <w:r w:rsidRPr="00D166BF">
              <w:t>Jira/ServiceNow integration check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85D52" w14:textId="77777777" w:rsidR="00D166BF" w:rsidRPr="00D166BF" w:rsidRDefault="00D166BF" w:rsidP="00D166BF">
            <w:r w:rsidRPr="00D166BF">
              <w:t xml:space="preserve">Approved Change Request ID link in deployment log </w:t>
            </w:r>
            <w:r w:rsidRPr="00D166BF">
              <w:rPr>
                <w:vertAlign w:val="superscript"/>
              </w:rPr>
              <w:t>6</w:t>
            </w:r>
          </w:p>
        </w:tc>
      </w:tr>
      <w:tr w:rsidR="00D166BF" w:rsidRPr="00D166BF" w14:paraId="27F2DF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2783F" w14:textId="77777777" w:rsidR="00D166BF" w:rsidRPr="00D166BF" w:rsidRDefault="00D166BF" w:rsidP="00D166BF">
            <w:r w:rsidRPr="00D166BF">
              <w:t>Segregation of Duties (SoD)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BF0D0" w14:textId="77777777" w:rsidR="00D166BF" w:rsidRPr="00D166BF" w:rsidRDefault="00D166BF" w:rsidP="00D166BF">
            <w:r w:rsidRPr="00D166BF">
              <w:t xml:space="preserve">Policy preventing same user from commiting and deploying to Production </w:t>
            </w:r>
            <w:r w:rsidRPr="00D166BF">
              <w:rPr>
                <w:vertAlign w:val="superscript"/>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232EF" w14:textId="77777777" w:rsidR="00D166BF" w:rsidRPr="00D166BF" w:rsidRDefault="00D166BF" w:rsidP="00D166BF">
            <w:r w:rsidRPr="00D166BF">
              <w:t xml:space="preserve">OPA policy enforcement (Rego) </w:t>
            </w:r>
            <w:r w:rsidRPr="00D166BF">
              <w:rPr>
                <w:vertAlign w:val="superscript"/>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8A65C" w14:textId="77777777" w:rsidR="00D166BF" w:rsidRPr="00D166BF" w:rsidRDefault="00D166BF" w:rsidP="00D166BF">
            <w:r w:rsidRPr="00D166BF">
              <w:t xml:space="preserve">Identity-based access control logs (Immutable) </w:t>
            </w:r>
            <w:r w:rsidRPr="00D166BF">
              <w:rPr>
                <w:vertAlign w:val="superscript"/>
              </w:rPr>
              <w:t>9</w:t>
            </w:r>
          </w:p>
        </w:tc>
      </w:tr>
      <w:tr w:rsidR="00D166BF" w:rsidRPr="00D166BF" w14:paraId="2986ED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F67EC" w14:textId="77777777" w:rsidR="00D166BF" w:rsidRPr="00D166BF" w:rsidRDefault="00D166BF" w:rsidP="00D166BF">
            <w:r w:rsidRPr="00D166BF">
              <w:t>Audit Trail/Traceability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2959C" w14:textId="77777777" w:rsidR="00D166BF" w:rsidRPr="00D166BF" w:rsidRDefault="00D166BF" w:rsidP="00D166BF">
            <w:r w:rsidRPr="00D166BF">
              <w:t xml:space="preserve">Immutable logging of code changes, tests, and deployment </w:t>
            </w:r>
            <w:r w:rsidRPr="00D166BF">
              <w:rPr>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26972" w14:textId="77777777" w:rsidR="00D166BF" w:rsidRPr="00D166BF" w:rsidRDefault="00D166BF" w:rsidP="00D166BF">
            <w:r w:rsidRPr="00D166BF">
              <w:t xml:space="preserve">Git commit hash, CI/CD pipeline execution logs </w:t>
            </w:r>
            <w:r w:rsidRPr="00D166BF">
              <w:rPr>
                <w:vertAlign w:val="superscript"/>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42A48" w14:textId="77777777" w:rsidR="00D166BF" w:rsidRPr="00D166BF" w:rsidRDefault="00D166BF" w:rsidP="00D166BF">
            <w:r w:rsidRPr="00D166BF">
              <w:t xml:space="preserve">End-to-end traceability matrix, Time-stamped logs </w:t>
            </w:r>
            <w:r w:rsidRPr="00D166BF">
              <w:rPr>
                <w:vertAlign w:val="superscript"/>
              </w:rPr>
              <w:t>11</w:t>
            </w:r>
          </w:p>
        </w:tc>
      </w:tr>
      <w:tr w:rsidR="00D166BF" w:rsidRPr="00D166BF" w14:paraId="613780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90CC4" w14:textId="77777777" w:rsidR="00D166BF" w:rsidRPr="00D166BF" w:rsidRDefault="00D166BF" w:rsidP="00D166BF">
            <w:r w:rsidRPr="00D166BF">
              <w:lastRenderedPageBreak/>
              <w:t>Security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B847B" w14:textId="77777777" w:rsidR="00D166BF" w:rsidRPr="00D166BF" w:rsidRDefault="00D166BF" w:rsidP="00D166BF">
            <w:r w:rsidRPr="00D166BF">
              <w:t xml:space="preserve">Automated SAST/DAST/SCA scans enforced pre-deployment </w:t>
            </w:r>
            <w:r w:rsidRPr="00D166BF">
              <w:rPr>
                <w:vertAlign w:val="superscript"/>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65540" w14:textId="77777777" w:rsidR="00D166BF" w:rsidRPr="00D166BF" w:rsidRDefault="00D166BF" w:rsidP="00D166BF">
            <w:r w:rsidRPr="00D166BF">
              <w:t>Policy requiring successful security scan threshold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147AC" w14:textId="77777777" w:rsidR="00D166BF" w:rsidRPr="00D166BF" w:rsidRDefault="00D166BF" w:rsidP="00D166BF">
            <w:r w:rsidRPr="00D166BF">
              <w:t xml:space="preserve">Security scan reports linked to release artifact </w:t>
            </w:r>
            <w:r w:rsidRPr="00D166BF">
              <w:rPr>
                <w:vertAlign w:val="superscript"/>
              </w:rPr>
              <w:t>6</w:t>
            </w:r>
          </w:p>
        </w:tc>
      </w:tr>
    </w:tbl>
    <w:p w14:paraId="29367D35" w14:textId="77777777" w:rsidR="00D166BF" w:rsidRPr="00D166BF" w:rsidRDefault="00D166BF" w:rsidP="00D166BF">
      <w:pPr>
        <w:rPr>
          <w:b/>
          <w:bCs/>
        </w:rPr>
      </w:pPr>
      <w:r w:rsidRPr="00D166BF">
        <w:rPr>
          <w:b/>
          <w:bCs/>
        </w:rPr>
        <w:t>IV. Blueprint II: DevOps for AI Compliance (MLOps in FINRA/SEC)</w:t>
      </w:r>
    </w:p>
    <w:p w14:paraId="2A6E21BD" w14:textId="77777777" w:rsidR="00D166BF" w:rsidRPr="00D166BF" w:rsidRDefault="00D166BF" w:rsidP="00D166BF">
      <w:pPr>
        <w:rPr>
          <w:b/>
          <w:bCs/>
        </w:rPr>
      </w:pPr>
      <w:r w:rsidRPr="00D166BF">
        <w:rPr>
          <w:b/>
          <w:bCs/>
        </w:rPr>
        <w:t>4.1. The Technology-Neutral Mandate and Supervisory Imperative (FINRA Rule 3110)</w:t>
      </w:r>
    </w:p>
    <w:p w14:paraId="5E110E13" w14:textId="77777777" w:rsidR="00D166BF" w:rsidRPr="00D166BF" w:rsidRDefault="00D166BF" w:rsidP="00D166BF">
      <w:r w:rsidRPr="00D166BF">
        <w:t xml:space="preserve">The deployment of Artificial Intelligence (AI) and Generative AI (GenAI) systems in financial services is subject to strict regulatory oversight, as both the SEC and FINRA maintain a </w:t>
      </w:r>
      <w:r w:rsidRPr="00D166BF">
        <w:rPr>
          <w:b/>
          <w:bCs/>
        </w:rPr>
        <w:t>technology-neutral stance</w:t>
      </w:r>
      <w:r w:rsidRPr="00D166BF">
        <w:t>.</w:t>
      </w:r>
      <w:r w:rsidRPr="00D166BF">
        <w:rPr>
          <w:vertAlign w:val="superscript"/>
        </w:rPr>
        <w:t>1</w:t>
      </w:r>
      <w:r w:rsidRPr="00D166BF">
        <w:t xml:space="preserve"> This means existing financial regulations, including those governing supervision, recordkeeping, and communication standards, apply fully to AI-generated activities without exception.</w:t>
      </w:r>
      <w:r w:rsidRPr="00D166BF">
        <w:rPr>
          <w:vertAlign w:val="superscript"/>
        </w:rPr>
        <w:t>1</w:t>
      </w:r>
      <w:r w:rsidRPr="00D166BF">
        <w:t xml:space="preserve"> Enforcement has demonstrated substantial financial penalties, ranging up to $90 million, for failures in model risk management and inadequate oversight frameworks.</w:t>
      </w:r>
      <w:r w:rsidRPr="00D166BF">
        <w:rPr>
          <w:vertAlign w:val="superscript"/>
        </w:rPr>
        <w:t>1</w:t>
      </w:r>
    </w:p>
    <w:p w14:paraId="4F55D481" w14:textId="77777777" w:rsidR="00D166BF" w:rsidRPr="00D166BF" w:rsidRDefault="00D166BF" w:rsidP="00D166BF">
      <w:r w:rsidRPr="00D166BF">
        <w:rPr>
          <w:b/>
          <w:bCs/>
        </w:rPr>
        <w:t>FINRA Rule 3110 (Supervision)</w:t>
      </w:r>
      <w:r w:rsidRPr="00D166BF">
        <w:t xml:space="preserve"> is the foundational mandate, requiring firms to establish written supervisory procedures and govern AI systems as rigorously as they would human employees.</w:t>
      </w:r>
      <w:r w:rsidRPr="00D166BF">
        <w:rPr>
          <w:vertAlign w:val="superscript"/>
        </w:rPr>
        <w:t>1</w:t>
      </w:r>
      <w:r w:rsidRPr="00D166BF">
        <w:t xml:space="preserve"> This mandates enterprise-level AI governance programs, including an inventory of AI use cases, risk classification, and comprehensive vendor due diligence for third-party AI solutions.</w:t>
      </w:r>
      <w:r w:rsidRPr="00D166BF">
        <w:rPr>
          <w:vertAlign w:val="superscript"/>
        </w:rPr>
        <w:t>1</w:t>
      </w:r>
      <w:r w:rsidRPr="00D166BF">
        <w:t xml:space="preserve"> The MLOps platform, therefore, must function as the </w:t>
      </w:r>
      <w:r w:rsidRPr="00D166BF">
        <w:rPr>
          <w:b/>
          <w:bCs/>
        </w:rPr>
        <w:t>Supervisory Control System</w:t>
      </w:r>
      <w:r w:rsidRPr="00D166BF">
        <w:t>, providing transparency (explainability) and auditability to qualified personnel necessary for effective Rule 3110 compliance.</w:t>
      </w:r>
      <w:r w:rsidRPr="00D166BF">
        <w:rPr>
          <w:vertAlign w:val="superscript"/>
        </w:rPr>
        <w:t>1</w:t>
      </w:r>
    </w:p>
    <w:p w14:paraId="2AC63E65" w14:textId="77777777" w:rsidR="00D166BF" w:rsidRPr="00D166BF" w:rsidRDefault="00D166BF" w:rsidP="00D166BF">
      <w:r w:rsidRPr="00D166BF">
        <w:rPr>
          <w:b/>
          <w:bCs/>
        </w:rPr>
        <w:t>Technical Tier Components:</w:t>
      </w:r>
      <w:r w:rsidRPr="00D166BF">
        <w:t xml:space="preserve"> The technical implementation for governance requires </w:t>
      </w:r>
      <w:r w:rsidRPr="00D166BF">
        <w:rPr>
          <w:b/>
          <w:bCs/>
        </w:rPr>
        <w:t>Model Registry Systems</w:t>
      </w:r>
      <w:r w:rsidRPr="00D166BF">
        <w:t xml:space="preserve"> that manage the entire AI model lifecycle with approval workflows and version control, integrating directly with development environments for automated compliance tracking.</w:t>
      </w:r>
      <w:r w:rsidRPr="00D166BF">
        <w:rPr>
          <w:vertAlign w:val="superscript"/>
        </w:rPr>
        <w:t>1</w:t>
      </w:r>
    </w:p>
    <w:p w14:paraId="125460E4" w14:textId="77777777" w:rsidR="00D166BF" w:rsidRPr="00D166BF" w:rsidRDefault="00D166BF" w:rsidP="00D166BF">
      <w:pPr>
        <w:rPr>
          <w:b/>
          <w:bCs/>
        </w:rPr>
      </w:pPr>
      <w:r w:rsidRPr="00D166BF">
        <w:rPr>
          <w:b/>
          <w:bCs/>
        </w:rPr>
        <w:t>4.2. MLOps Architecture for Model Risk Management (MRM)</w:t>
      </w:r>
    </w:p>
    <w:p w14:paraId="4A15C725" w14:textId="77777777" w:rsidR="00D166BF" w:rsidRPr="00D166BF" w:rsidRDefault="00D166BF" w:rsidP="00D166BF">
      <w:r w:rsidRPr="00D166BF">
        <w:t>Model Risk Management (MRM) frameworks, such as the Federal Reserve’s SR 11-7 guidance, are crucial for ensuring the transparency and auditability of models used in financial decision-making.</w:t>
      </w:r>
      <w:r w:rsidRPr="00D166BF">
        <w:rPr>
          <w:vertAlign w:val="superscript"/>
        </w:rPr>
        <w:t>13</w:t>
      </w:r>
      <w:r w:rsidRPr="00D166BF">
        <w:t xml:space="preserve"> MLOps systems must implement a disciplined, documented </w:t>
      </w:r>
      <w:r w:rsidRPr="00D166BF">
        <w:lastRenderedPageBreak/>
        <w:t>model development process encompassing the entire model lifecycle, including comprehensive change control and validation protocols.</w:t>
      </w:r>
      <w:r w:rsidRPr="00D166BF">
        <w:rPr>
          <w:vertAlign w:val="superscript"/>
        </w:rPr>
        <w:t>13</w:t>
      </w:r>
    </w:p>
    <w:p w14:paraId="4085B8BF" w14:textId="77777777" w:rsidR="00D166BF" w:rsidRPr="00D166BF" w:rsidRDefault="00D166BF" w:rsidP="00D166BF">
      <w:r w:rsidRPr="00D166BF">
        <w:t xml:space="preserve">The </w:t>
      </w:r>
      <w:r w:rsidRPr="00D166BF">
        <w:rPr>
          <w:b/>
          <w:bCs/>
        </w:rPr>
        <w:t>Model Registry</w:t>
      </w:r>
      <w:r w:rsidRPr="00D166BF">
        <w:t xml:space="preserve"> is central to this compliance architecture, serving as the definitive audit repository for all AI artifacts. It must capture data lineage, model versions, testing results, and critical supervisory sign-offs.</w:t>
      </w:r>
      <w:r w:rsidRPr="00D166BF">
        <w:rPr>
          <w:vertAlign w:val="superscript"/>
        </w:rPr>
        <w:t>1</w:t>
      </w:r>
      <w:r w:rsidRPr="00D166BF">
        <w:t xml:space="preserve"> The CI/CD pipelines for machine learning (ML-based CI/CD) must execute rigorous statistical validation, stability analysis, and stress testing protocols to address AI-specific risks like bias and accuracy degradation before deployment.</w:t>
      </w:r>
      <w:r w:rsidRPr="00D166BF">
        <w:rPr>
          <w:vertAlign w:val="superscript"/>
        </w:rPr>
        <w:t>1</w:t>
      </w:r>
      <w:r w:rsidRPr="00D166BF">
        <w:t xml:space="preserve"> The technical requirement is to embed regulatory compliance test suites (validation, bias checks) alongside functional tests in the CI/CD pipeline, ensuring compliance is a hard gate that prevents deployment upon failure.</w:t>
      </w:r>
      <w:r w:rsidRPr="00D166BF">
        <w:rPr>
          <w:vertAlign w:val="superscript"/>
        </w:rPr>
        <w:t>14</w:t>
      </w:r>
      <w:r w:rsidRPr="00D166BF">
        <w:t xml:space="preserve"> This validation process must ensure </w:t>
      </w:r>
      <w:r w:rsidRPr="00D166BF">
        <w:rPr>
          <w:b/>
          <w:bCs/>
        </w:rPr>
        <w:t>100% of AI models</w:t>
      </w:r>
      <w:r w:rsidRPr="00D166BF">
        <w:t xml:space="preserve"> are subject to comprehensive validation with documented testing results.</w:t>
      </w:r>
      <w:r w:rsidRPr="00D166BF">
        <w:rPr>
          <w:vertAlign w:val="superscript"/>
        </w:rPr>
        <w:t>1</w:t>
      </w:r>
    </w:p>
    <w:p w14:paraId="650D5D36" w14:textId="77777777" w:rsidR="00D166BF" w:rsidRPr="00D166BF" w:rsidRDefault="00D166BF" w:rsidP="00D166BF">
      <w:r w:rsidRPr="00D166BF">
        <w:rPr>
          <w:b/>
          <w:bCs/>
        </w:rPr>
        <w:t>Technical Tier Components:</w:t>
      </w:r>
      <w:r w:rsidRPr="00D166BF">
        <w:t xml:space="preserve"> Deployment of advanced </w:t>
      </w:r>
      <w:r w:rsidRPr="00D166BF">
        <w:rPr>
          <w:b/>
          <w:bCs/>
        </w:rPr>
        <w:t>Explainability Tools</w:t>
      </w:r>
      <w:r w:rsidRPr="00D166BF">
        <w:t xml:space="preserve"> such as </w:t>
      </w:r>
      <w:r w:rsidRPr="00D166BF">
        <w:rPr>
          <w:b/>
          <w:bCs/>
        </w:rPr>
        <w:t>SHAP</w:t>
      </w:r>
      <w:r w:rsidRPr="00D166BF">
        <w:t xml:space="preserve"> and </w:t>
      </w:r>
      <w:r w:rsidRPr="00D166BF">
        <w:rPr>
          <w:b/>
          <w:bCs/>
        </w:rPr>
        <w:t>LIME</w:t>
      </w:r>
      <w:r w:rsidRPr="00D166BF">
        <w:t xml:space="preserve"> implementations is essential to satisfy regulatory demands for transparency, providing real-time feature attribution insights into AI decision factors.</w:t>
      </w:r>
      <w:r w:rsidRPr="00D166BF">
        <w:rPr>
          <w:vertAlign w:val="superscript"/>
        </w:rPr>
        <w:t>1</w:t>
      </w:r>
    </w:p>
    <w:p w14:paraId="4CBDDB0D" w14:textId="77777777" w:rsidR="00D166BF" w:rsidRPr="00D166BF" w:rsidRDefault="00D166BF" w:rsidP="00D166BF">
      <w:pPr>
        <w:rPr>
          <w:b/>
          <w:bCs/>
        </w:rPr>
      </w:pPr>
      <w:r w:rsidRPr="00D166BF">
        <w:rPr>
          <w:b/>
          <w:bCs/>
        </w:rPr>
        <w:t>4.3. The Observability Layer and Continuous Monitoring</w:t>
      </w:r>
    </w:p>
    <w:p w14:paraId="2A8953EC" w14:textId="77777777" w:rsidR="00D166BF" w:rsidRPr="00D166BF" w:rsidRDefault="00D166BF" w:rsidP="00D166BF">
      <w:r w:rsidRPr="00D166BF">
        <w:t>Continuous monitoring is mandatory for AI systems to detect subtle failures that traditional IT monitoring misses, specifically tracking model drift (when model performance degrades due to shifts in real-world data distribution), accuracy degradation, and the emergence of bias.</w:t>
      </w:r>
      <w:r w:rsidRPr="00D166BF">
        <w:rPr>
          <w:vertAlign w:val="superscript"/>
        </w:rPr>
        <w:t>1</w:t>
      </w:r>
      <w:r w:rsidRPr="00D166BF">
        <w:t xml:space="preserve"> Severe penalties, such as a $12.5 million fine, have been levied for failures to detect significant bias drift over time.</w:t>
      </w:r>
      <w:r w:rsidRPr="00D166BF">
        <w:rPr>
          <w:vertAlign w:val="superscript"/>
        </w:rPr>
        <w:t>1</w:t>
      </w:r>
    </w:p>
    <w:p w14:paraId="7165422C" w14:textId="77777777" w:rsidR="00D166BF" w:rsidRPr="00D166BF" w:rsidRDefault="00D166BF" w:rsidP="00D166BF">
      <w:r w:rsidRPr="00D166BF">
        <w:t xml:space="preserve">The </w:t>
      </w:r>
      <w:r w:rsidRPr="00D166BF">
        <w:rPr>
          <w:b/>
          <w:bCs/>
        </w:rPr>
        <w:t>Observability Layer (often referred to as the Sentinel function)</w:t>
      </w:r>
      <w:r w:rsidRPr="00D166BF">
        <w:t xml:space="preserve"> must be architected to transform operational metrics (CPU, latency) into actionable </w:t>
      </w:r>
      <w:r w:rsidRPr="00D166BF">
        <w:rPr>
          <w:b/>
          <w:bCs/>
        </w:rPr>
        <w:t>Compliance Metrics</w:t>
      </w:r>
      <w:r w:rsidRPr="00D166BF">
        <w:t xml:space="preserve"> (drift magnitude, bias score, accuracy proxies).</w:t>
      </w:r>
      <w:r w:rsidRPr="00D166BF">
        <w:rPr>
          <w:vertAlign w:val="superscript"/>
        </w:rPr>
        <w:t>15</w:t>
      </w:r>
      <w:r w:rsidRPr="00D166BF">
        <w:t xml:space="preserve"> This layer is the continuous, proactive </w:t>
      </w:r>
      <w:r w:rsidRPr="00D166BF">
        <w:rPr>
          <w:b/>
          <w:bCs/>
        </w:rPr>
        <w:t>Regulatory Anomaly Detection</w:t>
      </w:r>
      <w:r w:rsidRPr="00D166BF">
        <w:t xml:space="preserve"> system. The architecture requires capturing comprehensive data—including every prediction, its feature vector, model version, and latency—and using </w:t>
      </w:r>
      <w:r w:rsidRPr="00D166BF">
        <w:rPr>
          <w:b/>
          <w:bCs/>
        </w:rPr>
        <w:t>Statistical Process Control Systems</w:t>
      </w:r>
      <w:r w:rsidRPr="00D166BF">
        <w:t xml:space="preserve"> to provide real-time dashboards and automated alerts with strict resolution </w:t>
      </w:r>
      <w:r w:rsidRPr="00D166BF">
        <w:rPr>
          <w:b/>
          <w:bCs/>
        </w:rPr>
        <w:t>SLAs (e.g., 24 hours)</w:t>
      </w:r>
      <w:r w:rsidRPr="00D166BF">
        <w:t xml:space="preserve"> for executive visibility into AI system risk.</w:t>
      </w:r>
      <w:r w:rsidRPr="00D166BF">
        <w:rPr>
          <w:vertAlign w:val="superscript"/>
        </w:rPr>
        <w:t>1</w:t>
      </w:r>
      <w:r w:rsidRPr="00D166BF">
        <w:t xml:space="preserve"> This specialized monitoring ensures ongoing adherence to FINRA 3110's requirement for continuous supervision and aims for a </w:t>
      </w:r>
      <w:r w:rsidRPr="00D166BF">
        <w:rPr>
          <w:b/>
          <w:bCs/>
        </w:rPr>
        <w:t>99% detection rate</w:t>
      </w:r>
      <w:r w:rsidRPr="00D166BF">
        <w:t xml:space="preserve"> for model drift.</w:t>
      </w:r>
      <w:r w:rsidRPr="00D166BF">
        <w:rPr>
          <w:vertAlign w:val="superscript"/>
        </w:rPr>
        <w:t>1</w:t>
      </w:r>
    </w:p>
    <w:p w14:paraId="54A89016" w14:textId="77777777" w:rsidR="00D166BF" w:rsidRPr="00D166BF" w:rsidRDefault="00D166BF" w:rsidP="00D166BF">
      <w:pPr>
        <w:rPr>
          <w:b/>
          <w:bCs/>
        </w:rPr>
      </w:pPr>
      <w:r w:rsidRPr="00D166BF">
        <w:rPr>
          <w:b/>
          <w:bCs/>
        </w:rPr>
        <w:t>4.4. Traceability and Immutability (SEC 17a-4)</w:t>
      </w:r>
    </w:p>
    <w:p w14:paraId="61AC90CE" w14:textId="77777777" w:rsidR="00D166BF" w:rsidRPr="00D166BF" w:rsidRDefault="00D166BF" w:rsidP="00D166BF">
      <w:r w:rsidRPr="00D166BF">
        <w:rPr>
          <w:b/>
          <w:bCs/>
        </w:rPr>
        <w:t>SEC Rule 17a-4 (Electronic Records)</w:t>
      </w:r>
      <w:r w:rsidRPr="00D166BF">
        <w:t xml:space="preserve"> mandates that records related to financial systems, including AI models and their decision processes, must be preserved in a manner that ensures accuracy, integrity, and non-alterability.</w:t>
      </w:r>
      <w:r w:rsidRPr="00D166BF">
        <w:rPr>
          <w:vertAlign w:val="superscript"/>
        </w:rPr>
        <w:t>1</w:t>
      </w:r>
      <w:r w:rsidRPr="00D166BF">
        <w:t xml:space="preserve"> Historically, compliance relied on </w:t>
      </w:r>
      <w:r w:rsidRPr="00D166BF">
        <w:rPr>
          <w:b/>
          <w:bCs/>
        </w:rPr>
        <w:t>WORM (Write Once, Read Many)</w:t>
      </w:r>
      <w:r w:rsidRPr="00D166BF">
        <w:t xml:space="preserve"> storage.</w:t>
      </w:r>
      <w:r w:rsidRPr="00D166BF">
        <w:rPr>
          <w:vertAlign w:val="superscript"/>
        </w:rPr>
        <w:t>17</w:t>
      </w:r>
      <w:r w:rsidRPr="00D166BF">
        <w:t xml:space="preserve"> However, the 2023 SEC amendments introduced the </w:t>
      </w:r>
      <w:r w:rsidRPr="00D166BF">
        <w:rPr>
          <w:b/>
          <w:bCs/>
        </w:rPr>
        <w:lastRenderedPageBreak/>
        <w:t>Audit Trail Alternative</w:t>
      </w:r>
      <w:r w:rsidRPr="00D166BF">
        <w:t>, which allows for data modification but requires a complete, timestamped, and immutable audit trail of all modifications and deletions, enabling the reconstruction of the original record.</w:t>
      </w:r>
      <w:r w:rsidRPr="00D166BF">
        <w:rPr>
          <w:vertAlign w:val="superscript"/>
        </w:rPr>
        <w:t>18</w:t>
      </w:r>
    </w:p>
    <w:p w14:paraId="343C0F7F" w14:textId="77777777" w:rsidR="00D166BF" w:rsidRPr="00D166BF" w:rsidRDefault="00D166BF" w:rsidP="00D166BF">
      <w:r w:rsidRPr="00D166BF">
        <w:t xml:space="preserve">MLOps logging systems must implement this requirement by utilizing </w:t>
      </w:r>
      <w:r w:rsidRPr="00D166BF">
        <w:rPr>
          <w:b/>
          <w:bCs/>
        </w:rPr>
        <w:t>WORM-compliant storage platforms</w:t>
      </w:r>
      <w:r w:rsidRPr="00D166BF">
        <w:t xml:space="preserve"> or the </w:t>
      </w:r>
      <w:r w:rsidRPr="00D166BF">
        <w:rPr>
          <w:b/>
          <w:bCs/>
        </w:rPr>
        <w:t>Audit Trail Alternative</w:t>
      </w:r>
      <w:r w:rsidRPr="00D166BF">
        <w:t xml:space="preserve"> (which uses versioning and robust audit logs </w:t>
      </w:r>
      <w:r w:rsidRPr="00D166BF">
        <w:rPr>
          <w:vertAlign w:val="superscript"/>
        </w:rPr>
        <w:t>18</w:t>
      </w:r>
      <w:r w:rsidRPr="00D166BF">
        <w:t xml:space="preserve">), capturing model inputs, outputs, and decision logic, utilizing </w:t>
      </w:r>
      <w:r w:rsidRPr="00D166BF">
        <w:rPr>
          <w:b/>
          <w:bCs/>
        </w:rPr>
        <w:t>cryptographic signing</w:t>
      </w:r>
      <w:r w:rsidRPr="00D166BF">
        <w:t xml:space="preserve"> and </w:t>
      </w:r>
      <w:r w:rsidRPr="00D166BF">
        <w:rPr>
          <w:b/>
          <w:bCs/>
        </w:rPr>
        <w:t>time-stamping</w:t>
      </w:r>
      <w:r w:rsidRPr="00D166BF">
        <w:t xml:space="preserve"> for all AI artifacts (minimum 6-year retention).</w:t>
      </w:r>
      <w:r w:rsidRPr="00D166BF">
        <w:rPr>
          <w:vertAlign w:val="superscript"/>
        </w:rPr>
        <w:t>1</w:t>
      </w:r>
      <w:r w:rsidRPr="00D166BF">
        <w:t xml:space="preserve"> The compliance metric mandates a </w:t>
      </w:r>
      <w:r w:rsidRPr="00D166BF">
        <w:rPr>
          <w:b/>
          <w:bCs/>
        </w:rPr>
        <w:t>100% audit trail capture rate</w:t>
      </w:r>
      <w:r w:rsidRPr="00D166BF">
        <w:t xml:space="preserve"> for AI decisions affecting customer communications.</w:t>
      </w:r>
      <w:r w:rsidRPr="00D166BF">
        <w:rPr>
          <w:vertAlign w:val="superscript"/>
        </w:rPr>
        <w:t>1</w:t>
      </w:r>
    </w:p>
    <w:p w14:paraId="7F2B3ABF" w14:textId="77777777" w:rsidR="00D166BF" w:rsidRPr="00D166BF" w:rsidRDefault="00D166BF" w:rsidP="00D166BF">
      <w:pPr>
        <w:rPr>
          <w:b/>
          <w:bCs/>
        </w:rPr>
      </w:pPr>
      <w:r w:rsidRPr="00D166BF">
        <w:rPr>
          <w:b/>
          <w:bCs/>
        </w:rPr>
        <w:t>4.5. Human-in-the-Loop (HITL) Controls</w:t>
      </w:r>
    </w:p>
    <w:p w14:paraId="3879B9C2" w14:textId="77777777" w:rsidR="00D166BF" w:rsidRPr="00D166BF" w:rsidRDefault="00D166BF" w:rsidP="00D166BF">
      <w:r w:rsidRPr="00D166BF">
        <w:t xml:space="preserve">AI-generated customer communications are subject to the same rigorous standards as traditional materials under </w:t>
      </w:r>
      <w:r w:rsidRPr="00D166BF">
        <w:rPr>
          <w:b/>
          <w:bCs/>
        </w:rPr>
        <w:t>FINRA Rule 2210 (Communications with Public)</w:t>
      </w:r>
      <w:r w:rsidRPr="00D166BF">
        <w:t>.</w:t>
      </w:r>
      <w:r w:rsidRPr="00D166BF">
        <w:rPr>
          <w:vertAlign w:val="superscript"/>
        </w:rPr>
        <w:t>1</w:t>
      </w:r>
      <w:r w:rsidRPr="00D166BF">
        <w:t xml:space="preserve"> Firms bear full responsibility for the content, which must be fair, balanced, and not misleading.</w:t>
      </w:r>
      <w:r w:rsidRPr="00D166BF">
        <w:rPr>
          <w:vertAlign w:val="superscript"/>
        </w:rPr>
        <w:t>1</w:t>
      </w:r>
      <w:r w:rsidRPr="00D166BF">
        <w:t xml:space="preserve"> Enforcement examples underscore the risk, with penalties levied for failures where AI chatbots provided non-compliant advice or used exaggerated claims.</w:t>
      </w:r>
      <w:r w:rsidRPr="00D166BF">
        <w:rPr>
          <w:vertAlign w:val="superscript"/>
        </w:rPr>
        <w:t>1</w:t>
      </w:r>
    </w:p>
    <w:p w14:paraId="30D8116F" w14:textId="77777777" w:rsidR="00D166BF" w:rsidRPr="00D166BF" w:rsidRDefault="00D166BF" w:rsidP="00D166BF">
      <w:r w:rsidRPr="00D166BF">
        <w:rPr>
          <w:b/>
          <w:bCs/>
        </w:rPr>
        <w:t>Human-in-the-Loop (HITL)</w:t>
      </w:r>
      <w:r w:rsidRPr="00D166BF">
        <w:t xml:space="preserve"> controls are mandatory supervisory checks designed to prevent these compliance failures.</w:t>
      </w:r>
      <w:r w:rsidRPr="00D166BF">
        <w:rPr>
          <w:vertAlign w:val="superscript"/>
        </w:rPr>
        <w:t>1</w:t>
      </w:r>
      <w:r w:rsidRPr="00D166BF">
        <w:t xml:space="preserve"> The technical tier requires deploying </w:t>
      </w:r>
      <w:r w:rsidRPr="00D166BF">
        <w:rPr>
          <w:b/>
          <w:bCs/>
        </w:rPr>
        <w:t>Approval Workflow Platforms</w:t>
      </w:r>
      <w:r w:rsidRPr="00D166BF">
        <w:t xml:space="preserve"> integrated with automated systems.</w:t>
      </w:r>
      <w:r w:rsidRPr="00D166BF">
        <w:rPr>
          <w:vertAlign w:val="superscript"/>
        </w:rPr>
        <w:t>1</w:t>
      </w:r>
      <w:r w:rsidRPr="00D166BF">
        <w:t xml:space="preserve"> These </w:t>
      </w:r>
      <w:r w:rsidRPr="00D166BF">
        <w:rPr>
          <w:b/>
          <w:bCs/>
        </w:rPr>
        <w:t>Automated Content Analysis Systems</w:t>
      </w:r>
      <w:r w:rsidRPr="00D166BF">
        <w:t xml:space="preserve"> scan AI-generated communications for compliance violations and prohibited language patterns, aiming for a </w:t>
      </w:r>
      <w:r w:rsidRPr="00D166BF">
        <w:rPr>
          <w:b/>
          <w:bCs/>
        </w:rPr>
        <w:t>99.8% automated detection rate</w:t>
      </w:r>
      <w:r w:rsidRPr="00D166BF">
        <w:t>.</w:t>
      </w:r>
      <w:r w:rsidRPr="00D166BF">
        <w:rPr>
          <w:vertAlign w:val="superscript"/>
        </w:rPr>
        <w:t>1</w:t>
      </w:r>
      <w:r w:rsidRPr="00D166BF">
        <w:t xml:space="preserve"> The system must require human authorization before AI-generated content reaches customers, providing an immutable audit trail of the supervisory act.</w:t>
      </w:r>
      <w:r w:rsidRPr="00D166BF">
        <w:rPr>
          <w:vertAlign w:val="superscript"/>
        </w:rPr>
        <w:t>1</w:t>
      </w:r>
    </w:p>
    <w:p w14:paraId="6C218D83" w14:textId="77777777" w:rsidR="00D166BF" w:rsidRPr="00D166BF" w:rsidRDefault="00D166BF" w:rsidP="00D166BF">
      <w:r w:rsidRPr="00D166BF">
        <w:t>Table Title: MLOps Architecture for SEC/FINRA AI Compliance (Metrics and Tools)</w:t>
      </w:r>
    </w:p>
    <w:tbl>
      <w:tblPr>
        <w:tblW w:w="0" w:type="auto"/>
        <w:tblCellSpacing w:w="15" w:type="dxa"/>
        <w:tblCellMar>
          <w:left w:w="0" w:type="dxa"/>
          <w:right w:w="0" w:type="dxa"/>
        </w:tblCellMar>
        <w:tblLook w:val="04A0" w:firstRow="1" w:lastRow="0" w:firstColumn="1" w:lastColumn="0" w:noHBand="0" w:noVBand="1"/>
      </w:tblPr>
      <w:tblGrid>
        <w:gridCol w:w="2418"/>
        <w:gridCol w:w="2684"/>
        <w:gridCol w:w="2476"/>
        <w:gridCol w:w="1766"/>
      </w:tblGrid>
      <w:tr w:rsidR="00D166BF" w:rsidRPr="00D166BF" w14:paraId="7D3248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ED1A6" w14:textId="77777777" w:rsidR="00D166BF" w:rsidRPr="00D166BF" w:rsidRDefault="00D166BF" w:rsidP="00D166BF">
            <w:r w:rsidRPr="00D166BF">
              <w:rPr>
                <w:b/>
                <w:bCs/>
              </w:rPr>
              <w:t>Regulatory Mandate/Risk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DBF46" w14:textId="77777777" w:rsidR="00D166BF" w:rsidRPr="00D166BF" w:rsidRDefault="00D166BF" w:rsidP="00D166BF">
            <w:r w:rsidRPr="00D166BF">
              <w:rPr>
                <w:b/>
                <w:bCs/>
              </w:rPr>
              <w:t>MLOps Technical Solution (Tools/Artifacts)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F9E78" w14:textId="77777777" w:rsidR="00D166BF" w:rsidRPr="00D166BF" w:rsidRDefault="00D166BF" w:rsidP="00D166BF">
            <w:r w:rsidRPr="00D166BF">
              <w:rPr>
                <w:b/>
                <w:bCs/>
              </w:rPr>
              <w:t>Compliance Metric/Goal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F4AB7" w14:textId="77777777" w:rsidR="00D166BF" w:rsidRPr="00D166BF" w:rsidRDefault="00D166BF" w:rsidP="00D166BF">
            <w:r w:rsidRPr="00D166BF">
              <w:rPr>
                <w:b/>
                <w:bCs/>
              </w:rPr>
              <w:t>Key Regulatory Citation</w:t>
            </w:r>
          </w:p>
        </w:tc>
      </w:tr>
      <w:tr w:rsidR="00D166BF" w:rsidRPr="00D166BF" w14:paraId="48DC3B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88BE0" w14:textId="77777777" w:rsidR="00D166BF" w:rsidRPr="00D166BF" w:rsidRDefault="00D166BF" w:rsidP="00D166BF">
            <w:r w:rsidRPr="00D166BF">
              <w:t>Supervision &amp; Governance (3110)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AC5F4" w14:textId="77777777" w:rsidR="00D166BF" w:rsidRPr="00D166BF" w:rsidRDefault="00D166BF" w:rsidP="00D166BF">
            <w:r w:rsidRPr="00D166BF">
              <w:rPr>
                <w:b/>
                <w:bCs/>
              </w:rPr>
              <w:t>Model Registry Systems</w:t>
            </w:r>
            <w:r w:rsidRPr="00D166BF">
              <w:t xml:space="preserve"> (Version Control, Sign-offs)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8D03E" w14:textId="77777777" w:rsidR="00D166BF" w:rsidRPr="00D166BF" w:rsidRDefault="00D166BF" w:rsidP="00D166BF">
            <w:r w:rsidRPr="00D166BF">
              <w:rPr>
                <w:b/>
                <w:bCs/>
              </w:rPr>
              <w:t>100%</w:t>
            </w:r>
            <w:r w:rsidRPr="00D166BF">
              <w:t xml:space="preserve"> AI use case inventory with controls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9D9FC" w14:textId="77777777" w:rsidR="00D166BF" w:rsidRPr="00D166BF" w:rsidRDefault="00D166BF" w:rsidP="00D166BF">
            <w:r w:rsidRPr="00D166BF">
              <w:t>FINRA Rule 3110</w:t>
            </w:r>
          </w:p>
        </w:tc>
      </w:tr>
      <w:tr w:rsidR="00D166BF" w:rsidRPr="00D166BF" w14:paraId="13553F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4F04E" w14:textId="77777777" w:rsidR="00D166BF" w:rsidRPr="00D166BF" w:rsidRDefault="00D166BF" w:rsidP="00D166BF">
            <w:r w:rsidRPr="00D166BF">
              <w:lastRenderedPageBreak/>
              <w:t>Recordkeeping (Immutability)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3ABA4" w14:textId="77777777" w:rsidR="00D166BF" w:rsidRPr="00D166BF" w:rsidRDefault="00D166BF" w:rsidP="00D166BF">
            <w:r w:rsidRPr="00D166BF">
              <w:rPr>
                <w:b/>
                <w:bCs/>
              </w:rPr>
              <w:t>WORM Storage</w:t>
            </w:r>
            <w:r w:rsidRPr="00D166BF">
              <w:t xml:space="preserve"> or </w:t>
            </w:r>
            <w:r w:rsidRPr="00D166BF">
              <w:rPr>
                <w:b/>
                <w:bCs/>
              </w:rPr>
              <w:t>Audit Trail Alternative</w:t>
            </w:r>
            <w:r w:rsidRPr="00D166BF">
              <w:t xml:space="preserve"> </w:t>
            </w:r>
            <w:r w:rsidRPr="00D166BF">
              <w:rPr>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C7B1B" w14:textId="77777777" w:rsidR="00D166BF" w:rsidRPr="00D166BF" w:rsidRDefault="00D166BF" w:rsidP="00D166BF">
            <w:r w:rsidRPr="00D166BF">
              <w:rPr>
                <w:b/>
                <w:bCs/>
              </w:rPr>
              <w:t>100%</w:t>
            </w:r>
            <w:r w:rsidRPr="00D166BF">
              <w:t xml:space="preserve"> audit trail capture rate (min. 6-year retention)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BB46B" w14:textId="77777777" w:rsidR="00D166BF" w:rsidRPr="00D166BF" w:rsidRDefault="00D166BF" w:rsidP="00D166BF">
            <w:r w:rsidRPr="00D166BF">
              <w:t>SEC Rule 17a-4</w:t>
            </w:r>
          </w:p>
        </w:tc>
      </w:tr>
      <w:tr w:rsidR="00D166BF" w:rsidRPr="00D166BF" w14:paraId="60FDF0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712B9" w14:textId="77777777" w:rsidR="00D166BF" w:rsidRPr="00D166BF" w:rsidRDefault="00D166BF" w:rsidP="00D166BF">
            <w:r w:rsidRPr="00D166BF">
              <w:t>Bias and Drift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612B5" w14:textId="77777777" w:rsidR="00D166BF" w:rsidRPr="00D166BF" w:rsidRDefault="00D166BF" w:rsidP="00D166BF">
            <w:r w:rsidRPr="00D166BF">
              <w:rPr>
                <w:b/>
                <w:bCs/>
              </w:rPr>
              <w:t>Statistical Process Control Systems</w:t>
            </w:r>
            <w:r w:rsidRPr="00D166BF">
              <w:t xml:space="preserve"> (Real-time monitoring)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878E0" w14:textId="77777777" w:rsidR="00D166BF" w:rsidRPr="00D166BF" w:rsidRDefault="00D166BF" w:rsidP="00D166BF">
            <w:r w:rsidRPr="00D166BF">
              <w:rPr>
                <w:b/>
                <w:bCs/>
              </w:rPr>
              <w:t>24-hour</w:t>
            </w:r>
            <w:r w:rsidRPr="00D166BF">
              <w:t xml:space="preserve"> alert resolution SLA; </w:t>
            </w:r>
            <w:r w:rsidRPr="00D166BF">
              <w:rPr>
                <w:b/>
                <w:bCs/>
              </w:rPr>
              <w:t>99%</w:t>
            </w:r>
            <w:r w:rsidRPr="00D166BF">
              <w:t xml:space="preserve"> drift detection rate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22262" w14:textId="77777777" w:rsidR="00D166BF" w:rsidRPr="00D166BF" w:rsidRDefault="00D166BF" w:rsidP="00D166BF">
            <w:r w:rsidRPr="00D166BF">
              <w:t>FINRA Rule 2010</w:t>
            </w:r>
          </w:p>
        </w:tc>
      </w:tr>
      <w:tr w:rsidR="00D166BF" w:rsidRPr="00D166BF" w14:paraId="02C028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DC094" w14:textId="77777777" w:rsidR="00D166BF" w:rsidRPr="00D166BF" w:rsidRDefault="00D166BF" w:rsidP="00D166BF">
            <w:r w:rsidRPr="00D166BF">
              <w:t>Explainability (Black Box)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19806" w14:textId="77777777" w:rsidR="00D166BF" w:rsidRPr="00D166BF" w:rsidRDefault="00D166BF" w:rsidP="00D166BF">
            <w:r w:rsidRPr="00D166BF">
              <w:rPr>
                <w:b/>
                <w:bCs/>
              </w:rPr>
              <w:t>SHAP</w:t>
            </w:r>
            <w:r w:rsidRPr="00D166BF">
              <w:t xml:space="preserve"> and </w:t>
            </w:r>
            <w:r w:rsidRPr="00D166BF">
              <w:rPr>
                <w:b/>
                <w:bCs/>
              </w:rPr>
              <w:t>LIME</w:t>
            </w:r>
            <w:r w:rsidRPr="00D166BF">
              <w:t xml:space="preserve"> Implementations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2091B" w14:textId="77777777" w:rsidR="00D166BF" w:rsidRPr="00D166BF" w:rsidRDefault="00D166BF" w:rsidP="00D166BF">
            <w:r w:rsidRPr="00D166BF">
              <w:rPr>
                <w:b/>
                <w:bCs/>
              </w:rPr>
              <w:t>100%</w:t>
            </w:r>
            <w:r w:rsidRPr="00D166BF">
              <w:t xml:space="preserve"> models subject to comprehensive validation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40C13" w14:textId="77777777" w:rsidR="00D166BF" w:rsidRPr="00D166BF" w:rsidRDefault="00D166BF" w:rsidP="00D166BF">
            <w:r w:rsidRPr="00D166BF">
              <w:t>OCC/Fed SR 11-7 (MRM)</w:t>
            </w:r>
          </w:p>
        </w:tc>
      </w:tr>
      <w:tr w:rsidR="00D166BF" w:rsidRPr="00D166BF" w14:paraId="18348F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7D3D2" w14:textId="77777777" w:rsidR="00D166BF" w:rsidRPr="00D166BF" w:rsidRDefault="00D166BF" w:rsidP="00D166BF">
            <w:r w:rsidRPr="00D166BF">
              <w:t>Customer Communications (HITL)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5EE1D" w14:textId="77777777" w:rsidR="00D166BF" w:rsidRPr="00D166BF" w:rsidRDefault="00D166BF" w:rsidP="00D166BF">
            <w:r w:rsidRPr="00D166BF">
              <w:rPr>
                <w:b/>
                <w:bCs/>
              </w:rPr>
              <w:t>Automated Content Analysis Systems</w:t>
            </w:r>
            <w:r w:rsidRPr="00D166BF">
              <w:t xml:space="preserve">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CC2AC" w14:textId="77777777" w:rsidR="00D166BF" w:rsidRPr="00D166BF" w:rsidRDefault="00D166BF" w:rsidP="00D166BF">
            <w:r w:rsidRPr="00D166BF">
              <w:rPr>
                <w:b/>
                <w:bCs/>
              </w:rPr>
              <w:t>99.8%</w:t>
            </w:r>
            <w:r w:rsidRPr="00D166BF">
              <w:t xml:space="preserve"> automated detection rate for prohibited language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52F4E" w14:textId="77777777" w:rsidR="00D166BF" w:rsidRPr="00D166BF" w:rsidRDefault="00D166BF" w:rsidP="00D166BF">
            <w:r w:rsidRPr="00D166BF">
              <w:t>FINRA Rule 2210</w:t>
            </w:r>
          </w:p>
        </w:tc>
      </w:tr>
    </w:tbl>
    <w:p w14:paraId="3379304D" w14:textId="77777777" w:rsidR="00D166BF" w:rsidRPr="00D166BF" w:rsidRDefault="00D166BF" w:rsidP="00D166BF">
      <w:pPr>
        <w:rPr>
          <w:b/>
          <w:bCs/>
        </w:rPr>
      </w:pPr>
      <w:r w:rsidRPr="00D166BF">
        <w:rPr>
          <w:b/>
          <w:bCs/>
        </w:rPr>
        <w:t>4.6. Case Studies: Lessons Learned from Regulatory Enforcement</w:t>
      </w:r>
    </w:p>
    <w:p w14:paraId="4B3EB9E3" w14:textId="77777777" w:rsidR="00D166BF" w:rsidRPr="00D166BF" w:rsidRDefault="00D166BF" w:rsidP="00D166BF">
      <w:r w:rsidRPr="00D166BF">
        <w:t>Regulatory enforcement actions provide critical, quantifiable lessons that underscore the necessity of the architectural and governance controls outlined above. These failures highlight the specific risks the Continuous Compliance Fabric is designed to mitigate.</w:t>
      </w:r>
      <w:r w:rsidRPr="00D166BF">
        <w:rPr>
          <w:vertAlign w:val="superscript"/>
        </w:rPr>
        <w:t>1</w:t>
      </w:r>
    </w:p>
    <w:tbl>
      <w:tblPr>
        <w:tblW w:w="0" w:type="auto"/>
        <w:tblCellSpacing w:w="15" w:type="dxa"/>
        <w:tblCellMar>
          <w:left w:w="0" w:type="dxa"/>
          <w:right w:w="0" w:type="dxa"/>
        </w:tblCellMar>
        <w:tblLook w:val="04A0" w:firstRow="1" w:lastRow="0" w:firstColumn="1" w:lastColumn="0" w:noHBand="0" w:noVBand="1"/>
      </w:tblPr>
      <w:tblGrid>
        <w:gridCol w:w="2115"/>
        <w:gridCol w:w="2195"/>
        <w:gridCol w:w="2540"/>
        <w:gridCol w:w="2494"/>
      </w:tblGrid>
      <w:tr w:rsidR="00D166BF" w:rsidRPr="00D166BF" w14:paraId="173C5E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E10FB" w14:textId="77777777" w:rsidR="00D166BF" w:rsidRPr="00D166BF" w:rsidRDefault="00D166BF" w:rsidP="00D166BF">
            <w:r w:rsidRPr="00D166BF">
              <w:rPr>
                <w:b/>
                <w:bCs/>
              </w:rPr>
              <w:lastRenderedPageBreak/>
              <w:t>Case Study (Enforcement Example)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E4D04" w14:textId="77777777" w:rsidR="00D166BF" w:rsidRPr="00D166BF" w:rsidRDefault="00D166BF" w:rsidP="00D166BF">
            <w:r w:rsidRPr="00D166BF">
              <w:rPr>
                <w:b/>
                <w:bCs/>
              </w:rPr>
              <w:t>Violation Summary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D7881" w14:textId="77777777" w:rsidR="00D166BF" w:rsidRPr="00D166BF" w:rsidRDefault="00D166BF" w:rsidP="00D166BF">
            <w:r w:rsidRPr="00D166BF">
              <w:rPr>
                <w:b/>
                <w:bCs/>
              </w:rPr>
              <w:t>Penalty/Lesson Learned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4D5D7" w14:textId="77777777" w:rsidR="00D166BF" w:rsidRPr="00D166BF" w:rsidRDefault="00D166BF" w:rsidP="00D166BF">
            <w:r w:rsidRPr="00D166BF">
              <w:rPr>
                <w:b/>
                <w:bCs/>
              </w:rPr>
              <w:t>Prevention by Framework Control</w:t>
            </w:r>
          </w:p>
        </w:tc>
      </w:tr>
      <w:tr w:rsidR="00D166BF" w:rsidRPr="00D166BF" w14:paraId="5802C7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3021F" w14:textId="77777777" w:rsidR="00D166BF" w:rsidRPr="00D166BF" w:rsidRDefault="00D166BF" w:rsidP="00D166BF">
            <w:r w:rsidRPr="00D166BF">
              <w:rPr>
                <w:b/>
                <w:bCs/>
              </w:rPr>
              <w:t>Algorithmic Trading Oversight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50613" w14:textId="77777777" w:rsidR="00D166BF" w:rsidRPr="00D166BF" w:rsidRDefault="00D166BF" w:rsidP="00D166BF">
            <w:r w:rsidRPr="00D166BF">
              <w:t xml:space="preserve">Two Sigma received a </w:t>
            </w:r>
            <w:r w:rsidRPr="00D166BF">
              <w:rPr>
                <w:b/>
                <w:bCs/>
              </w:rPr>
              <w:t>$90 million penalty</w:t>
            </w:r>
            <w:r w:rsidRPr="00D166BF">
              <w:t xml:space="preserve"> for failing to establish adequate </w:t>
            </w:r>
            <w:r w:rsidRPr="00D166BF">
              <w:rPr>
                <w:b/>
                <w:bCs/>
              </w:rPr>
              <w:t>Model Risk Management</w:t>
            </w:r>
            <w:r w:rsidRPr="00D166BF">
              <w:t xml:space="preserve"> (MRM) and supervisory oversight for its algorithmic trading systems.</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6E431" w14:textId="77777777" w:rsidR="00D166BF" w:rsidRPr="00D166BF" w:rsidRDefault="00D166BF" w:rsidP="00D166BF">
            <w:r w:rsidRPr="00D166BF">
              <w:t xml:space="preserve">The failure was not the algorithm itself, but the lack of comprehensive </w:t>
            </w:r>
            <w:r w:rsidRPr="00D166BF">
              <w:rPr>
                <w:b/>
                <w:bCs/>
              </w:rPr>
              <w:t>Technology Governance</w:t>
            </w:r>
            <w:r w:rsidRPr="00D166BF">
              <w:t>.</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CFBC1" w14:textId="77777777" w:rsidR="00D166BF" w:rsidRPr="00D166BF" w:rsidRDefault="00D166BF" w:rsidP="00D166BF">
            <w:r w:rsidRPr="00D166BF">
              <w:rPr>
                <w:b/>
                <w:bCs/>
              </w:rPr>
              <w:t>MLOps Architecture (IV.2):</w:t>
            </w:r>
            <w:r w:rsidRPr="00D166BF">
              <w:t xml:space="preserve"> Mandates comprehensive </w:t>
            </w:r>
            <w:r w:rsidRPr="00D166BF">
              <w:rPr>
                <w:b/>
                <w:bCs/>
              </w:rPr>
              <w:t>Model Registry</w:t>
            </w:r>
            <w:r w:rsidRPr="00D166BF">
              <w:t xml:space="preserve"> and validation protocols (SR 11-7) ensuring </w:t>
            </w:r>
            <w:r w:rsidRPr="00D166BF">
              <w:rPr>
                <w:b/>
                <w:bCs/>
              </w:rPr>
              <w:t>100%</w:t>
            </w:r>
            <w:r w:rsidRPr="00D166BF">
              <w:t xml:space="preserve"> model coverage.</w:t>
            </w:r>
            <w:r w:rsidRPr="00D166BF">
              <w:rPr>
                <w:vertAlign w:val="superscript"/>
              </w:rPr>
              <w:t>13</w:t>
            </w:r>
          </w:p>
        </w:tc>
      </w:tr>
      <w:tr w:rsidR="00D166BF" w:rsidRPr="00D166BF" w14:paraId="3A8EC0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57512" w14:textId="77777777" w:rsidR="00D166BF" w:rsidRPr="00D166BF" w:rsidRDefault="00D166BF" w:rsidP="00D166BF">
            <w:r w:rsidRPr="00D166BF">
              <w:rPr>
                <w:b/>
                <w:bCs/>
              </w:rPr>
              <w:t>Recordkeeping 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91D0A" w14:textId="77777777" w:rsidR="00D166BF" w:rsidRPr="00D166BF" w:rsidRDefault="00D166BF" w:rsidP="00D166BF">
            <w:r w:rsidRPr="00D166BF">
              <w:t xml:space="preserve">Broker-dealers received a </w:t>
            </w:r>
            <w:r w:rsidRPr="00D166BF">
              <w:rPr>
                <w:b/>
                <w:bCs/>
              </w:rPr>
              <w:t>$1.5 million settlement</w:t>
            </w:r>
            <w:r w:rsidRPr="00D166BF">
              <w:t xml:space="preserve"> for electronic recordkeeping systems failing </w:t>
            </w:r>
            <w:r w:rsidRPr="00D166BF">
              <w:rPr>
                <w:b/>
                <w:bCs/>
              </w:rPr>
              <w:t>SEC Rule 17a-4</w:t>
            </w:r>
            <w:r w:rsidRPr="00D166BF">
              <w:t xml:space="preserve"> compliance (inadequate WORM storage or Audit Trail).</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BD8E1" w14:textId="77777777" w:rsidR="00D166BF" w:rsidRPr="00D166BF" w:rsidRDefault="00D166BF" w:rsidP="00D166BF">
            <w:r w:rsidRPr="00D166BF">
              <w:t xml:space="preserve">The lesson is to implement </w:t>
            </w:r>
            <w:r w:rsidRPr="00D166BF">
              <w:rPr>
                <w:b/>
                <w:bCs/>
              </w:rPr>
              <w:t>WORM-compliant storage</w:t>
            </w:r>
            <w:r w:rsidRPr="00D166BF">
              <w:t xml:space="preserve"> or the new </w:t>
            </w:r>
            <w:r w:rsidRPr="00D166BF">
              <w:rPr>
                <w:b/>
                <w:bCs/>
              </w:rPr>
              <w:t>Audit Trail Alternative</w:t>
            </w:r>
            <w:r w:rsidRPr="00D166BF">
              <w:t xml:space="preserve"> from the inception of the AI model lifecycle.</w:t>
            </w:r>
            <w:r w:rsidRPr="00D166BF">
              <w:rPr>
                <w:vertAlign w:val="superscript"/>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C1E2E" w14:textId="77777777" w:rsidR="00D166BF" w:rsidRPr="00D166BF" w:rsidRDefault="00D166BF" w:rsidP="00D166BF">
            <w:r w:rsidRPr="00D166BF">
              <w:rPr>
                <w:b/>
                <w:bCs/>
              </w:rPr>
              <w:t>Traceability and Immutability (IV.4):</w:t>
            </w:r>
            <w:r w:rsidRPr="00D166BF">
              <w:t xml:space="preserve"> Enforces </w:t>
            </w:r>
            <w:r w:rsidRPr="00D166BF">
              <w:rPr>
                <w:b/>
                <w:bCs/>
              </w:rPr>
              <w:t>100% audit trail capture</w:t>
            </w:r>
            <w:r w:rsidRPr="00D166BF">
              <w:t xml:space="preserve"> using </w:t>
            </w:r>
            <w:r w:rsidRPr="00D166BF">
              <w:rPr>
                <w:b/>
                <w:bCs/>
              </w:rPr>
              <w:t>WORM-compliant storage platforms</w:t>
            </w:r>
            <w:r w:rsidRPr="00D166BF">
              <w:t xml:space="preserve"> or the </w:t>
            </w:r>
            <w:r w:rsidRPr="00D166BF">
              <w:rPr>
                <w:b/>
                <w:bCs/>
              </w:rPr>
              <w:t>Audit Trail Alternative</w:t>
            </w:r>
            <w:r w:rsidRPr="00D166BF">
              <w:t>.</w:t>
            </w:r>
            <w:r w:rsidRPr="00D166BF">
              <w:rPr>
                <w:vertAlign w:val="superscript"/>
              </w:rPr>
              <w:t>18</w:t>
            </w:r>
          </w:p>
        </w:tc>
      </w:tr>
      <w:tr w:rsidR="00D166BF" w:rsidRPr="00D166BF" w14:paraId="601C61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A1603" w14:textId="77777777" w:rsidR="00D166BF" w:rsidRPr="00D166BF" w:rsidRDefault="00D166BF" w:rsidP="00D166BF">
            <w:r w:rsidRPr="00D166BF">
              <w:rPr>
                <w:b/>
                <w:bCs/>
              </w:rPr>
              <w:t>AI-Washing Enforcement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B3340" w14:textId="77777777" w:rsidR="00D166BF" w:rsidRPr="00D166BF" w:rsidRDefault="00D166BF" w:rsidP="00D166BF">
            <w:r w:rsidRPr="00D166BF">
              <w:t xml:space="preserve">Delphia (USA) Inc. received a </w:t>
            </w:r>
            <w:r w:rsidRPr="00D166BF">
              <w:rPr>
                <w:b/>
                <w:bCs/>
              </w:rPr>
              <w:t>$225,000 fine</w:t>
            </w:r>
            <w:r w:rsidRPr="00D166BF">
              <w:t xml:space="preserve"> for making false or exaggerated </w:t>
            </w:r>
            <w:r w:rsidRPr="00D166BF">
              <w:lastRenderedPageBreak/>
              <w:t>claims about its AI capabilities (Investment Advisers Act Section 206(2)).</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A0701" w14:textId="77777777" w:rsidR="00D166BF" w:rsidRPr="00D166BF" w:rsidRDefault="00D166BF" w:rsidP="00D166BF">
            <w:r w:rsidRPr="00D166BF">
              <w:lastRenderedPageBreak/>
              <w:t xml:space="preserve">This highlights the severe risk associated with </w:t>
            </w:r>
            <w:r w:rsidRPr="00D166BF">
              <w:rPr>
                <w:b/>
                <w:bCs/>
              </w:rPr>
              <w:t>Misleading AI Content</w:t>
            </w:r>
            <w:r w:rsidRPr="00D166BF">
              <w:t xml:space="preserve"> in </w:t>
            </w:r>
            <w:r w:rsidRPr="00D166BF">
              <w:lastRenderedPageBreak/>
              <w:t>marketing and communications.</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B6271" w14:textId="77777777" w:rsidR="00D166BF" w:rsidRPr="00D166BF" w:rsidRDefault="00D166BF" w:rsidP="00D166BF">
            <w:r w:rsidRPr="00D166BF">
              <w:rPr>
                <w:b/>
                <w:bCs/>
              </w:rPr>
              <w:lastRenderedPageBreak/>
              <w:t>Human-in-the-Loop Controls (IV.5):</w:t>
            </w:r>
            <w:r w:rsidRPr="00D166BF">
              <w:t xml:space="preserve"> Mandates </w:t>
            </w:r>
            <w:r w:rsidRPr="00D166BF">
              <w:rPr>
                <w:b/>
                <w:bCs/>
              </w:rPr>
              <w:t xml:space="preserve">Automated Content Analysis </w:t>
            </w:r>
            <w:r w:rsidRPr="00D166BF">
              <w:rPr>
                <w:b/>
                <w:bCs/>
              </w:rPr>
              <w:lastRenderedPageBreak/>
              <w:t>Systems</w:t>
            </w:r>
            <w:r w:rsidRPr="00D166BF">
              <w:t xml:space="preserve"> and </w:t>
            </w:r>
            <w:r w:rsidRPr="00D166BF">
              <w:rPr>
                <w:b/>
                <w:bCs/>
              </w:rPr>
              <w:t>HITL approval workflows</w:t>
            </w:r>
            <w:r w:rsidRPr="00D166BF">
              <w:t xml:space="preserve"> for all customer-facing communications (FINRA 2210).</w:t>
            </w:r>
            <w:r w:rsidRPr="00D166BF">
              <w:rPr>
                <w:vertAlign w:val="superscript"/>
              </w:rPr>
              <w:t>1</w:t>
            </w:r>
          </w:p>
        </w:tc>
      </w:tr>
      <w:tr w:rsidR="00D166BF" w:rsidRPr="00D166BF" w14:paraId="1E098C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5382F" w14:textId="77777777" w:rsidR="00D166BF" w:rsidRPr="00D166BF" w:rsidRDefault="00D166BF" w:rsidP="00D166BF">
            <w:r w:rsidRPr="00D166BF">
              <w:rPr>
                <w:b/>
                <w:bCs/>
              </w:rPr>
              <w:lastRenderedPageBreak/>
              <w:t>Model Monitoring 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9254F" w14:textId="77777777" w:rsidR="00D166BF" w:rsidRPr="00D166BF" w:rsidRDefault="00D166BF" w:rsidP="00D166BF">
            <w:r w:rsidRPr="00D166BF">
              <w:t xml:space="preserve">A firm received a </w:t>
            </w:r>
            <w:r w:rsidRPr="00D166BF">
              <w:rPr>
                <w:b/>
                <w:bCs/>
              </w:rPr>
              <w:t>$12.5 million fine</w:t>
            </w:r>
            <w:r w:rsidRPr="00D166BF">
              <w:t xml:space="preserve"> for failing to detect significant </w:t>
            </w:r>
            <w:r w:rsidRPr="00D166BF">
              <w:rPr>
                <w:b/>
                <w:bCs/>
              </w:rPr>
              <w:t>bias drift</w:t>
            </w:r>
            <w:r w:rsidRPr="00D166BF">
              <w:t xml:space="preserve"> over an 18-month period in an AI-powered fraud detection system.</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9376A" w14:textId="77777777" w:rsidR="00D166BF" w:rsidRPr="00D166BF" w:rsidRDefault="00D166BF" w:rsidP="00D166BF">
            <w:r w:rsidRPr="00D166BF">
              <w:t xml:space="preserve">The failure was the lack of </w:t>
            </w:r>
            <w:r w:rsidRPr="00D166BF">
              <w:rPr>
                <w:b/>
                <w:bCs/>
              </w:rPr>
              <w:t>Continuous Monitoring</w:t>
            </w:r>
            <w:r w:rsidRPr="00D166BF">
              <w:t xml:space="preserve"> for AI-specific performance degradation metrics.</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FD70A" w14:textId="77777777" w:rsidR="00D166BF" w:rsidRPr="00D166BF" w:rsidRDefault="00D166BF" w:rsidP="00D166BF">
            <w:r w:rsidRPr="00D166BF">
              <w:rPr>
                <w:b/>
                <w:bCs/>
              </w:rPr>
              <w:t>Observability Layer (IV.3):</w:t>
            </w:r>
            <w:r w:rsidRPr="00D166BF">
              <w:t xml:space="preserve"> Mandates </w:t>
            </w:r>
            <w:r w:rsidRPr="00D166BF">
              <w:rPr>
                <w:b/>
                <w:bCs/>
              </w:rPr>
              <w:t>Statistical Process Control Systems</w:t>
            </w:r>
            <w:r w:rsidRPr="00D166BF">
              <w:t xml:space="preserve"> (The Sentinel) with a strict </w:t>
            </w:r>
            <w:r w:rsidRPr="00D166BF">
              <w:rPr>
                <w:b/>
                <w:bCs/>
              </w:rPr>
              <w:t>24-hour alert resolution SLA</w:t>
            </w:r>
            <w:r w:rsidRPr="00D166BF">
              <w:t xml:space="preserve"> to detect and respond to model drift.</w:t>
            </w:r>
            <w:r w:rsidRPr="00D166BF">
              <w:rPr>
                <w:vertAlign w:val="superscript"/>
              </w:rPr>
              <w:t>1</w:t>
            </w:r>
          </w:p>
        </w:tc>
      </w:tr>
    </w:tbl>
    <w:p w14:paraId="6F5DEE3E" w14:textId="77777777" w:rsidR="00D166BF" w:rsidRPr="00D166BF" w:rsidRDefault="00D166BF" w:rsidP="00D166BF">
      <w:pPr>
        <w:rPr>
          <w:b/>
          <w:bCs/>
        </w:rPr>
      </w:pPr>
      <w:r w:rsidRPr="00D166BF">
        <w:rPr>
          <w:b/>
          <w:bCs/>
        </w:rPr>
        <w:t>V. Strategic Synthesis: The Unified Continuous Compliance Fabric and Book Outline</w:t>
      </w:r>
    </w:p>
    <w:p w14:paraId="0189B1E5" w14:textId="77777777" w:rsidR="00D166BF" w:rsidRPr="00D166BF" w:rsidRDefault="00D166BF" w:rsidP="00D166BF">
      <w:pPr>
        <w:rPr>
          <w:b/>
          <w:bCs/>
        </w:rPr>
      </w:pPr>
      <w:r w:rsidRPr="00D166BF">
        <w:rPr>
          <w:b/>
          <w:bCs/>
        </w:rPr>
        <w:t>5.1. Unified Governance Framework: The Three Tiers of AI Lifecycle Management</w:t>
      </w:r>
    </w:p>
    <w:p w14:paraId="1A7A4AED" w14:textId="77777777" w:rsidR="00D166BF" w:rsidRPr="00D166BF" w:rsidRDefault="00D166BF" w:rsidP="00D166BF">
      <w:r w:rsidRPr="00D166BF">
        <w:t xml:space="preserve">Achieving comprehensive AI compliance requires integrating the five critical elements—Testing Rigor, Traceability, Monitoring, Explainability, and Governance—across the entire enterprise through a structured, multi-tiered governance framework </w:t>
      </w:r>
      <w:r w:rsidRPr="00D166BF">
        <w:rPr>
          <w:vertAlign w:val="superscript"/>
        </w:rPr>
        <w:t>1</w:t>
      </w:r>
      <w:r w:rsidRPr="00D166BF">
        <w:t>:</w:t>
      </w:r>
    </w:p>
    <w:p w14:paraId="60992A6F" w14:textId="77777777" w:rsidR="00D166BF" w:rsidRPr="00D166BF" w:rsidRDefault="00D166BF" w:rsidP="00D166BF">
      <w:r w:rsidRPr="00D166BF">
        <w:rPr>
          <w:b/>
          <w:bCs/>
        </w:rPr>
        <w:t>Policy Tier (Executive Level)</w:t>
      </w:r>
      <w:r w:rsidRPr="00D166BF">
        <w:t>: Focuses on setting the strategic vision and accountability, requiring board-level oversight and defining the organization's risk appetite for AI deployments.</w:t>
      </w:r>
      <w:r w:rsidRPr="00D166BF">
        <w:rPr>
          <w:vertAlign w:val="superscript"/>
        </w:rPr>
        <w:t>1</w:t>
      </w:r>
    </w:p>
    <w:p w14:paraId="6EFDBC7A" w14:textId="77777777" w:rsidR="00D166BF" w:rsidRPr="00D166BF" w:rsidRDefault="00D166BF" w:rsidP="00D166BF">
      <w:pPr>
        <w:numPr>
          <w:ilvl w:val="0"/>
          <w:numId w:val="5"/>
        </w:numPr>
      </w:pPr>
      <w:r w:rsidRPr="00D166BF">
        <w:rPr>
          <w:b/>
          <w:bCs/>
        </w:rPr>
        <w:t>Executive Mandates:</w:t>
      </w:r>
      <w:r w:rsidRPr="00D166BF">
        <w:t xml:space="preserve"> Establish a comprehensive AI lifecycle governance charter integrating all five critical elements with board-level oversight.</w:t>
      </w:r>
      <w:r w:rsidRPr="00D166BF">
        <w:rPr>
          <w:vertAlign w:val="superscript"/>
        </w:rPr>
        <w:t>1</w:t>
      </w:r>
    </w:p>
    <w:p w14:paraId="173475E1" w14:textId="77777777" w:rsidR="00D166BF" w:rsidRPr="00D166BF" w:rsidRDefault="00D166BF" w:rsidP="00D166BF">
      <w:pPr>
        <w:numPr>
          <w:ilvl w:val="0"/>
          <w:numId w:val="5"/>
        </w:numPr>
      </w:pPr>
      <w:r w:rsidRPr="00D166BF">
        <w:rPr>
          <w:b/>
          <w:bCs/>
        </w:rPr>
        <w:lastRenderedPageBreak/>
        <w:t>Risk Definition:</w:t>
      </w:r>
      <w:r w:rsidRPr="00D166BF">
        <w:t xml:space="preserve"> Define enterprise risk appetite for AI implementations with specific thresholds triggering enhanced controls.</w:t>
      </w:r>
      <w:r w:rsidRPr="00D166BF">
        <w:rPr>
          <w:vertAlign w:val="superscript"/>
        </w:rPr>
        <w:t>1</w:t>
      </w:r>
    </w:p>
    <w:p w14:paraId="529AFF65" w14:textId="77777777" w:rsidR="00D166BF" w:rsidRPr="00D166BF" w:rsidRDefault="00D166BF" w:rsidP="00D166BF">
      <w:pPr>
        <w:numPr>
          <w:ilvl w:val="0"/>
          <w:numId w:val="5"/>
        </w:numPr>
      </w:pPr>
      <w:r w:rsidRPr="00D166BF">
        <w:rPr>
          <w:b/>
          <w:bCs/>
        </w:rPr>
        <w:t>Accountability &amp; Reporting:</w:t>
      </w:r>
      <w:r w:rsidRPr="00D166BF">
        <w:t xml:space="preserve"> Implement quarterly executive reporting on AI governance effectiveness with metrics-driven performance assessment.</w:t>
      </w:r>
      <w:r w:rsidRPr="00D166BF">
        <w:rPr>
          <w:vertAlign w:val="superscript"/>
        </w:rPr>
        <w:t>1</w:t>
      </w:r>
    </w:p>
    <w:p w14:paraId="1F44AA8C" w14:textId="77777777" w:rsidR="00D166BF" w:rsidRPr="00D166BF" w:rsidRDefault="00D166BF" w:rsidP="00D166BF">
      <w:r w:rsidRPr="00D166BF">
        <w:rPr>
          <w:b/>
          <w:bCs/>
        </w:rPr>
        <w:t>Process Tier (Compliance Officer Level)</w:t>
      </w:r>
      <w:r w:rsidRPr="00D166BF">
        <w:t>: Focuses on developing systematic procedures, documentation, and risk assessment methodologies necessary to execute the policy mandate and ensure audit readiness.</w:t>
      </w:r>
      <w:r w:rsidRPr="00D166BF">
        <w:rPr>
          <w:vertAlign w:val="superscript"/>
        </w:rPr>
        <w:t>1</w:t>
      </w:r>
    </w:p>
    <w:p w14:paraId="284F8312" w14:textId="77777777" w:rsidR="00D166BF" w:rsidRPr="00D166BF" w:rsidRDefault="00D166BF" w:rsidP="00D166BF">
      <w:pPr>
        <w:numPr>
          <w:ilvl w:val="0"/>
          <w:numId w:val="6"/>
        </w:numPr>
      </w:pPr>
      <w:r w:rsidRPr="00D166BF">
        <w:rPr>
          <w:b/>
          <w:bCs/>
        </w:rPr>
        <w:t>Integrated Procedures:</w:t>
      </w:r>
      <w:r w:rsidRPr="00D166BF">
        <w:t xml:space="preserve"> Develop integrated compliance procedures addressing testing, traceability, monitoring, explainability, and governance requirements.</w:t>
      </w:r>
      <w:r w:rsidRPr="00D166BF">
        <w:rPr>
          <w:vertAlign w:val="superscript"/>
        </w:rPr>
        <w:t>1</w:t>
      </w:r>
    </w:p>
    <w:p w14:paraId="0D640496" w14:textId="77777777" w:rsidR="00D166BF" w:rsidRPr="00D166BF" w:rsidRDefault="00D166BF" w:rsidP="00D166BF">
      <w:pPr>
        <w:numPr>
          <w:ilvl w:val="0"/>
          <w:numId w:val="6"/>
        </w:numPr>
      </w:pPr>
      <w:r w:rsidRPr="00D166BF">
        <w:rPr>
          <w:b/>
          <w:bCs/>
        </w:rPr>
        <w:t>Risk Assessment:</w:t>
      </w:r>
      <w:r w:rsidRPr="00D166BF">
        <w:t xml:space="preserve"> Create a systematic AI risk assessment framework with appropriate controls for each identified risk category.</w:t>
      </w:r>
      <w:r w:rsidRPr="00D166BF">
        <w:rPr>
          <w:vertAlign w:val="superscript"/>
        </w:rPr>
        <w:t>1</w:t>
      </w:r>
    </w:p>
    <w:p w14:paraId="5110A710" w14:textId="77777777" w:rsidR="00D166BF" w:rsidRPr="00D166BF" w:rsidRDefault="00D166BF" w:rsidP="00D166BF">
      <w:pPr>
        <w:numPr>
          <w:ilvl w:val="0"/>
          <w:numId w:val="6"/>
        </w:numPr>
      </w:pPr>
      <w:r w:rsidRPr="00D166BF">
        <w:rPr>
          <w:b/>
          <w:bCs/>
        </w:rPr>
        <w:t>Audit Readiness:</w:t>
      </w:r>
      <w:r w:rsidRPr="00D166BF">
        <w:t xml:space="preserve"> Establish comprehensive audit procedures ensuring regulatory examination readiness across all AI implementations.</w:t>
      </w:r>
      <w:r w:rsidRPr="00D166BF">
        <w:rPr>
          <w:vertAlign w:val="superscript"/>
        </w:rPr>
        <w:t>1</w:t>
      </w:r>
    </w:p>
    <w:p w14:paraId="06E5EFFA" w14:textId="77777777" w:rsidR="00D166BF" w:rsidRPr="00D166BF" w:rsidRDefault="00D166BF" w:rsidP="00D166BF">
      <w:r w:rsidRPr="00D166BF">
        <w:rPr>
          <w:b/>
          <w:bCs/>
        </w:rPr>
        <w:t>Technical Tier (QA/Developer Level)</w:t>
      </w:r>
      <w:r w:rsidRPr="00D166BF">
        <w:t>: Focuses on the implementation of automated systems, instrumentation, and continuous validation tools that generate the auditable evidence required by the Policy and Process tiers.</w:t>
      </w:r>
      <w:r w:rsidRPr="00D166BF">
        <w:rPr>
          <w:vertAlign w:val="superscript"/>
        </w:rPr>
        <w:t>1</w:t>
      </w:r>
    </w:p>
    <w:p w14:paraId="3E33F128" w14:textId="77777777" w:rsidR="00D166BF" w:rsidRPr="00D166BF" w:rsidRDefault="00D166BF" w:rsidP="00D166BF">
      <w:pPr>
        <w:numPr>
          <w:ilvl w:val="0"/>
          <w:numId w:val="7"/>
        </w:numPr>
      </w:pPr>
      <w:r w:rsidRPr="00D166BF">
        <w:rPr>
          <w:b/>
          <w:bCs/>
        </w:rPr>
        <w:t>Platform Integration:</w:t>
      </w:r>
      <w:r w:rsidRPr="00D166BF">
        <w:t xml:space="preserve"> Deploy integrated technology platforms providing end-to-end AI lifecycle management with automated compliance validation.</w:t>
      </w:r>
      <w:r w:rsidRPr="00D166BF">
        <w:rPr>
          <w:vertAlign w:val="superscript"/>
        </w:rPr>
        <w:t>1</w:t>
      </w:r>
    </w:p>
    <w:p w14:paraId="69B7733B" w14:textId="77777777" w:rsidR="00D166BF" w:rsidRPr="00D166BF" w:rsidRDefault="00D166BF" w:rsidP="00D166BF">
      <w:pPr>
        <w:numPr>
          <w:ilvl w:val="0"/>
          <w:numId w:val="7"/>
        </w:numPr>
      </w:pPr>
      <w:r w:rsidRPr="00D166BF">
        <w:rPr>
          <w:b/>
          <w:bCs/>
        </w:rPr>
        <w:t>Continuous Monitoring:</w:t>
      </w:r>
      <w:r w:rsidRPr="00D166BF">
        <w:t xml:space="preserve"> Implement continuous monitoring systems with real-time performance tracking and automated alert generation.</w:t>
      </w:r>
      <w:r w:rsidRPr="00D166BF">
        <w:rPr>
          <w:vertAlign w:val="superscript"/>
        </w:rPr>
        <w:t>1</w:t>
      </w:r>
    </w:p>
    <w:p w14:paraId="3DCC8742" w14:textId="77777777" w:rsidR="00D166BF" w:rsidRPr="00D166BF" w:rsidRDefault="00D166BF" w:rsidP="00D166BF">
      <w:pPr>
        <w:numPr>
          <w:ilvl w:val="0"/>
          <w:numId w:val="7"/>
        </w:numPr>
      </w:pPr>
      <w:r w:rsidRPr="00D166BF">
        <w:rPr>
          <w:b/>
          <w:bCs/>
        </w:rPr>
        <w:t>Decision Reconstruction:</w:t>
      </w:r>
      <w:r w:rsidRPr="00D166BF">
        <w:t xml:space="preserve"> Create comprehensive documentation systems enabling regulatory reconstruction of AI decision-making processes.</w:t>
      </w:r>
      <w:r w:rsidRPr="00D166BF">
        <w:rPr>
          <w:vertAlign w:val="superscript"/>
        </w:rPr>
        <w:t>1</w:t>
      </w:r>
    </w:p>
    <w:p w14:paraId="6A6DCD3C" w14:textId="77777777" w:rsidR="00D166BF" w:rsidRPr="00D166BF" w:rsidRDefault="00D166BF" w:rsidP="00D166BF">
      <w:pPr>
        <w:rPr>
          <w:b/>
          <w:bCs/>
        </w:rPr>
      </w:pPr>
      <w:r w:rsidRPr="00D166BF">
        <w:rPr>
          <w:b/>
          <w:bCs/>
        </w:rPr>
        <w:t>5.2. Technical Reference Architecture: Layered Control Plane</w:t>
      </w:r>
    </w:p>
    <w:p w14:paraId="116763F8" w14:textId="77777777" w:rsidR="00D166BF" w:rsidRPr="00D166BF" w:rsidRDefault="00D166BF" w:rsidP="00D166BF">
      <w:r w:rsidRPr="00D166BF">
        <w:t>Achieving continuous compliance requires a unified architecture where governance is woven into the technical fabric of the delivery pipeline. This system operates on a layered control plane:</w:t>
      </w:r>
    </w:p>
    <w:p w14:paraId="4672ED85" w14:textId="77777777" w:rsidR="00D166BF" w:rsidRPr="00D166BF" w:rsidRDefault="00D166BF" w:rsidP="00D166BF">
      <w:pPr>
        <w:numPr>
          <w:ilvl w:val="0"/>
          <w:numId w:val="8"/>
        </w:numPr>
      </w:pPr>
      <w:r w:rsidRPr="00D166BF">
        <w:rPr>
          <w:b/>
          <w:bCs/>
        </w:rPr>
        <w:t>Infrastructure Layer (Blue/Green):</w:t>
      </w:r>
      <w:r w:rsidRPr="00D166BF">
        <w:t xml:space="preserve"> Provides the isolation and rapid recovery mechanism required for risk containment.</w:t>
      </w:r>
      <w:r w:rsidRPr="00D166BF">
        <w:rPr>
          <w:vertAlign w:val="superscript"/>
        </w:rPr>
        <w:t>1</w:t>
      </w:r>
    </w:p>
    <w:p w14:paraId="420EEBA5" w14:textId="77777777" w:rsidR="00D166BF" w:rsidRPr="00D166BF" w:rsidRDefault="00D166BF" w:rsidP="00D166BF">
      <w:pPr>
        <w:numPr>
          <w:ilvl w:val="0"/>
          <w:numId w:val="8"/>
        </w:numPr>
      </w:pPr>
      <w:r w:rsidRPr="00D166BF">
        <w:rPr>
          <w:b/>
          <w:bCs/>
        </w:rPr>
        <w:t>Traffic Control Layer (Canary/Dark Launch):</w:t>
      </w:r>
      <w:r w:rsidRPr="00D166BF">
        <w:t xml:space="preserve"> Executes controlled exposure and measures performance.</w:t>
      </w:r>
      <w:r w:rsidRPr="00D166BF">
        <w:rPr>
          <w:vertAlign w:val="superscript"/>
        </w:rPr>
        <w:t>1</w:t>
      </w:r>
    </w:p>
    <w:p w14:paraId="5172FB19" w14:textId="77777777" w:rsidR="00D166BF" w:rsidRPr="00D166BF" w:rsidRDefault="00D166BF" w:rsidP="00D166BF">
      <w:pPr>
        <w:numPr>
          <w:ilvl w:val="0"/>
          <w:numId w:val="8"/>
        </w:numPr>
      </w:pPr>
      <w:r w:rsidRPr="00D166BF">
        <w:rPr>
          <w:b/>
          <w:bCs/>
        </w:rPr>
        <w:lastRenderedPageBreak/>
        <w:t>Feature State Layer (Feature Flags):</w:t>
      </w:r>
      <w:r w:rsidRPr="00D166BF">
        <w:t xml:space="preserve"> Decouples code deployment from feature release, enabling strategic activation and mitigating state management complexity.</w:t>
      </w:r>
      <w:r w:rsidRPr="00D166BF">
        <w:rPr>
          <w:vertAlign w:val="superscript"/>
        </w:rPr>
        <w:t>1</w:t>
      </w:r>
    </w:p>
    <w:p w14:paraId="4317C5F9" w14:textId="77777777" w:rsidR="00D166BF" w:rsidRPr="00D166BF" w:rsidRDefault="00D166BF" w:rsidP="00D166BF">
      <w:pPr>
        <w:numPr>
          <w:ilvl w:val="0"/>
          <w:numId w:val="8"/>
        </w:numPr>
      </w:pPr>
      <w:r w:rsidRPr="00D166BF">
        <w:rPr>
          <w:b/>
          <w:bCs/>
        </w:rPr>
        <w:t>Observability Layer (The Sentinel):</w:t>
      </w:r>
      <w:r w:rsidRPr="00D166BF">
        <w:t xml:space="preserve"> The prerequisite for all safety, providing objective, real-time metrics (latency, error rates, drift) that feed into the policy engine.</w:t>
      </w:r>
      <w:r w:rsidRPr="00D166BF">
        <w:rPr>
          <w:vertAlign w:val="superscript"/>
        </w:rPr>
        <w:t>1</w:t>
      </w:r>
    </w:p>
    <w:p w14:paraId="0212BDC6" w14:textId="77777777" w:rsidR="00D166BF" w:rsidRPr="00D166BF" w:rsidRDefault="00D166BF" w:rsidP="00D166BF">
      <w:r w:rsidRPr="00D166BF">
        <w:t xml:space="preserve">The universal control layer linking all these components is </w:t>
      </w:r>
      <w:r w:rsidRPr="00D166BF">
        <w:rPr>
          <w:b/>
          <w:bCs/>
        </w:rPr>
        <w:t>Policy-as-Code (PaC)</w:t>
      </w:r>
      <w:r w:rsidRPr="00D166BF">
        <w:t>. PaC ensures that the empirical evidence gathered by the Observability Layer (e.g., NFR metrics from a Dark Launch, drift alerts from MLOps) is instantaneously translated into the correct policy action (Rollback, Hold, or Fix) enforced on the Traffic Control and Feature State Layers.</w:t>
      </w:r>
      <w:r w:rsidRPr="00D166BF">
        <w:rPr>
          <w:vertAlign w:val="superscript"/>
        </w:rPr>
        <w:t>1</w:t>
      </w:r>
      <w:r w:rsidRPr="00D166BF">
        <w:t xml:space="preserve"> A single source of policy truth simplifies governance across traditional SOX ITGC systems (e.g., enforcing SoD on deployments) and modern MLOps systems (e.g., enforcing model promotion thresholds), thereby creating an integrated compliance fabric.</w:t>
      </w:r>
      <w:r w:rsidRPr="00D166BF">
        <w:rPr>
          <w:vertAlign w:val="superscript"/>
        </w:rPr>
        <w:t>19</w:t>
      </w:r>
    </w:p>
    <w:p w14:paraId="24070004" w14:textId="77777777" w:rsidR="00D166BF" w:rsidRPr="00D166BF" w:rsidRDefault="00D166BF" w:rsidP="00D166BF">
      <w:pPr>
        <w:rPr>
          <w:b/>
          <w:bCs/>
        </w:rPr>
      </w:pPr>
      <w:r w:rsidRPr="00D166BF">
        <w:rPr>
          <w:b/>
          <w:bCs/>
        </w:rPr>
        <w:t>5.3. Recommendations for Achieving Compliance-First Sprints</w:t>
      </w:r>
    </w:p>
    <w:p w14:paraId="3B985DF1" w14:textId="77777777" w:rsidR="00D166BF" w:rsidRPr="00D166BF" w:rsidRDefault="00D166BF" w:rsidP="00D166BF">
      <w:r w:rsidRPr="00D166BF">
        <w:t xml:space="preserve">To move beyond the limitations of manual compliance and realize the financial benefits of automation, organizations must institutionalize "Compliance-First Sprints." This necessitates treating regulatory requirements as </w:t>
      </w:r>
      <w:r w:rsidRPr="00D166BF">
        <w:rPr>
          <w:b/>
          <w:bCs/>
        </w:rPr>
        <w:t>technical debt that must be proactively addressed</w:t>
      </w:r>
      <w:r w:rsidRPr="00D166BF">
        <w:t xml:space="preserve"> in every sprint, rather than deferred until an audit.</w:t>
      </w:r>
      <w:r w:rsidRPr="00D166BF">
        <w:rPr>
          <w:vertAlign w:val="superscript"/>
        </w:rPr>
        <w:t>1</w:t>
      </w:r>
    </w:p>
    <w:p w14:paraId="5F58B1C7" w14:textId="77777777" w:rsidR="00D166BF" w:rsidRPr="00D166BF" w:rsidRDefault="00D166BF" w:rsidP="00D166BF">
      <w:pPr>
        <w:numPr>
          <w:ilvl w:val="0"/>
          <w:numId w:val="9"/>
        </w:numPr>
      </w:pPr>
      <w:r w:rsidRPr="00D166BF">
        <w:rPr>
          <w:b/>
          <w:bCs/>
        </w:rPr>
        <w:t>Codify Requirements:</w:t>
      </w:r>
      <w:r w:rsidRPr="00D166BF">
        <w:t xml:space="preserve"> Regulatory requirements must be translated into explicit user stories and measurable acceptance criteria.</w:t>
      </w:r>
      <w:r w:rsidRPr="00D166BF">
        <w:rPr>
          <w:vertAlign w:val="superscript"/>
        </w:rPr>
        <w:t>1</w:t>
      </w:r>
      <w:r w:rsidRPr="00D166BF">
        <w:t xml:space="preserve"> Compliance validation must be embedded into the </w:t>
      </w:r>
      <w:r w:rsidRPr="00D166BF">
        <w:rPr>
          <w:b/>
          <w:bCs/>
        </w:rPr>
        <w:t>Definition of Done (DoD)</w:t>
      </w:r>
      <w:r w:rsidRPr="00D166BF">
        <w:t xml:space="preserve"> criteria for every sprint deliverable.</w:t>
      </w:r>
      <w:r w:rsidRPr="00D166BF">
        <w:rPr>
          <w:vertAlign w:val="superscript"/>
        </w:rPr>
        <w:t>1</w:t>
      </w:r>
    </w:p>
    <w:p w14:paraId="68A90737" w14:textId="77777777" w:rsidR="00D166BF" w:rsidRPr="00D166BF" w:rsidRDefault="00D166BF" w:rsidP="00D166BF">
      <w:pPr>
        <w:numPr>
          <w:ilvl w:val="0"/>
          <w:numId w:val="9"/>
        </w:numPr>
      </w:pPr>
      <w:r w:rsidRPr="00D166BF">
        <w:rPr>
          <w:b/>
          <w:bCs/>
        </w:rPr>
        <w:t>Automated Gates:</w:t>
      </w:r>
      <w:r w:rsidRPr="00D166BF">
        <w:t xml:space="preserve"> Deployment workflows must query monitoring systems (Observability Layer) for objective health reports (Canary success, Dark Launch NFR adherence) before allowing the next stage of rollout to proceed.</w:t>
      </w:r>
      <w:r w:rsidRPr="00D166BF">
        <w:rPr>
          <w:vertAlign w:val="superscript"/>
        </w:rPr>
        <w:t>1</w:t>
      </w:r>
      <w:r w:rsidRPr="00D166BF">
        <w:t xml:space="preserve"> This automated enforcement is non-negotiable.</w:t>
      </w:r>
    </w:p>
    <w:p w14:paraId="3786C6B6" w14:textId="77777777" w:rsidR="00D166BF" w:rsidRPr="00D166BF" w:rsidRDefault="00D166BF" w:rsidP="00D166BF">
      <w:pPr>
        <w:numPr>
          <w:ilvl w:val="0"/>
          <w:numId w:val="9"/>
        </w:numPr>
      </w:pPr>
      <w:r w:rsidRPr="00D166BF">
        <w:rPr>
          <w:b/>
          <w:bCs/>
        </w:rPr>
        <w:t>Shift Compliance Left:</w:t>
      </w:r>
      <w:r w:rsidRPr="00D166BF">
        <w:t xml:space="preserve"> RegTech monitoring tools should be deployed within development environments to provide real-time compliance feedback during coding, enabling developers to integrate controls immediately.</w:t>
      </w:r>
      <w:r w:rsidRPr="00D166BF">
        <w:rPr>
          <w:vertAlign w:val="superscript"/>
        </w:rPr>
        <w:t>1</w:t>
      </w:r>
    </w:p>
    <w:p w14:paraId="48820603" w14:textId="77777777" w:rsidR="00D166BF" w:rsidRPr="00D166BF" w:rsidRDefault="00D166BF" w:rsidP="00D166BF">
      <w:pPr>
        <w:numPr>
          <w:ilvl w:val="0"/>
          <w:numId w:val="9"/>
        </w:numPr>
      </w:pPr>
      <w:r w:rsidRPr="00D166BF">
        <w:rPr>
          <w:b/>
          <w:bCs/>
        </w:rPr>
        <w:t>Adaptive Governance:</w:t>
      </w:r>
      <w:r w:rsidRPr="00D166BF">
        <w:t xml:space="preserve"> Organizations must build adaptive governance frameworks capable of rapidly incorporating new regulatory requirements (e.g., changes to SEC Rule 17a-4 or new FINRA guidance) without requiring a complete systemic overhaul, ensuring the organization is future-proofed against evolving AI regulations.</w:t>
      </w:r>
      <w:r w:rsidRPr="00D166BF">
        <w:rPr>
          <w:vertAlign w:val="superscript"/>
        </w:rPr>
        <w:t>1</w:t>
      </w:r>
    </w:p>
    <w:p w14:paraId="3F2D8F62" w14:textId="77777777" w:rsidR="00D166BF" w:rsidRPr="00D166BF" w:rsidRDefault="00D166BF" w:rsidP="00D166BF">
      <w:pPr>
        <w:rPr>
          <w:b/>
          <w:bCs/>
        </w:rPr>
      </w:pPr>
      <w:r w:rsidRPr="00D166BF">
        <w:rPr>
          <w:b/>
          <w:bCs/>
        </w:rPr>
        <w:t>5.4. Proposed Book Outline: The Continuous Compliance Organization</w:t>
      </w:r>
    </w:p>
    <w:p w14:paraId="51E28AD3" w14:textId="77777777" w:rsidR="00D166BF" w:rsidRPr="00D166BF" w:rsidRDefault="00D166BF" w:rsidP="00D166BF">
      <w:r w:rsidRPr="00D166BF">
        <w:lastRenderedPageBreak/>
        <w:t>This outline provides a structured curriculum for Executives, Product Managers, Risk and Controls, and QA teams, synthesizing strategic justification, architectural blueprints, and implementation guidance for achieving continuous compliance in the automated financial enterprise.</w:t>
      </w:r>
    </w:p>
    <w:p w14:paraId="7AF4B3E4" w14:textId="77777777" w:rsidR="00D166BF" w:rsidRPr="00D166BF" w:rsidRDefault="00D166BF" w:rsidP="00D166BF">
      <w:pPr>
        <w:rPr>
          <w:b/>
          <w:bCs/>
        </w:rPr>
      </w:pPr>
      <w:r w:rsidRPr="00D166BF">
        <w:rPr>
          <w:b/>
          <w:bCs/>
        </w:rPr>
        <w:t>Part I: The Strategic Imperative: Why Compliance Must Be Code</w:t>
      </w:r>
    </w:p>
    <w:p w14:paraId="18A6199B" w14:textId="77777777" w:rsidR="00D166BF" w:rsidRPr="00D166BF" w:rsidRDefault="00D166BF" w:rsidP="00D166BF">
      <w:r w:rsidRPr="00D166BF">
        <w:rPr>
          <w:b/>
          <w:bCs/>
        </w:rPr>
        <w:t>Chapter 1: The Quality Crisis in Finance: The True Cost of Manual Auditing</w:t>
      </w:r>
    </w:p>
    <w:p w14:paraId="373118D0" w14:textId="77777777" w:rsidR="00D166BF" w:rsidRPr="00D166BF" w:rsidRDefault="00D166BF" w:rsidP="00D166BF">
      <w:pPr>
        <w:numPr>
          <w:ilvl w:val="0"/>
          <w:numId w:val="10"/>
        </w:numPr>
      </w:pPr>
      <w:r w:rsidRPr="00D166BF">
        <w:t xml:space="preserve">Quantifying the financial burden of technical debt: The </w:t>
      </w:r>
      <w:r w:rsidRPr="00D166BF">
        <w:rPr>
          <w:b/>
          <w:bCs/>
        </w:rPr>
        <w:t>$273 Million Opportunity Cost</w:t>
      </w:r>
      <w:r w:rsidRPr="00D166BF">
        <w:t>.</w:t>
      </w:r>
      <w:r w:rsidRPr="00D166BF">
        <w:rPr>
          <w:vertAlign w:val="superscript"/>
        </w:rPr>
        <w:t>1</w:t>
      </w:r>
    </w:p>
    <w:p w14:paraId="7191C4AB" w14:textId="77777777" w:rsidR="00D166BF" w:rsidRPr="00D166BF" w:rsidRDefault="00D166BF" w:rsidP="00D166BF">
      <w:pPr>
        <w:numPr>
          <w:ilvl w:val="0"/>
          <w:numId w:val="10"/>
        </w:numPr>
      </w:pPr>
      <w:r w:rsidRPr="00D166BF">
        <w:t xml:space="preserve">Analyzing the indirect cost: How technical debt increases the probability of </w:t>
      </w:r>
      <w:r w:rsidRPr="00D166BF">
        <w:rPr>
          <w:b/>
          <w:bCs/>
        </w:rPr>
        <w:t>$90M</w:t>
      </w:r>
      <w:r w:rsidRPr="00D166BF">
        <w:t xml:space="preserve"> regulatory sanctions (see Section 1.1 for detailed analysis).</w:t>
      </w:r>
      <w:r w:rsidRPr="00D166BF">
        <w:rPr>
          <w:vertAlign w:val="superscript"/>
        </w:rPr>
        <w:t>3</w:t>
      </w:r>
    </w:p>
    <w:p w14:paraId="0032BD8D" w14:textId="77777777" w:rsidR="00D166BF" w:rsidRPr="00D166BF" w:rsidRDefault="00D166BF" w:rsidP="00D166BF">
      <w:pPr>
        <w:numPr>
          <w:ilvl w:val="0"/>
          <w:numId w:val="10"/>
        </w:numPr>
      </w:pPr>
      <w:r w:rsidRPr="00D166BF">
        <w:t>The shifting landscape: From reactive forensic auditing to proactive, continuous assurance.</w:t>
      </w:r>
    </w:p>
    <w:p w14:paraId="359E6D37" w14:textId="77777777" w:rsidR="00D166BF" w:rsidRPr="00D166BF" w:rsidRDefault="00D166BF" w:rsidP="00D166BF">
      <w:pPr>
        <w:numPr>
          <w:ilvl w:val="0"/>
          <w:numId w:val="10"/>
        </w:numPr>
      </w:pPr>
      <w:r w:rsidRPr="00D166BF">
        <w:t>The limits of manual governance: Why traditional change management fails at DevOps velocity.</w:t>
      </w:r>
    </w:p>
    <w:p w14:paraId="19D0AA28" w14:textId="77777777" w:rsidR="00D166BF" w:rsidRPr="00D166BF" w:rsidRDefault="00D166BF" w:rsidP="00D166BF">
      <w:pPr>
        <w:numPr>
          <w:ilvl w:val="0"/>
          <w:numId w:val="10"/>
        </w:numPr>
      </w:pPr>
      <w:r w:rsidRPr="00D166BF">
        <w:t xml:space="preserve">Introducing the </w:t>
      </w:r>
      <w:r w:rsidRPr="00D166BF">
        <w:rPr>
          <w:b/>
          <w:bCs/>
        </w:rPr>
        <w:t>Total Quality Management (TQM)</w:t>
      </w:r>
      <w:r w:rsidRPr="00D166BF">
        <w:t xml:space="preserve"> mandate: Quality as a core business driver, not a cost center.</w:t>
      </w:r>
      <w:r w:rsidRPr="00D166BF">
        <w:rPr>
          <w:vertAlign w:val="superscript"/>
        </w:rPr>
        <w:t>1</w:t>
      </w:r>
    </w:p>
    <w:p w14:paraId="751C73DB" w14:textId="77777777" w:rsidR="00D166BF" w:rsidRPr="00D166BF" w:rsidRDefault="00D166BF" w:rsidP="00D166BF">
      <w:r w:rsidRPr="00D166BF">
        <w:rPr>
          <w:b/>
          <w:bCs/>
        </w:rPr>
        <w:t>Chapter 2: Quality at the Source (Q@S) in the Regulated SDLC</w:t>
      </w:r>
    </w:p>
    <w:p w14:paraId="5F9582A8" w14:textId="77777777" w:rsidR="00D166BF" w:rsidRPr="00D166BF" w:rsidRDefault="00D166BF" w:rsidP="00D166BF">
      <w:pPr>
        <w:numPr>
          <w:ilvl w:val="0"/>
          <w:numId w:val="11"/>
        </w:numPr>
      </w:pPr>
      <w:r w:rsidRPr="00D166BF">
        <w:t>Defining Quality at the Source: Shifting responsibility and control left.</w:t>
      </w:r>
      <w:r w:rsidRPr="00D166BF">
        <w:rPr>
          <w:vertAlign w:val="superscript"/>
        </w:rPr>
        <w:t>1</w:t>
      </w:r>
    </w:p>
    <w:p w14:paraId="05C248AB" w14:textId="77777777" w:rsidR="00D166BF" w:rsidRPr="00D166BF" w:rsidRDefault="00D166BF" w:rsidP="00D166BF">
      <w:pPr>
        <w:numPr>
          <w:ilvl w:val="0"/>
          <w:numId w:val="11"/>
        </w:numPr>
      </w:pPr>
      <w:r w:rsidRPr="00D166BF">
        <w:rPr>
          <w:b/>
          <w:bCs/>
        </w:rPr>
        <w:t>Quadrant 1 (Quad-1)</w:t>
      </w:r>
      <w:r w:rsidRPr="00D166BF">
        <w:t>: Enforcing developer-driven quality via Unit Tests, TDD, and Static Analysis.</w:t>
      </w:r>
      <w:r w:rsidRPr="00D166BF">
        <w:rPr>
          <w:vertAlign w:val="superscript"/>
        </w:rPr>
        <w:t>1</w:t>
      </w:r>
    </w:p>
    <w:p w14:paraId="096A6F3D" w14:textId="77777777" w:rsidR="00D166BF" w:rsidRPr="00D166BF" w:rsidRDefault="00D166BF" w:rsidP="00D166BF">
      <w:pPr>
        <w:numPr>
          <w:ilvl w:val="0"/>
          <w:numId w:val="11"/>
        </w:numPr>
      </w:pPr>
      <w:r w:rsidRPr="00D166BF">
        <w:rPr>
          <w:b/>
          <w:bCs/>
        </w:rPr>
        <w:t>Quadrant 2 (Quad-2)</w:t>
      </w:r>
      <w:r w:rsidRPr="00D166BF">
        <w:t>: Ensuring deterministic compliance via Mocking, Service Virtualization, and Integration Testing.</w:t>
      </w:r>
      <w:r w:rsidRPr="00D166BF">
        <w:rPr>
          <w:vertAlign w:val="superscript"/>
        </w:rPr>
        <w:t>1</w:t>
      </w:r>
    </w:p>
    <w:p w14:paraId="533A2397" w14:textId="77777777" w:rsidR="00D166BF" w:rsidRPr="00D166BF" w:rsidRDefault="00D166BF" w:rsidP="00D166BF">
      <w:pPr>
        <w:numPr>
          <w:ilvl w:val="0"/>
          <w:numId w:val="11"/>
        </w:numPr>
      </w:pPr>
      <w:r w:rsidRPr="00D166BF">
        <w:t>The role of Behavior-Driven Development (BDD): Translating compliance rules into ubiquitous, testable acceptance criteria.</w:t>
      </w:r>
      <w:r w:rsidRPr="00D166BF">
        <w:rPr>
          <w:vertAlign w:val="superscript"/>
        </w:rPr>
        <w:t>1</w:t>
      </w:r>
    </w:p>
    <w:p w14:paraId="78744D0A" w14:textId="77777777" w:rsidR="00D166BF" w:rsidRPr="00D166BF" w:rsidRDefault="00D166BF" w:rsidP="00D166BF">
      <w:pPr>
        <w:numPr>
          <w:ilvl w:val="0"/>
          <w:numId w:val="11"/>
        </w:numPr>
      </w:pPr>
      <w:r w:rsidRPr="00D166BF">
        <w:rPr>
          <w:b/>
          <w:bCs/>
        </w:rPr>
        <w:t>Policy Enforcement:</w:t>
      </w:r>
      <w:r w:rsidRPr="00D166BF">
        <w:t xml:space="preserve"> Making compliance a hard gate in the CI/CD pipeline.</w:t>
      </w:r>
      <w:r w:rsidRPr="00D166BF">
        <w:rPr>
          <w:vertAlign w:val="superscript"/>
        </w:rPr>
        <w:t>6</w:t>
      </w:r>
    </w:p>
    <w:p w14:paraId="20BC7C22" w14:textId="77777777" w:rsidR="00D166BF" w:rsidRPr="00D166BF" w:rsidRDefault="00D166BF" w:rsidP="00D166BF">
      <w:r w:rsidRPr="00D166BF">
        <w:rPr>
          <w:b/>
          <w:bCs/>
        </w:rPr>
        <w:t>Chapter 3: The New Definition of Releasable (DoR): Policy-Driven Gates and GTM Readiness</w:t>
      </w:r>
    </w:p>
    <w:p w14:paraId="79F2F5CC" w14:textId="77777777" w:rsidR="00D166BF" w:rsidRPr="00D166BF" w:rsidRDefault="00D166BF" w:rsidP="00D166BF">
      <w:pPr>
        <w:numPr>
          <w:ilvl w:val="0"/>
          <w:numId w:val="12"/>
        </w:numPr>
      </w:pPr>
      <w:r w:rsidRPr="00D166BF">
        <w:t>The failure of environmental realism: Why pre-production environments are "architecturally untenable" for NFR validation.</w:t>
      </w:r>
      <w:r w:rsidRPr="00D166BF">
        <w:rPr>
          <w:vertAlign w:val="superscript"/>
        </w:rPr>
        <w:t>1</w:t>
      </w:r>
    </w:p>
    <w:p w14:paraId="78CC7DF4" w14:textId="77777777" w:rsidR="00D166BF" w:rsidRPr="00D166BF" w:rsidRDefault="00D166BF" w:rsidP="00D166BF">
      <w:pPr>
        <w:numPr>
          <w:ilvl w:val="0"/>
          <w:numId w:val="12"/>
        </w:numPr>
      </w:pPr>
      <w:r w:rsidRPr="00D166BF">
        <w:lastRenderedPageBreak/>
        <w:t>The mandate for empirical readiness: Transitioning from theoretical sign-offs to production-derived metrics.</w:t>
      </w:r>
    </w:p>
    <w:p w14:paraId="5808FABE" w14:textId="77777777" w:rsidR="00D166BF" w:rsidRPr="00D166BF" w:rsidRDefault="00D166BF" w:rsidP="00D166BF">
      <w:pPr>
        <w:numPr>
          <w:ilvl w:val="0"/>
          <w:numId w:val="12"/>
        </w:numPr>
      </w:pPr>
      <w:r w:rsidRPr="00D166BF">
        <w:rPr>
          <w:b/>
          <w:bCs/>
        </w:rPr>
        <w:t>Policy-Driven Release Planning:</w:t>
      </w:r>
      <w:r w:rsidRPr="00D166BF">
        <w:t xml:space="preserve"> Integrating GTM Readiness checks (e.g., Financial Reporting Sign-off, Rollback Validation) with the automated deployment workflow (see Section 1.4).</w:t>
      </w:r>
      <w:r w:rsidRPr="00D166BF">
        <w:rPr>
          <w:vertAlign w:val="superscript"/>
        </w:rPr>
        <w:t>1</w:t>
      </w:r>
    </w:p>
    <w:p w14:paraId="6B8823A9" w14:textId="77777777" w:rsidR="00D166BF" w:rsidRPr="00D166BF" w:rsidRDefault="00D166BF" w:rsidP="00D166BF">
      <w:pPr>
        <w:numPr>
          <w:ilvl w:val="0"/>
          <w:numId w:val="12"/>
        </w:numPr>
      </w:pPr>
      <w:r w:rsidRPr="00D166BF">
        <w:rPr>
          <w:b/>
          <w:bCs/>
        </w:rPr>
        <w:t>Post-Release Validation Timeline:</w:t>
      </w:r>
      <w:r w:rsidRPr="00D166BF">
        <w:t xml:space="preserve"> Codifying the mandatory soak periods (e.g., </w:t>
      </w:r>
      <w:r w:rsidRPr="00D166BF">
        <w:rPr>
          <w:b/>
          <w:bCs/>
        </w:rPr>
        <w:t>Release Date + 28 days</w:t>
      </w:r>
      <w:r w:rsidRPr="00D166BF">
        <w:t>) for NFR validation via Dark Launches and Canary Deployments.</w:t>
      </w:r>
      <w:r w:rsidRPr="00D166BF">
        <w:rPr>
          <w:vertAlign w:val="superscript"/>
        </w:rPr>
        <w:t>1</w:t>
      </w:r>
    </w:p>
    <w:p w14:paraId="60CD0606" w14:textId="77777777" w:rsidR="00D166BF" w:rsidRPr="00D166BF" w:rsidRDefault="00D166BF" w:rsidP="00D166BF">
      <w:pPr>
        <w:numPr>
          <w:ilvl w:val="0"/>
          <w:numId w:val="12"/>
        </w:numPr>
      </w:pPr>
      <w:r w:rsidRPr="00D166BF">
        <w:t>Integrating compliance metrics into the DoR: Defining measurable success criteria for NFRs, security, and regulatory adherence.</w:t>
      </w:r>
      <w:r w:rsidRPr="00D166BF">
        <w:rPr>
          <w:vertAlign w:val="superscript"/>
        </w:rPr>
        <w:t>1</w:t>
      </w:r>
    </w:p>
    <w:p w14:paraId="346D094B" w14:textId="77777777" w:rsidR="00D166BF" w:rsidRPr="00D166BF" w:rsidRDefault="00D166BF" w:rsidP="00D166BF">
      <w:pPr>
        <w:rPr>
          <w:b/>
          <w:bCs/>
        </w:rPr>
      </w:pPr>
      <w:r w:rsidRPr="00D166BF">
        <w:rPr>
          <w:b/>
          <w:bCs/>
        </w:rPr>
        <w:t>Part II: Architectural Foundation: Progressive Delivery and Auditable Risk Containment</w:t>
      </w:r>
    </w:p>
    <w:p w14:paraId="560A586A" w14:textId="77777777" w:rsidR="00D166BF" w:rsidRPr="00D166BF" w:rsidRDefault="00D166BF" w:rsidP="00D166BF">
      <w:r w:rsidRPr="00D166BF">
        <w:rPr>
          <w:b/>
          <w:bCs/>
        </w:rPr>
        <w:t>Chapter 4: Controlled Exposure: Testing in Production Architected for Audits</w:t>
      </w:r>
    </w:p>
    <w:p w14:paraId="65EEB000" w14:textId="77777777" w:rsidR="00D166BF" w:rsidRPr="00D166BF" w:rsidRDefault="00D166BF" w:rsidP="00D166BF">
      <w:pPr>
        <w:numPr>
          <w:ilvl w:val="0"/>
          <w:numId w:val="13"/>
        </w:numPr>
      </w:pPr>
      <w:r w:rsidRPr="00D166BF">
        <w:t>Inverting the risk equation: Transforming high-risk TiP into low-risk, auditable quality assurance.</w:t>
      </w:r>
      <w:r w:rsidRPr="00D166BF">
        <w:rPr>
          <w:vertAlign w:val="superscript"/>
        </w:rPr>
        <w:t>1</w:t>
      </w:r>
    </w:p>
    <w:p w14:paraId="10E2D382" w14:textId="77777777" w:rsidR="00D166BF" w:rsidRPr="00D166BF" w:rsidRDefault="00D166BF" w:rsidP="00D166BF">
      <w:pPr>
        <w:numPr>
          <w:ilvl w:val="0"/>
          <w:numId w:val="13"/>
        </w:numPr>
      </w:pPr>
      <w:r w:rsidRPr="00D166BF">
        <w:t>Blue/Green Architecture: Guaranteeing rapid recovery and minimal MTTR.</w:t>
      </w:r>
      <w:r w:rsidRPr="00D166BF">
        <w:rPr>
          <w:vertAlign w:val="superscript"/>
        </w:rPr>
        <w:t>1</w:t>
      </w:r>
    </w:p>
    <w:p w14:paraId="68D8DE18" w14:textId="77777777" w:rsidR="00D166BF" w:rsidRPr="00D166BF" w:rsidRDefault="00D166BF" w:rsidP="00D166BF">
      <w:pPr>
        <w:numPr>
          <w:ilvl w:val="0"/>
          <w:numId w:val="13"/>
        </w:numPr>
      </w:pPr>
      <w:r w:rsidRPr="00D166BF">
        <w:t>Feature Flags and Release Toggles: Decoupling deployment from activation for risk containment.</w:t>
      </w:r>
      <w:r w:rsidRPr="00D166BF">
        <w:rPr>
          <w:vertAlign w:val="superscript"/>
        </w:rPr>
        <w:t>1</w:t>
      </w:r>
    </w:p>
    <w:p w14:paraId="62CD1D93" w14:textId="77777777" w:rsidR="00D166BF" w:rsidRPr="00D166BF" w:rsidRDefault="00D166BF" w:rsidP="00D166BF">
      <w:r w:rsidRPr="00D166BF">
        <w:rPr>
          <w:b/>
          <w:bCs/>
        </w:rPr>
        <w:t>Chapter 5: Dark Launches and NFR Evidence: Proving Technical Compliance (Quad-4)</w:t>
      </w:r>
    </w:p>
    <w:p w14:paraId="71F48EF4" w14:textId="77777777" w:rsidR="00D166BF" w:rsidRPr="00D166BF" w:rsidRDefault="00D166BF" w:rsidP="00D166BF">
      <w:pPr>
        <w:numPr>
          <w:ilvl w:val="0"/>
          <w:numId w:val="14"/>
        </w:numPr>
      </w:pPr>
      <w:r w:rsidRPr="00D166BF">
        <w:t>Defining the Dark Launch (Shadow Traffic): Silent validation under 100% production load.</w:t>
      </w:r>
      <w:r w:rsidRPr="00D166BF">
        <w:rPr>
          <w:vertAlign w:val="superscript"/>
        </w:rPr>
        <w:t>1</w:t>
      </w:r>
    </w:p>
    <w:p w14:paraId="4E1D1ED3" w14:textId="77777777" w:rsidR="00D166BF" w:rsidRPr="00D166BF" w:rsidRDefault="00D166BF" w:rsidP="00D166BF">
      <w:pPr>
        <w:numPr>
          <w:ilvl w:val="0"/>
          <w:numId w:val="14"/>
        </w:numPr>
      </w:pPr>
      <w:r w:rsidRPr="00D166BF">
        <w:t xml:space="preserve">The </w:t>
      </w:r>
      <w:r w:rsidRPr="00D166BF">
        <w:rPr>
          <w:b/>
          <w:bCs/>
        </w:rPr>
        <w:t>Validation Hierarchy</w:t>
      </w:r>
      <w:r w:rsidRPr="00D166BF">
        <w:t>: Why Dark Launches (Quad-4) must precede Canary Deployments (Quad-3).</w:t>
      </w:r>
      <w:r w:rsidRPr="00D166BF">
        <w:rPr>
          <w:vertAlign w:val="superscript"/>
        </w:rPr>
        <w:t>1</w:t>
      </w:r>
    </w:p>
    <w:p w14:paraId="4E346BFA" w14:textId="77777777" w:rsidR="00D166BF" w:rsidRPr="00D166BF" w:rsidRDefault="00D166BF" w:rsidP="00D166BF">
      <w:pPr>
        <w:numPr>
          <w:ilvl w:val="1"/>
          <w:numId w:val="14"/>
        </w:numPr>
      </w:pPr>
      <w:r w:rsidRPr="00D166BF">
        <w:t>Proving technical NFRs (Throughput, Scalability, Resource Utilization) before user risk exposure.</w:t>
      </w:r>
    </w:p>
    <w:p w14:paraId="4C1F422B" w14:textId="77777777" w:rsidR="00D166BF" w:rsidRPr="00D166BF" w:rsidRDefault="00D166BF" w:rsidP="00D166BF">
      <w:pPr>
        <w:numPr>
          <w:ilvl w:val="0"/>
          <w:numId w:val="14"/>
        </w:numPr>
      </w:pPr>
      <w:r w:rsidRPr="00D166BF">
        <w:t>Auditing Dark Launch success: Generating objective NFR metric reports for review.</w:t>
      </w:r>
    </w:p>
    <w:p w14:paraId="663A381F" w14:textId="77777777" w:rsidR="00D166BF" w:rsidRPr="00D166BF" w:rsidRDefault="00D166BF" w:rsidP="00D166BF">
      <w:pPr>
        <w:numPr>
          <w:ilvl w:val="0"/>
          <w:numId w:val="14"/>
        </w:numPr>
      </w:pPr>
      <w:r w:rsidRPr="00D166BF">
        <w:t>Synthetic Testing: Continuous, passive validation for long-term operational quality (Quad-4).</w:t>
      </w:r>
      <w:r w:rsidRPr="00D166BF">
        <w:rPr>
          <w:vertAlign w:val="superscript"/>
        </w:rPr>
        <w:t>1</w:t>
      </w:r>
    </w:p>
    <w:p w14:paraId="6287E88F" w14:textId="77777777" w:rsidR="00D166BF" w:rsidRPr="00D166BF" w:rsidRDefault="00D166BF" w:rsidP="00D166BF">
      <w:r w:rsidRPr="00D166BF">
        <w:rPr>
          <w:b/>
          <w:bCs/>
        </w:rPr>
        <w:t>Chapter 6: The Observability Layer (The Sentinel): Active Risk Management</w:t>
      </w:r>
    </w:p>
    <w:p w14:paraId="12F193FD" w14:textId="77777777" w:rsidR="00D166BF" w:rsidRPr="00D166BF" w:rsidRDefault="00D166BF" w:rsidP="00D166BF">
      <w:pPr>
        <w:numPr>
          <w:ilvl w:val="0"/>
          <w:numId w:val="15"/>
        </w:numPr>
      </w:pPr>
      <w:r w:rsidRPr="00D166BF">
        <w:t>The prerequisite for safety: High-fidelity monitoring, tracing, and logging.</w:t>
      </w:r>
      <w:r w:rsidRPr="00D166BF">
        <w:rPr>
          <w:vertAlign w:val="superscript"/>
        </w:rPr>
        <w:t>1</w:t>
      </w:r>
    </w:p>
    <w:p w14:paraId="58C702D0" w14:textId="77777777" w:rsidR="00D166BF" w:rsidRPr="00D166BF" w:rsidRDefault="00D166BF" w:rsidP="00D166BF">
      <w:pPr>
        <w:numPr>
          <w:ilvl w:val="0"/>
          <w:numId w:val="15"/>
        </w:numPr>
      </w:pPr>
      <w:r w:rsidRPr="00D166BF">
        <w:lastRenderedPageBreak/>
        <w:t>Transforming data into policy triggers: Using real-time monitoring to enforce automated rollback/hold decisions.</w:t>
      </w:r>
      <w:r w:rsidRPr="00D166BF">
        <w:rPr>
          <w:vertAlign w:val="superscript"/>
        </w:rPr>
        <w:t>1</w:t>
      </w:r>
    </w:p>
    <w:p w14:paraId="65C3BE5A" w14:textId="77777777" w:rsidR="00D166BF" w:rsidRPr="00D166BF" w:rsidRDefault="00D166BF" w:rsidP="00D166BF">
      <w:pPr>
        <w:numPr>
          <w:ilvl w:val="0"/>
          <w:numId w:val="15"/>
        </w:numPr>
      </w:pPr>
      <w:r w:rsidRPr="00D166BF">
        <w:t xml:space="preserve">The role of the Observability Layer in </w:t>
      </w:r>
      <w:r w:rsidRPr="00D166BF">
        <w:rPr>
          <w:b/>
          <w:bCs/>
        </w:rPr>
        <w:t>Continuous Quality Assurance (CQA)</w:t>
      </w:r>
      <w:r w:rsidRPr="00D166BF">
        <w:t>: Detecting production drift and environment instability.</w:t>
      </w:r>
      <w:r w:rsidRPr="00D166BF">
        <w:rPr>
          <w:vertAlign w:val="superscript"/>
        </w:rPr>
        <w:t>1</w:t>
      </w:r>
    </w:p>
    <w:p w14:paraId="216A65E7" w14:textId="77777777" w:rsidR="00D166BF" w:rsidRPr="00D166BF" w:rsidRDefault="00D166BF" w:rsidP="00D166BF">
      <w:pPr>
        <w:rPr>
          <w:b/>
          <w:bCs/>
        </w:rPr>
      </w:pPr>
      <w:r w:rsidRPr="00D166BF">
        <w:rPr>
          <w:b/>
          <w:bCs/>
        </w:rPr>
        <w:t>Part III: Blueprint for Auditability: DevOps and SOX IT General Controls (ITGCs)</w:t>
      </w:r>
    </w:p>
    <w:p w14:paraId="09D41547" w14:textId="77777777" w:rsidR="00D166BF" w:rsidRPr="00D166BF" w:rsidRDefault="00D166BF" w:rsidP="00D166BF">
      <w:r w:rsidRPr="00D166BF">
        <w:rPr>
          <w:b/>
          <w:bCs/>
        </w:rPr>
        <w:t>Chapter 7: Policy-as-Code (PaC): Codifying Internal Controls</w:t>
      </w:r>
    </w:p>
    <w:p w14:paraId="28410DC6" w14:textId="77777777" w:rsidR="00D166BF" w:rsidRPr="00D166BF" w:rsidRDefault="00D166BF" w:rsidP="00D166BF">
      <w:pPr>
        <w:numPr>
          <w:ilvl w:val="0"/>
          <w:numId w:val="16"/>
        </w:numPr>
      </w:pPr>
      <w:r w:rsidRPr="00D166BF">
        <w:t>SOX Sections 302 and 404 in the DevOps era: The mandate for documented, tested, and certified controls.</w:t>
      </w:r>
      <w:r w:rsidRPr="00D166BF">
        <w:rPr>
          <w:vertAlign w:val="superscript"/>
        </w:rPr>
        <w:t>4</w:t>
      </w:r>
    </w:p>
    <w:p w14:paraId="62BA3B9F" w14:textId="77777777" w:rsidR="00D166BF" w:rsidRPr="00D166BF" w:rsidRDefault="00D166BF" w:rsidP="00D166BF">
      <w:pPr>
        <w:numPr>
          <w:ilvl w:val="0"/>
          <w:numId w:val="16"/>
        </w:numPr>
      </w:pPr>
      <w:r w:rsidRPr="00D166BF">
        <w:t xml:space="preserve">Implementing </w:t>
      </w:r>
      <w:r w:rsidRPr="00D166BF">
        <w:rPr>
          <w:b/>
          <w:bCs/>
        </w:rPr>
        <w:t>Segregation of Duties (SoD)</w:t>
      </w:r>
      <w:r w:rsidRPr="00D166BF">
        <w:t xml:space="preserve"> via Policy Engines (</w:t>
      </w:r>
      <w:r w:rsidRPr="00D166BF">
        <w:rPr>
          <w:b/>
          <w:bCs/>
        </w:rPr>
        <w:t>OPA/Rego</w:t>
      </w:r>
      <w:r w:rsidRPr="00D166BF">
        <w:t xml:space="preserve"> </w:t>
      </w:r>
      <w:r w:rsidRPr="00D166BF">
        <w:rPr>
          <w:vertAlign w:val="superscript"/>
        </w:rPr>
        <w:t>8</w:t>
      </w:r>
      <w:r w:rsidRPr="00D166BF">
        <w:t>).</w:t>
      </w:r>
    </w:p>
    <w:p w14:paraId="1D8E22AC" w14:textId="77777777" w:rsidR="00D166BF" w:rsidRPr="00D166BF" w:rsidRDefault="00D166BF" w:rsidP="00D166BF">
      <w:pPr>
        <w:numPr>
          <w:ilvl w:val="1"/>
          <w:numId w:val="16"/>
        </w:numPr>
      </w:pPr>
      <w:r w:rsidRPr="00D166BF">
        <w:t>Codified policies preventing the same identity from committing and deploying to production.</w:t>
      </w:r>
      <w:r w:rsidRPr="00D166BF">
        <w:rPr>
          <w:vertAlign w:val="superscript"/>
        </w:rPr>
        <w:t>9</w:t>
      </w:r>
    </w:p>
    <w:p w14:paraId="70D4E724" w14:textId="77777777" w:rsidR="00D166BF" w:rsidRPr="00D166BF" w:rsidRDefault="00D166BF" w:rsidP="00D166BF">
      <w:pPr>
        <w:numPr>
          <w:ilvl w:val="0"/>
          <w:numId w:val="16"/>
        </w:numPr>
      </w:pPr>
      <w:r w:rsidRPr="00D166BF">
        <w:t>PaC for environment enforcement: Governing configurations, security, and resource constraints.</w:t>
      </w:r>
      <w:r w:rsidRPr="00D166BF">
        <w:rPr>
          <w:vertAlign w:val="superscript"/>
        </w:rPr>
        <w:t>19</w:t>
      </w:r>
    </w:p>
    <w:p w14:paraId="32B434EF" w14:textId="77777777" w:rsidR="00D166BF" w:rsidRPr="00D166BF" w:rsidRDefault="00D166BF" w:rsidP="00D166BF">
      <w:r w:rsidRPr="00D166BF">
        <w:rPr>
          <w:b/>
          <w:bCs/>
        </w:rPr>
        <w:t>Chapter 8: Automating Change Management and Approval Gates</w:t>
      </w:r>
    </w:p>
    <w:p w14:paraId="465F7B2F" w14:textId="77777777" w:rsidR="00D166BF" w:rsidRPr="00D166BF" w:rsidRDefault="00D166BF" w:rsidP="00D166BF">
      <w:pPr>
        <w:numPr>
          <w:ilvl w:val="0"/>
          <w:numId w:val="17"/>
        </w:numPr>
      </w:pPr>
      <w:r w:rsidRPr="00D166BF">
        <w:t>Re-engineering Change Management: From manual CABs to automated CI/CD gates.</w:t>
      </w:r>
      <w:r w:rsidRPr="00D166BF">
        <w:rPr>
          <w:vertAlign w:val="superscript"/>
        </w:rPr>
        <w:t>12</w:t>
      </w:r>
    </w:p>
    <w:p w14:paraId="5805830E" w14:textId="77777777" w:rsidR="00D166BF" w:rsidRPr="00D166BF" w:rsidRDefault="00D166BF" w:rsidP="00D166BF">
      <w:pPr>
        <w:numPr>
          <w:ilvl w:val="0"/>
          <w:numId w:val="17"/>
        </w:numPr>
      </w:pPr>
      <w:r w:rsidRPr="00D166BF">
        <w:t>Mandatory approval enforcement: Integrating external systems (</w:t>
      </w:r>
      <w:r w:rsidRPr="00D166BF">
        <w:rPr>
          <w:b/>
          <w:bCs/>
        </w:rPr>
        <w:t>Jira/ServiceNow</w:t>
      </w:r>
      <w:r w:rsidRPr="00D166BF">
        <w:t>) checks into the pipeline.</w:t>
      </w:r>
      <w:r w:rsidRPr="00D166BF">
        <w:rPr>
          <w:vertAlign w:val="superscript"/>
        </w:rPr>
        <w:t>6</w:t>
      </w:r>
    </w:p>
    <w:p w14:paraId="668186C7" w14:textId="77777777" w:rsidR="00D166BF" w:rsidRPr="00D166BF" w:rsidRDefault="00D166BF" w:rsidP="00D166BF">
      <w:pPr>
        <w:numPr>
          <w:ilvl w:val="0"/>
          <w:numId w:val="17"/>
        </w:numPr>
      </w:pPr>
      <w:r w:rsidRPr="00D166BF">
        <w:t xml:space="preserve">Continuous security validation: Embedding </w:t>
      </w:r>
      <w:r w:rsidRPr="00D166BF">
        <w:rPr>
          <w:b/>
          <w:bCs/>
        </w:rPr>
        <w:t>SAST, DAST, and SCA</w:t>
      </w:r>
      <w:r w:rsidRPr="00D166BF">
        <w:t xml:space="preserve"> scans as prerequisite compliance gates.</w:t>
      </w:r>
      <w:r w:rsidRPr="00D166BF">
        <w:rPr>
          <w:vertAlign w:val="superscript"/>
        </w:rPr>
        <w:t>6</w:t>
      </w:r>
    </w:p>
    <w:p w14:paraId="121C6034" w14:textId="77777777" w:rsidR="00D166BF" w:rsidRPr="00D166BF" w:rsidRDefault="00D166BF" w:rsidP="00D166BF">
      <w:r w:rsidRPr="00D166BF">
        <w:rPr>
          <w:b/>
          <w:bCs/>
        </w:rPr>
        <w:t>Chapter 9: The Immutable Audit Trail: Generating SOX-Ready SDLC Artifacts</w:t>
      </w:r>
    </w:p>
    <w:p w14:paraId="65A3718C" w14:textId="77777777" w:rsidR="00D166BF" w:rsidRPr="00D166BF" w:rsidRDefault="00D166BF" w:rsidP="00D166BF">
      <w:pPr>
        <w:numPr>
          <w:ilvl w:val="0"/>
          <w:numId w:val="18"/>
        </w:numPr>
      </w:pPr>
      <w:r w:rsidRPr="00D166BF">
        <w:t xml:space="preserve">The CI/CD pipeline as the </w:t>
      </w:r>
      <w:r w:rsidRPr="00D166BF">
        <w:rPr>
          <w:b/>
          <w:bCs/>
        </w:rPr>
        <w:t>System of Record</w:t>
      </w:r>
      <w:r w:rsidRPr="00D166BF">
        <w:t>: Capturing evidence automatically.</w:t>
      </w:r>
      <w:r w:rsidRPr="00D166BF">
        <w:rPr>
          <w:vertAlign w:val="superscript"/>
        </w:rPr>
        <w:t>10</w:t>
      </w:r>
    </w:p>
    <w:p w14:paraId="4A47ECB6" w14:textId="77777777" w:rsidR="00D166BF" w:rsidRPr="00D166BF" w:rsidRDefault="00D166BF" w:rsidP="00D166BF">
      <w:pPr>
        <w:numPr>
          <w:ilvl w:val="0"/>
          <w:numId w:val="18"/>
        </w:numPr>
      </w:pPr>
      <w:r w:rsidRPr="00D166BF">
        <w:t>Achieving end-to-end traceability: Linking Requirement IDs (User Stories) to Git Commit Hashes and Deployment Logs.</w:t>
      </w:r>
      <w:r w:rsidRPr="00D166BF">
        <w:rPr>
          <w:vertAlign w:val="superscript"/>
        </w:rPr>
        <w:t>1</w:t>
      </w:r>
    </w:p>
    <w:p w14:paraId="4450EEB0" w14:textId="77777777" w:rsidR="00D166BF" w:rsidRPr="00D166BF" w:rsidRDefault="00D166BF" w:rsidP="00D166BF">
      <w:pPr>
        <w:numPr>
          <w:ilvl w:val="0"/>
          <w:numId w:val="18"/>
        </w:numPr>
      </w:pPr>
      <w:r w:rsidRPr="00D166BF">
        <w:t>SDLC Artifact generation: Automated evidence for Version Control, Code Reviews, and Testing Documentation.</w:t>
      </w:r>
      <w:r w:rsidRPr="00D166BF">
        <w:rPr>
          <w:vertAlign w:val="superscript"/>
        </w:rPr>
        <w:t>1</w:t>
      </w:r>
    </w:p>
    <w:p w14:paraId="6FE1B757" w14:textId="77777777" w:rsidR="00D166BF" w:rsidRPr="00D166BF" w:rsidRDefault="00D166BF" w:rsidP="00D166BF">
      <w:pPr>
        <w:numPr>
          <w:ilvl w:val="0"/>
          <w:numId w:val="18"/>
        </w:numPr>
      </w:pPr>
      <w:r w:rsidRPr="00D166BF">
        <w:t>Immutable Logging: Protecting the integrity of the audit trail against tampering (SEC Rule 17a-4 principles).</w:t>
      </w:r>
      <w:r w:rsidRPr="00D166BF">
        <w:rPr>
          <w:vertAlign w:val="superscript"/>
        </w:rPr>
        <w:t>3</w:t>
      </w:r>
    </w:p>
    <w:p w14:paraId="414389E7" w14:textId="77777777" w:rsidR="00D166BF" w:rsidRPr="00D166BF" w:rsidRDefault="00D166BF" w:rsidP="00D166BF">
      <w:pPr>
        <w:rPr>
          <w:b/>
          <w:bCs/>
        </w:rPr>
      </w:pPr>
      <w:r w:rsidRPr="00D166BF">
        <w:rPr>
          <w:b/>
          <w:bCs/>
        </w:rPr>
        <w:t>Part IV: Blueprint for AI/ML Governance: MLOps and FINRA/SEC Mandates</w:t>
      </w:r>
    </w:p>
    <w:p w14:paraId="570E4227" w14:textId="77777777" w:rsidR="00D166BF" w:rsidRPr="00D166BF" w:rsidRDefault="00D166BF" w:rsidP="00D166BF">
      <w:r w:rsidRPr="00D166BF">
        <w:rPr>
          <w:b/>
          <w:bCs/>
        </w:rPr>
        <w:lastRenderedPageBreak/>
        <w:t>Chapter 10: Model Risk Management (MRM) as Code (FINRA 3110)</w:t>
      </w:r>
    </w:p>
    <w:p w14:paraId="590CA6D6" w14:textId="77777777" w:rsidR="00D166BF" w:rsidRPr="00D166BF" w:rsidRDefault="00D166BF" w:rsidP="00D166BF">
      <w:pPr>
        <w:numPr>
          <w:ilvl w:val="0"/>
          <w:numId w:val="19"/>
        </w:numPr>
      </w:pPr>
      <w:r w:rsidRPr="00D166BF">
        <w:t xml:space="preserve">The </w:t>
      </w:r>
      <w:r w:rsidRPr="00D166BF">
        <w:rPr>
          <w:b/>
          <w:bCs/>
        </w:rPr>
        <w:t>Technology-Neutral Mandate</w:t>
      </w:r>
      <w:r w:rsidRPr="00D166BF">
        <w:t>: Applying existing financial regulations to AI and GenAI.</w:t>
      </w:r>
      <w:r w:rsidRPr="00D166BF">
        <w:rPr>
          <w:vertAlign w:val="superscript"/>
        </w:rPr>
        <w:t>1</w:t>
      </w:r>
    </w:p>
    <w:p w14:paraId="55694352" w14:textId="77777777" w:rsidR="00D166BF" w:rsidRPr="00D166BF" w:rsidRDefault="00D166BF" w:rsidP="00D166BF">
      <w:pPr>
        <w:numPr>
          <w:ilvl w:val="0"/>
          <w:numId w:val="19"/>
        </w:numPr>
      </w:pPr>
      <w:r w:rsidRPr="00D166BF">
        <w:t xml:space="preserve">MLOps as the Supervisory Control System: Utilizing </w:t>
      </w:r>
      <w:r w:rsidRPr="00D166BF">
        <w:rPr>
          <w:b/>
          <w:bCs/>
        </w:rPr>
        <w:t>Model Registry Systems</w:t>
      </w:r>
      <w:r w:rsidRPr="00D166BF">
        <w:t xml:space="preserve"> for lifecycle management and governance.</w:t>
      </w:r>
      <w:r w:rsidRPr="00D166BF">
        <w:rPr>
          <w:vertAlign w:val="superscript"/>
        </w:rPr>
        <w:t>1</w:t>
      </w:r>
    </w:p>
    <w:p w14:paraId="424889FD" w14:textId="77777777" w:rsidR="00D166BF" w:rsidRPr="00D166BF" w:rsidRDefault="00D166BF" w:rsidP="00D166BF">
      <w:pPr>
        <w:numPr>
          <w:ilvl w:val="0"/>
          <w:numId w:val="19"/>
        </w:numPr>
      </w:pPr>
      <w:r w:rsidRPr="00D166BF">
        <w:t xml:space="preserve">Rigorous validation: Ensuring </w:t>
      </w:r>
      <w:r w:rsidRPr="00D166BF">
        <w:rPr>
          <w:b/>
          <w:bCs/>
        </w:rPr>
        <w:t>100% of AI models</w:t>
      </w:r>
      <w:r w:rsidRPr="00D166BF">
        <w:t xml:space="preserve"> are subject to comprehensive testing and statistical analysis.</w:t>
      </w:r>
      <w:r w:rsidRPr="00D166BF">
        <w:rPr>
          <w:vertAlign w:val="superscript"/>
        </w:rPr>
        <w:t>1</w:t>
      </w:r>
    </w:p>
    <w:p w14:paraId="73E289A5" w14:textId="77777777" w:rsidR="00D166BF" w:rsidRPr="00D166BF" w:rsidRDefault="00D166BF" w:rsidP="00D166BF">
      <w:pPr>
        <w:numPr>
          <w:ilvl w:val="0"/>
          <w:numId w:val="19"/>
        </w:numPr>
      </w:pPr>
      <w:r w:rsidRPr="00D166BF">
        <w:t>Governance of Third-Party AI Vendors: Implementing enhanced due diligence requirements.</w:t>
      </w:r>
      <w:r w:rsidRPr="00D166BF">
        <w:rPr>
          <w:vertAlign w:val="superscript"/>
        </w:rPr>
        <w:t>1</w:t>
      </w:r>
    </w:p>
    <w:p w14:paraId="54C77DDE" w14:textId="77777777" w:rsidR="00D166BF" w:rsidRPr="00D166BF" w:rsidRDefault="00D166BF" w:rsidP="00D166BF">
      <w:r w:rsidRPr="00D166BF">
        <w:rPr>
          <w:b/>
          <w:bCs/>
        </w:rPr>
        <w:t>Chapter 11: Continuous Compliance Monitoring: Bias and Drift Alarms</w:t>
      </w:r>
    </w:p>
    <w:p w14:paraId="0434A277" w14:textId="77777777" w:rsidR="00D166BF" w:rsidRPr="00D166BF" w:rsidRDefault="00D166BF" w:rsidP="00D166BF">
      <w:pPr>
        <w:numPr>
          <w:ilvl w:val="0"/>
          <w:numId w:val="20"/>
        </w:numPr>
      </w:pPr>
      <w:r w:rsidRPr="00D166BF">
        <w:t>The regulatory imperative for drift and bias detection (FINRA Rule 2010).</w:t>
      </w:r>
      <w:r w:rsidRPr="00D166BF">
        <w:rPr>
          <w:vertAlign w:val="superscript"/>
        </w:rPr>
        <w:t>1</w:t>
      </w:r>
    </w:p>
    <w:p w14:paraId="72496986" w14:textId="77777777" w:rsidR="00D166BF" w:rsidRPr="00D166BF" w:rsidRDefault="00D166BF" w:rsidP="00D166BF">
      <w:pPr>
        <w:numPr>
          <w:ilvl w:val="0"/>
          <w:numId w:val="20"/>
        </w:numPr>
      </w:pPr>
      <w:r w:rsidRPr="00D166BF">
        <w:t xml:space="preserve">The architecture of continuous monitoring: Deploying </w:t>
      </w:r>
      <w:r w:rsidRPr="00D166BF">
        <w:rPr>
          <w:b/>
          <w:bCs/>
        </w:rPr>
        <w:t>Statistical Process Control Systems</w:t>
      </w:r>
      <w:r w:rsidRPr="00D166BF">
        <w:t xml:space="preserve"> (The Sentinel) for real-time tracking.</w:t>
      </w:r>
      <w:r w:rsidRPr="00D166BF">
        <w:rPr>
          <w:vertAlign w:val="superscript"/>
        </w:rPr>
        <w:t>1</w:t>
      </w:r>
    </w:p>
    <w:p w14:paraId="05621FA9" w14:textId="77777777" w:rsidR="00D166BF" w:rsidRPr="00D166BF" w:rsidRDefault="00D166BF" w:rsidP="00D166BF">
      <w:pPr>
        <w:numPr>
          <w:ilvl w:val="0"/>
          <w:numId w:val="20"/>
        </w:numPr>
      </w:pPr>
      <w:r w:rsidRPr="00D166BF">
        <w:t xml:space="preserve">Metric Goal: Achieving a </w:t>
      </w:r>
      <w:r w:rsidRPr="00D166BF">
        <w:rPr>
          <w:b/>
          <w:bCs/>
        </w:rPr>
        <w:t>24-hour alert resolution SLA</w:t>
      </w:r>
      <w:r w:rsidRPr="00D166BF">
        <w:t xml:space="preserve"> and </w:t>
      </w:r>
      <w:r w:rsidRPr="00D166BF">
        <w:rPr>
          <w:b/>
          <w:bCs/>
        </w:rPr>
        <w:t>99% drift detection rate</w:t>
      </w:r>
      <w:r w:rsidRPr="00D166BF">
        <w:t>.</w:t>
      </w:r>
      <w:r w:rsidRPr="00D166BF">
        <w:rPr>
          <w:vertAlign w:val="superscript"/>
        </w:rPr>
        <w:t>1</w:t>
      </w:r>
    </w:p>
    <w:p w14:paraId="2065521D" w14:textId="77777777" w:rsidR="00D166BF" w:rsidRPr="00D166BF" w:rsidRDefault="00D166BF" w:rsidP="00D166BF">
      <w:pPr>
        <w:numPr>
          <w:ilvl w:val="0"/>
          <w:numId w:val="20"/>
        </w:numPr>
      </w:pPr>
      <w:r w:rsidRPr="00D166BF">
        <w:t xml:space="preserve">Explainability and Traceability: Utilizing </w:t>
      </w:r>
      <w:r w:rsidRPr="00D166BF">
        <w:rPr>
          <w:b/>
          <w:bCs/>
        </w:rPr>
        <w:t>SHAP/LIME</w:t>
      </w:r>
      <w:r w:rsidRPr="00D166BF">
        <w:t xml:space="preserve"> tools to enable regulatory reconstruction of AI decision processes.</w:t>
      </w:r>
      <w:r w:rsidRPr="00D166BF">
        <w:rPr>
          <w:vertAlign w:val="superscript"/>
        </w:rPr>
        <w:t>1</w:t>
      </w:r>
    </w:p>
    <w:p w14:paraId="6A0BF375" w14:textId="77777777" w:rsidR="00D166BF" w:rsidRPr="00D166BF" w:rsidRDefault="00D166BF" w:rsidP="00D166BF">
      <w:r w:rsidRPr="00D166BF">
        <w:rPr>
          <w:b/>
          <w:bCs/>
        </w:rPr>
        <w:t>Chapter 12: SEC 17a-4 Recordkeeping in the Cloud: Immutability and Decision Traceability</w:t>
      </w:r>
    </w:p>
    <w:p w14:paraId="6787AFEF" w14:textId="77777777" w:rsidR="00D166BF" w:rsidRPr="00D166BF" w:rsidRDefault="00D166BF" w:rsidP="00D166BF">
      <w:pPr>
        <w:numPr>
          <w:ilvl w:val="0"/>
          <w:numId w:val="21"/>
        </w:numPr>
      </w:pPr>
      <w:r w:rsidRPr="00D166BF">
        <w:rPr>
          <w:b/>
          <w:bCs/>
        </w:rPr>
        <w:t>The Critical Architectural Choice:</w:t>
      </w:r>
      <w:r w:rsidRPr="00D166BF">
        <w:t xml:space="preserve"> WORM vs. the Audit Trail Alternative.</w:t>
      </w:r>
      <w:r w:rsidRPr="00D166BF">
        <w:rPr>
          <w:vertAlign w:val="superscript"/>
        </w:rPr>
        <w:t>18</w:t>
      </w:r>
    </w:p>
    <w:p w14:paraId="5B755B42" w14:textId="77777777" w:rsidR="00D166BF" w:rsidRPr="00D166BF" w:rsidRDefault="00D166BF" w:rsidP="00D166BF">
      <w:pPr>
        <w:numPr>
          <w:ilvl w:val="0"/>
          <w:numId w:val="21"/>
        </w:numPr>
      </w:pPr>
      <w:r w:rsidRPr="00D166BF">
        <w:t xml:space="preserve">Implementing the Audit Trail Alternative: Mandating </w:t>
      </w:r>
      <w:r w:rsidRPr="00D166BF">
        <w:rPr>
          <w:b/>
          <w:bCs/>
        </w:rPr>
        <w:t>100% audit trail capture</w:t>
      </w:r>
      <w:r w:rsidRPr="00D166BF">
        <w:t xml:space="preserve"> using </w:t>
      </w:r>
      <w:r w:rsidRPr="00D166BF">
        <w:rPr>
          <w:b/>
          <w:bCs/>
        </w:rPr>
        <w:t>cryptographic signing</w:t>
      </w:r>
      <w:r w:rsidRPr="00D166BF">
        <w:t xml:space="preserve"> and </w:t>
      </w:r>
      <w:r w:rsidRPr="00D166BF">
        <w:rPr>
          <w:b/>
          <w:bCs/>
        </w:rPr>
        <w:t>time-stamping</w:t>
      </w:r>
      <w:r w:rsidRPr="00D166BF">
        <w:t>.</w:t>
      </w:r>
      <w:r w:rsidRPr="00D166BF">
        <w:rPr>
          <w:vertAlign w:val="superscript"/>
        </w:rPr>
        <w:t>1</w:t>
      </w:r>
    </w:p>
    <w:p w14:paraId="403AE159" w14:textId="77777777" w:rsidR="00D166BF" w:rsidRPr="00D166BF" w:rsidRDefault="00D166BF" w:rsidP="00D166BF">
      <w:pPr>
        <w:numPr>
          <w:ilvl w:val="0"/>
          <w:numId w:val="21"/>
        </w:numPr>
      </w:pPr>
      <w:r w:rsidRPr="00D166BF">
        <w:t>Traceability of AI decisions: Comprehensive logging of model inputs, outputs, decision logic, and feature vectors.</w:t>
      </w:r>
      <w:r w:rsidRPr="00D166BF">
        <w:rPr>
          <w:vertAlign w:val="superscript"/>
        </w:rPr>
        <w:t>1</w:t>
      </w:r>
    </w:p>
    <w:p w14:paraId="2DE3DC2A" w14:textId="77777777" w:rsidR="00D166BF" w:rsidRPr="00D166BF" w:rsidRDefault="00D166BF" w:rsidP="00D166BF">
      <w:r w:rsidRPr="00D166BF">
        <w:rPr>
          <w:b/>
          <w:bCs/>
        </w:rPr>
        <w:t>Chapter 13: Human-in-the-Loop (HITL) for Financial Communication (FINRA 2210)</w:t>
      </w:r>
    </w:p>
    <w:p w14:paraId="19820004" w14:textId="77777777" w:rsidR="00D166BF" w:rsidRPr="00D166BF" w:rsidRDefault="00D166BF" w:rsidP="00D166BF">
      <w:pPr>
        <w:numPr>
          <w:ilvl w:val="0"/>
          <w:numId w:val="22"/>
        </w:numPr>
      </w:pPr>
      <w:r w:rsidRPr="00D166BF">
        <w:t>Supervision of AI-generated communications: Applying FINRA Rule 2210 content standards to chatbots and automated advice.</w:t>
      </w:r>
      <w:r w:rsidRPr="00D166BF">
        <w:rPr>
          <w:vertAlign w:val="superscript"/>
        </w:rPr>
        <w:t>1</w:t>
      </w:r>
    </w:p>
    <w:p w14:paraId="2B475B3E" w14:textId="77777777" w:rsidR="00D166BF" w:rsidRPr="00D166BF" w:rsidRDefault="00D166BF" w:rsidP="00D166BF">
      <w:pPr>
        <w:numPr>
          <w:ilvl w:val="0"/>
          <w:numId w:val="22"/>
        </w:numPr>
      </w:pPr>
      <w:r w:rsidRPr="00D166BF">
        <w:t xml:space="preserve">Mandatory Automation: Deploying </w:t>
      </w:r>
      <w:r w:rsidRPr="00D166BF">
        <w:rPr>
          <w:b/>
          <w:bCs/>
        </w:rPr>
        <w:t>Automated Content Analysis Systems</w:t>
      </w:r>
      <w:r w:rsidRPr="00D166BF">
        <w:t xml:space="preserve"> (99.8% detection rate) and </w:t>
      </w:r>
      <w:r w:rsidRPr="00D166BF">
        <w:rPr>
          <w:b/>
          <w:bCs/>
        </w:rPr>
        <w:t>Approval Workflow Platforms</w:t>
      </w:r>
      <w:r w:rsidRPr="00D166BF">
        <w:t>.</w:t>
      </w:r>
      <w:r w:rsidRPr="00D166BF">
        <w:rPr>
          <w:vertAlign w:val="superscript"/>
        </w:rPr>
        <w:t>1</w:t>
      </w:r>
    </w:p>
    <w:p w14:paraId="6B841F6E" w14:textId="77777777" w:rsidR="00D166BF" w:rsidRPr="00D166BF" w:rsidRDefault="00D166BF" w:rsidP="00D166BF">
      <w:pPr>
        <w:numPr>
          <w:ilvl w:val="0"/>
          <w:numId w:val="22"/>
        </w:numPr>
      </w:pPr>
      <w:r w:rsidRPr="00D166BF">
        <w:lastRenderedPageBreak/>
        <w:t>HITL Policy: Requiring electronic signature sign-offs by compliance personnel for high-risk content.</w:t>
      </w:r>
      <w:r w:rsidRPr="00D166BF">
        <w:rPr>
          <w:vertAlign w:val="superscript"/>
        </w:rPr>
        <w:t>1</w:t>
      </w:r>
    </w:p>
    <w:p w14:paraId="46B6AADC" w14:textId="77777777" w:rsidR="00D166BF" w:rsidRPr="00D166BF" w:rsidRDefault="00D166BF" w:rsidP="00D166BF">
      <w:r w:rsidRPr="00D166BF">
        <w:rPr>
          <w:b/>
          <w:bCs/>
        </w:rPr>
        <w:t>Chapter 14: Case Studies: Preventing Major Regulatory Violations</w:t>
      </w:r>
    </w:p>
    <w:p w14:paraId="68C582FA" w14:textId="77777777" w:rsidR="00D166BF" w:rsidRPr="00D166BF" w:rsidRDefault="00D166BF" w:rsidP="00D166BF">
      <w:pPr>
        <w:numPr>
          <w:ilvl w:val="0"/>
          <w:numId w:val="23"/>
        </w:numPr>
      </w:pPr>
      <w:r w:rsidRPr="00D166BF">
        <w:t>Analysis of key enforcement examples (Algorithmic Oversight, Recordkeeping Failures, AI-Washing).</w:t>
      </w:r>
      <w:r w:rsidRPr="00D166BF">
        <w:rPr>
          <w:vertAlign w:val="superscript"/>
        </w:rPr>
        <w:t>1</w:t>
      </w:r>
    </w:p>
    <w:p w14:paraId="7C3E8E7A" w14:textId="77777777" w:rsidR="00D166BF" w:rsidRPr="00D166BF" w:rsidRDefault="00D166BF" w:rsidP="00D166BF">
      <w:pPr>
        <w:numPr>
          <w:ilvl w:val="0"/>
          <w:numId w:val="23"/>
        </w:numPr>
      </w:pPr>
      <w:r w:rsidRPr="00D166BF">
        <w:t>Detailed summary of the specific control weaknesses that led to fines ranging from $225,000 to $90 million.</w:t>
      </w:r>
      <w:r w:rsidRPr="00D166BF">
        <w:rPr>
          <w:vertAlign w:val="superscript"/>
        </w:rPr>
        <w:t>1</w:t>
      </w:r>
    </w:p>
    <w:p w14:paraId="06ECE079" w14:textId="77777777" w:rsidR="00D166BF" w:rsidRPr="00D166BF" w:rsidRDefault="00D166BF" w:rsidP="00D166BF">
      <w:pPr>
        <w:numPr>
          <w:ilvl w:val="0"/>
          <w:numId w:val="23"/>
        </w:numPr>
      </w:pPr>
      <w:r w:rsidRPr="00D166BF">
        <w:t>Mapping each violation directly back to the mandatory controls and metrics in the Continuous Compliance Framework (see Section 4.6 for detailed analysis).</w:t>
      </w:r>
      <w:r w:rsidRPr="00D166BF">
        <w:rPr>
          <w:vertAlign w:val="superscript"/>
        </w:rPr>
        <w:t>1</w:t>
      </w:r>
    </w:p>
    <w:p w14:paraId="486C4910" w14:textId="77777777" w:rsidR="00D166BF" w:rsidRPr="00D166BF" w:rsidRDefault="00D166BF" w:rsidP="00D166BF">
      <w:pPr>
        <w:rPr>
          <w:b/>
          <w:bCs/>
        </w:rPr>
      </w:pPr>
      <w:r w:rsidRPr="00D166BF">
        <w:rPr>
          <w:b/>
          <w:bCs/>
        </w:rPr>
        <w:t>Part V: Conclusion: Building the Continuous Compliance Organization</w:t>
      </w:r>
    </w:p>
    <w:p w14:paraId="7D3BD31C" w14:textId="77777777" w:rsidR="00D166BF" w:rsidRPr="00D166BF" w:rsidRDefault="00D166BF" w:rsidP="00D166BF">
      <w:r w:rsidRPr="00D166BF">
        <w:rPr>
          <w:b/>
          <w:bCs/>
        </w:rPr>
        <w:t>Chapter 15: The Unified Compliance Fabric: Policy, Process, and Technical Tiers</w:t>
      </w:r>
    </w:p>
    <w:p w14:paraId="7B1ED360" w14:textId="77777777" w:rsidR="00D166BF" w:rsidRPr="00D166BF" w:rsidRDefault="00D166BF" w:rsidP="00D166BF">
      <w:pPr>
        <w:numPr>
          <w:ilvl w:val="0"/>
          <w:numId w:val="24"/>
        </w:numPr>
      </w:pPr>
      <w:r w:rsidRPr="00D166BF">
        <w:t>Synthesizing the blueprints: How PaC and Observability unify SOX ITGCs and MLOps compliance.</w:t>
      </w:r>
    </w:p>
    <w:p w14:paraId="68A013F7" w14:textId="77777777" w:rsidR="00D166BF" w:rsidRPr="00D166BF" w:rsidRDefault="00D166BF" w:rsidP="00D166BF">
      <w:pPr>
        <w:numPr>
          <w:ilvl w:val="0"/>
          <w:numId w:val="24"/>
        </w:numPr>
      </w:pPr>
      <w:r w:rsidRPr="00D166BF">
        <w:t>The layered control architecture: Integrating Infrastructure (Blue/Green), Traffic (Canary), Feature State (Flags), and Governance (PaC).</w:t>
      </w:r>
      <w:r w:rsidRPr="00D166BF">
        <w:rPr>
          <w:vertAlign w:val="superscript"/>
        </w:rPr>
        <w:t>1</w:t>
      </w:r>
    </w:p>
    <w:p w14:paraId="602AE1F1" w14:textId="77777777" w:rsidR="00D166BF" w:rsidRPr="00D166BF" w:rsidRDefault="00D166BF" w:rsidP="00D166BF">
      <w:pPr>
        <w:numPr>
          <w:ilvl w:val="0"/>
          <w:numId w:val="24"/>
        </w:numPr>
      </w:pPr>
      <w:r w:rsidRPr="00D166BF">
        <w:t xml:space="preserve">Defining the </w:t>
      </w:r>
      <w:r w:rsidRPr="00D166BF">
        <w:rPr>
          <w:b/>
          <w:bCs/>
        </w:rPr>
        <w:t>Policy, Process, and Technical Tiers</w:t>
      </w:r>
      <w:r w:rsidRPr="00D166BF">
        <w:t xml:space="preserve"> as the mandatory structure for AI Lifecycle Management (see Section 5.1).</w:t>
      </w:r>
      <w:r w:rsidRPr="00D166BF">
        <w:rPr>
          <w:vertAlign w:val="superscript"/>
        </w:rPr>
        <w:t>1</w:t>
      </w:r>
    </w:p>
    <w:p w14:paraId="682AB403" w14:textId="77777777" w:rsidR="00D166BF" w:rsidRPr="00D166BF" w:rsidRDefault="00D166BF" w:rsidP="00D166BF">
      <w:r w:rsidRPr="00D166BF">
        <w:rPr>
          <w:b/>
          <w:bCs/>
        </w:rPr>
        <w:t>Chapter 16: Roadmap to Innovation through Compliance</w:t>
      </w:r>
    </w:p>
    <w:p w14:paraId="4948D2A5" w14:textId="77777777" w:rsidR="00D166BF" w:rsidRPr="00D166BF" w:rsidRDefault="00D166BF" w:rsidP="00D166BF">
      <w:pPr>
        <w:numPr>
          <w:ilvl w:val="0"/>
          <w:numId w:val="25"/>
        </w:numPr>
      </w:pPr>
      <w:r w:rsidRPr="00D166BF">
        <w:t>Compliance as an enabler of speed: Providing clear governance boundaries for confident innovation.</w:t>
      </w:r>
      <w:r w:rsidRPr="00D166BF">
        <w:rPr>
          <w:vertAlign w:val="superscript"/>
        </w:rPr>
        <w:t>1</w:t>
      </w:r>
    </w:p>
    <w:p w14:paraId="09C5F1F1" w14:textId="77777777" w:rsidR="00D166BF" w:rsidRPr="00D166BF" w:rsidRDefault="00D166BF" w:rsidP="00D166BF">
      <w:pPr>
        <w:numPr>
          <w:ilvl w:val="0"/>
          <w:numId w:val="25"/>
        </w:numPr>
      </w:pPr>
      <w:r w:rsidRPr="00D166BF">
        <w:t>Organizational and cultural shift: Fostering continuous improvement and collective quality ownership.</w:t>
      </w:r>
      <w:r w:rsidRPr="00D166BF">
        <w:rPr>
          <w:vertAlign w:val="superscript"/>
        </w:rPr>
        <w:t>1</w:t>
      </w:r>
    </w:p>
    <w:p w14:paraId="09DF508B" w14:textId="1F521C08" w:rsidR="00D166BF" w:rsidRPr="00D166BF" w:rsidRDefault="00D166BF" w:rsidP="00D166BF">
      <w:pPr>
        <w:numPr>
          <w:ilvl w:val="0"/>
          <w:numId w:val="25"/>
        </w:numPr>
      </w:pPr>
      <w:r w:rsidRPr="00D166BF">
        <w:t>Futureproofing for Evolving AI Regulations: Building adaptive governance frameworks that accommodate global regulatory convergence.</w:t>
      </w:r>
      <w:r w:rsidRPr="00D166BF">
        <w:rPr>
          <w:vertAlign w:val="superscript"/>
        </w:rPr>
        <w:t>1</w:t>
      </w:r>
    </w:p>
    <w:p w14:paraId="57219B7E" w14:textId="77777777" w:rsidR="00D166BF" w:rsidRPr="00D166BF" w:rsidRDefault="00000000" w:rsidP="00D166BF">
      <w:r>
        <w:pict w14:anchorId="212650D7">
          <v:rect id="_x0000_i1025" style="width:0;height:1.5pt" o:hralign="center" o:hrstd="t" o:hrnoshade="t" o:hr="t" fillcolor="gray" stroked="f"/>
        </w:pict>
      </w:r>
    </w:p>
    <w:p w14:paraId="3F57170D" w14:textId="77777777" w:rsidR="00D166BF" w:rsidRPr="00D166BF" w:rsidRDefault="00D166BF" w:rsidP="00D166BF">
      <w:r w:rsidRPr="00D166BF">
        <w:t>Table Title: Unified Compliance Metric Mapping: Auditable Evidence Across Regulatory Domains</w:t>
      </w:r>
    </w:p>
    <w:tbl>
      <w:tblPr>
        <w:tblW w:w="0" w:type="auto"/>
        <w:tblCellSpacing w:w="15" w:type="dxa"/>
        <w:tblCellMar>
          <w:left w:w="0" w:type="dxa"/>
          <w:right w:w="0" w:type="dxa"/>
        </w:tblCellMar>
        <w:tblLook w:val="04A0" w:firstRow="1" w:lastRow="0" w:firstColumn="1" w:lastColumn="0" w:noHBand="0" w:noVBand="1"/>
      </w:tblPr>
      <w:tblGrid>
        <w:gridCol w:w="1957"/>
        <w:gridCol w:w="2408"/>
        <w:gridCol w:w="2533"/>
        <w:gridCol w:w="2446"/>
      </w:tblGrid>
      <w:tr w:rsidR="00D166BF" w:rsidRPr="00D166BF" w14:paraId="72C176D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C253E" w14:textId="77777777" w:rsidR="00D166BF" w:rsidRPr="00D166BF" w:rsidRDefault="00D166BF" w:rsidP="00D166BF">
            <w:r w:rsidRPr="00D166BF">
              <w:rPr>
                <w:b/>
                <w:bCs/>
              </w:rPr>
              <w:lastRenderedPageBreak/>
              <w:t>Delivery 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D74FE" w14:textId="77777777" w:rsidR="00D166BF" w:rsidRPr="00D166BF" w:rsidRDefault="00D166BF" w:rsidP="00D166BF">
            <w:r w:rsidRPr="00D166BF">
              <w:rPr>
                <w:b/>
                <w:bCs/>
              </w:rPr>
              <w:t>SOX ITGC (Audit Trail/Change)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E1A53" w14:textId="77777777" w:rsidR="00D166BF" w:rsidRPr="00D166BF" w:rsidRDefault="00D166BF" w:rsidP="00D166BF">
            <w:r w:rsidRPr="00D166BF">
              <w:rPr>
                <w:b/>
                <w:bCs/>
              </w:rPr>
              <w:t>FINRA 3110/MRM (Supervision)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4CB22" w14:textId="77777777" w:rsidR="00D166BF" w:rsidRPr="00D166BF" w:rsidRDefault="00D166BF" w:rsidP="00D166BF">
            <w:r w:rsidRPr="00D166BF">
              <w:rPr>
                <w:b/>
                <w:bCs/>
              </w:rPr>
              <w:t>NFR Metric Validation (Quad-4 Evidence)</w:t>
            </w:r>
          </w:p>
        </w:tc>
      </w:tr>
      <w:tr w:rsidR="00D166BF" w:rsidRPr="00D166BF" w14:paraId="61E3AD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83B39" w14:textId="77777777" w:rsidR="00D166BF" w:rsidRPr="00D166BF" w:rsidRDefault="00D166BF" w:rsidP="00D166BF">
            <w:r w:rsidRPr="00D166BF">
              <w:t>CI/CD Pipeline 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4B787" w14:textId="77777777" w:rsidR="00D166BF" w:rsidRPr="00D166BF" w:rsidRDefault="00D166BF" w:rsidP="00D166BF">
            <w:r w:rsidRPr="00D166BF">
              <w:t xml:space="preserve">Immutable log of code changes and approvals </w:t>
            </w:r>
            <w:r w:rsidRPr="00D166BF">
              <w:rPr>
                <w:vertAlign w:val="superscript"/>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163E7" w14:textId="77777777" w:rsidR="00D166BF" w:rsidRPr="00D166BF" w:rsidRDefault="00D166BF" w:rsidP="00D166BF">
            <w:r w:rsidRPr="00D166BF">
              <w:t xml:space="preserve">Automated execution of model validation test suite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265AF" w14:textId="77777777" w:rsidR="00D166BF" w:rsidRPr="00D166BF" w:rsidRDefault="00D166BF" w:rsidP="00D166BF">
            <w:r w:rsidRPr="00D166BF">
              <w:t xml:space="preserve">SAST/DAST results (Security NFRs) </w:t>
            </w:r>
            <w:r w:rsidRPr="00D166BF">
              <w:rPr>
                <w:vertAlign w:val="superscript"/>
              </w:rPr>
              <w:t>6</w:t>
            </w:r>
          </w:p>
        </w:tc>
      </w:tr>
      <w:tr w:rsidR="00D166BF" w:rsidRPr="00D166BF" w14:paraId="31261F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ECF3C" w14:textId="77777777" w:rsidR="00D166BF" w:rsidRPr="00D166BF" w:rsidRDefault="00D166BF" w:rsidP="00D166BF">
            <w:r w:rsidRPr="00D166BF">
              <w:t>Policy-as-Code (OPA)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11B1E" w14:textId="77777777" w:rsidR="00D166BF" w:rsidRPr="00D166BF" w:rsidRDefault="00D166BF" w:rsidP="00D166BF">
            <w:r w:rsidRPr="00D166BF">
              <w:t xml:space="preserve">Enforces Segregation of Duties (SoD) </w:t>
            </w:r>
            <w:r w:rsidRPr="00D166BF">
              <w:rPr>
                <w:vertAlign w:val="superscript"/>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A4483" w14:textId="77777777" w:rsidR="00D166BF" w:rsidRPr="00D166BF" w:rsidRDefault="00D166BF" w:rsidP="00D166BF">
            <w:r w:rsidRPr="00D166BF">
              <w:t xml:space="preserve">Enforces model promotion based on validation score threshold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31DAD" w14:textId="77777777" w:rsidR="00D166BF" w:rsidRPr="00D166BF" w:rsidRDefault="00D166BF" w:rsidP="00D166BF">
            <w:r w:rsidRPr="00D166BF">
              <w:t xml:space="preserve">Enforces deployment security and environment consistency </w:t>
            </w:r>
            <w:r w:rsidRPr="00D166BF">
              <w:rPr>
                <w:vertAlign w:val="superscript"/>
              </w:rPr>
              <w:t>19</w:t>
            </w:r>
          </w:p>
        </w:tc>
      </w:tr>
      <w:tr w:rsidR="00D166BF" w:rsidRPr="00D166BF" w14:paraId="27EC25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AF828" w14:textId="77777777" w:rsidR="00D166BF" w:rsidRPr="00D166BF" w:rsidRDefault="00D166BF" w:rsidP="00D166BF">
            <w:r w:rsidRPr="00D166BF">
              <w:t>Dark Launch (Shadow Traffic)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ED8B1" w14:textId="77777777" w:rsidR="00D166BF" w:rsidRPr="00D166BF" w:rsidRDefault="00D166BF" w:rsidP="00D166BF">
            <w:r w:rsidRPr="00D166BF">
              <w:t xml:space="preserve">Provides pre-user NFR evidence required for system monitoring ITGC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BE70D" w14:textId="77777777" w:rsidR="00D166BF" w:rsidRPr="00D166BF" w:rsidRDefault="00D166BF" w:rsidP="00D166BF">
            <w:r w:rsidRPr="00D166BF">
              <w:t xml:space="preserve">Validates model performance under 100% production data load (Model Stress Test)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BB504" w14:textId="77777777" w:rsidR="00D166BF" w:rsidRPr="00D166BF" w:rsidRDefault="00D166BF" w:rsidP="00D166BF">
            <w:r w:rsidRPr="00D166BF">
              <w:t xml:space="preserve">Latency P99, Throughput, CPU/Memory Utilization comparison </w:t>
            </w:r>
            <w:r w:rsidRPr="00D166BF">
              <w:rPr>
                <w:vertAlign w:val="superscript"/>
              </w:rPr>
              <w:t>1</w:t>
            </w:r>
          </w:p>
        </w:tc>
      </w:tr>
      <w:tr w:rsidR="00D166BF" w:rsidRPr="00D166BF" w14:paraId="17EB70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2ECA8" w14:textId="77777777" w:rsidR="00D166BF" w:rsidRPr="00D166BF" w:rsidRDefault="00D166BF" w:rsidP="00D166BF">
            <w:r w:rsidRPr="00D166BF">
              <w:t>Observability Layer (Sentinel)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DAA85" w14:textId="77777777" w:rsidR="00D166BF" w:rsidRPr="00D166BF" w:rsidRDefault="00D166BF" w:rsidP="00D166BF">
            <w:r w:rsidRPr="00D166BF">
              <w:t xml:space="preserve">Continuous monitoring of access controls and system availability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380B7" w14:textId="77777777" w:rsidR="00D166BF" w:rsidRPr="00D166BF" w:rsidRDefault="00D166BF" w:rsidP="00D166BF">
            <w:r w:rsidRPr="00D166BF">
              <w:t xml:space="preserve">Real-time drift/bias detection with automated alerts (24-hour SLA)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DC27F" w14:textId="77777777" w:rsidR="00D166BF" w:rsidRPr="00D166BF" w:rsidRDefault="00D166BF" w:rsidP="00D166BF">
            <w:r w:rsidRPr="00D166BF">
              <w:t xml:space="preserve">Continuous validation of core business journey availability (Synthetic Testing) </w:t>
            </w:r>
            <w:r w:rsidRPr="00D166BF">
              <w:rPr>
                <w:vertAlign w:val="superscript"/>
              </w:rPr>
              <w:t>1</w:t>
            </w:r>
          </w:p>
        </w:tc>
      </w:tr>
      <w:tr w:rsidR="00D166BF" w:rsidRPr="00D166BF" w14:paraId="22C5BE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6B4D5" w14:textId="77777777" w:rsidR="00D166BF" w:rsidRPr="00D166BF" w:rsidRDefault="00D166BF" w:rsidP="00D166BF">
            <w:r w:rsidRPr="00D166BF">
              <w:t>WORM/Audit Trail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430DC" w14:textId="77777777" w:rsidR="00D166BF" w:rsidRPr="00D166BF" w:rsidRDefault="00D166BF" w:rsidP="00D166BF">
            <w:r w:rsidRPr="00D166BF">
              <w:t xml:space="preserve">Maintains SEC 17a-4 compliant record of system modifications </w:t>
            </w:r>
            <w:r w:rsidRPr="00D166BF">
              <w:rPr>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34DD3" w14:textId="77777777" w:rsidR="00D166BF" w:rsidRPr="00D166BF" w:rsidRDefault="00D166BF" w:rsidP="00D166BF">
            <w:r w:rsidRPr="00D166BF">
              <w:t xml:space="preserve">Immutable storage of model artifacts, training data, and decision logs </w:t>
            </w:r>
            <w:r w:rsidRPr="00D166BF">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D72B1" w14:textId="77777777" w:rsidR="00D166BF" w:rsidRPr="00D166BF" w:rsidRDefault="00D166BF" w:rsidP="00D166BF">
            <w:r w:rsidRPr="00D166BF">
              <w:t>Records all NFR and performance test result artifacts</w:t>
            </w:r>
          </w:p>
        </w:tc>
      </w:tr>
    </w:tbl>
    <w:p w14:paraId="17254D0F" w14:textId="77777777" w:rsidR="00D166BF" w:rsidRPr="00D166BF" w:rsidRDefault="00D166BF" w:rsidP="00D166BF">
      <w:pPr>
        <w:rPr>
          <w:b/>
          <w:bCs/>
        </w:rPr>
      </w:pPr>
      <w:r w:rsidRPr="00D166BF">
        <w:rPr>
          <w:b/>
          <w:bCs/>
        </w:rPr>
        <w:t>Conclusion</w:t>
      </w:r>
    </w:p>
    <w:p w14:paraId="0D09E64F" w14:textId="77777777" w:rsidR="00D166BF" w:rsidRPr="00D166BF" w:rsidRDefault="00D166BF" w:rsidP="00D166BF">
      <w:r w:rsidRPr="00D166BF">
        <w:t xml:space="preserve">The convergence of high-velocity software delivery (DevOps) with stringent financial regulation (SOX, FINRA, SEC) necessitates a unified "Continuous Compliance Fabric." This </w:t>
      </w:r>
      <w:r w:rsidRPr="00D166BF">
        <w:lastRenderedPageBreak/>
        <w:t>framework moves the industry beyond the costly, manual paradigm—evidenced by the $273 million allocated to technical debt—by embedding quality assurance and governance directly into the automated lifecycle.</w:t>
      </w:r>
    </w:p>
    <w:p w14:paraId="4FD51E78" w14:textId="77777777" w:rsidR="00D166BF" w:rsidRPr="00D166BF" w:rsidRDefault="00D166BF" w:rsidP="00D166BF">
      <w:r w:rsidRPr="00D166BF">
        <w:t>The architectural integration of Policy-as-Code provides the universal control layer, enforcing SOX ITGCs like Segregation of Duties and Change Management at machine speed. Simultaneously, MLOps platforms must be designed as auditable supervisory systems (FINRA Rule 3110), using continuous, statistical monitoring (The Sentinel) to detect AI-specific risks like bias and drift. Final architectural components, such as the Dark Launch and Canary deployment patterns, transform production exposure into measurable, contained quality assurance activities (Quad-4/Quad-3), generating the empirical evidence required for the modern Definition of Releasable. By adopting this compliance-first, data-driven approach, financial organizations can confidently achieve innovation and velocity while maintaining regulatory integrity and recapturing significant budget for strategic growth.</w:t>
      </w:r>
    </w:p>
    <w:p w14:paraId="7F293E98" w14:textId="77777777" w:rsidR="00404123" w:rsidRDefault="00404123"/>
    <w:sectPr w:rsidR="004041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1C86"/>
    <w:multiLevelType w:val="multilevel"/>
    <w:tmpl w:val="FA38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D4256"/>
    <w:multiLevelType w:val="multilevel"/>
    <w:tmpl w:val="4952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C28C6"/>
    <w:multiLevelType w:val="multilevel"/>
    <w:tmpl w:val="DBF8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53108"/>
    <w:multiLevelType w:val="multilevel"/>
    <w:tmpl w:val="8B8A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E0B6C"/>
    <w:multiLevelType w:val="multilevel"/>
    <w:tmpl w:val="B222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E23E2"/>
    <w:multiLevelType w:val="multilevel"/>
    <w:tmpl w:val="92BE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7666D"/>
    <w:multiLevelType w:val="multilevel"/>
    <w:tmpl w:val="79227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5E3B19"/>
    <w:multiLevelType w:val="multilevel"/>
    <w:tmpl w:val="FABA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745C6"/>
    <w:multiLevelType w:val="multilevel"/>
    <w:tmpl w:val="24A64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A46F6"/>
    <w:multiLevelType w:val="multilevel"/>
    <w:tmpl w:val="26285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242B2C"/>
    <w:multiLevelType w:val="multilevel"/>
    <w:tmpl w:val="BEA2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243BB"/>
    <w:multiLevelType w:val="multilevel"/>
    <w:tmpl w:val="1EE6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8412CE"/>
    <w:multiLevelType w:val="multilevel"/>
    <w:tmpl w:val="3F7A9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630FF"/>
    <w:multiLevelType w:val="multilevel"/>
    <w:tmpl w:val="B29A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B041E"/>
    <w:multiLevelType w:val="multilevel"/>
    <w:tmpl w:val="49D2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147B91"/>
    <w:multiLevelType w:val="multilevel"/>
    <w:tmpl w:val="5684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C2D01"/>
    <w:multiLevelType w:val="multilevel"/>
    <w:tmpl w:val="8CBA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00624D"/>
    <w:multiLevelType w:val="multilevel"/>
    <w:tmpl w:val="E4FA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E27A57"/>
    <w:multiLevelType w:val="multilevel"/>
    <w:tmpl w:val="63F6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11A80"/>
    <w:multiLevelType w:val="multilevel"/>
    <w:tmpl w:val="895E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4315A"/>
    <w:multiLevelType w:val="multilevel"/>
    <w:tmpl w:val="2164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4551C4"/>
    <w:multiLevelType w:val="multilevel"/>
    <w:tmpl w:val="1A4C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723D26"/>
    <w:multiLevelType w:val="multilevel"/>
    <w:tmpl w:val="3560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B228E9"/>
    <w:multiLevelType w:val="multilevel"/>
    <w:tmpl w:val="7B16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AC6AED"/>
    <w:multiLevelType w:val="multilevel"/>
    <w:tmpl w:val="B97A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594417">
    <w:abstractNumId w:val="23"/>
  </w:num>
  <w:num w:numId="2" w16cid:durableId="764764966">
    <w:abstractNumId w:val="1"/>
  </w:num>
  <w:num w:numId="3" w16cid:durableId="672798126">
    <w:abstractNumId w:val="3"/>
  </w:num>
  <w:num w:numId="4" w16cid:durableId="188762365">
    <w:abstractNumId w:val="19"/>
  </w:num>
  <w:num w:numId="5" w16cid:durableId="721296455">
    <w:abstractNumId w:val="13"/>
  </w:num>
  <w:num w:numId="6" w16cid:durableId="1380859328">
    <w:abstractNumId w:val="24"/>
  </w:num>
  <w:num w:numId="7" w16cid:durableId="56172773">
    <w:abstractNumId w:val="7"/>
  </w:num>
  <w:num w:numId="8" w16cid:durableId="682900932">
    <w:abstractNumId w:val="6"/>
  </w:num>
  <w:num w:numId="9" w16cid:durableId="2088841417">
    <w:abstractNumId w:val="9"/>
  </w:num>
  <w:num w:numId="10" w16cid:durableId="1643802570">
    <w:abstractNumId w:val="15"/>
  </w:num>
  <w:num w:numId="11" w16cid:durableId="2130666134">
    <w:abstractNumId w:val="16"/>
  </w:num>
  <w:num w:numId="12" w16cid:durableId="1158691272">
    <w:abstractNumId w:val="22"/>
  </w:num>
  <w:num w:numId="13" w16cid:durableId="99380629">
    <w:abstractNumId w:val="20"/>
  </w:num>
  <w:num w:numId="14" w16cid:durableId="1008018763">
    <w:abstractNumId w:val="8"/>
  </w:num>
  <w:num w:numId="15" w16cid:durableId="1306547784">
    <w:abstractNumId w:val="14"/>
  </w:num>
  <w:num w:numId="16" w16cid:durableId="437215144">
    <w:abstractNumId w:val="12"/>
  </w:num>
  <w:num w:numId="17" w16cid:durableId="1268193764">
    <w:abstractNumId w:val="18"/>
  </w:num>
  <w:num w:numId="18" w16cid:durableId="795031234">
    <w:abstractNumId w:val="0"/>
  </w:num>
  <w:num w:numId="19" w16cid:durableId="1145584838">
    <w:abstractNumId w:val="17"/>
  </w:num>
  <w:num w:numId="20" w16cid:durableId="1695381332">
    <w:abstractNumId w:val="5"/>
  </w:num>
  <w:num w:numId="21" w16cid:durableId="431828239">
    <w:abstractNumId w:val="2"/>
  </w:num>
  <w:num w:numId="22" w16cid:durableId="1603755602">
    <w:abstractNumId w:val="10"/>
  </w:num>
  <w:num w:numId="23" w16cid:durableId="707527238">
    <w:abstractNumId w:val="11"/>
  </w:num>
  <w:num w:numId="24" w16cid:durableId="736130490">
    <w:abstractNumId w:val="21"/>
  </w:num>
  <w:num w:numId="25" w16cid:durableId="10719227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6BF"/>
    <w:rsid w:val="000B4BBD"/>
    <w:rsid w:val="002908B7"/>
    <w:rsid w:val="00404123"/>
    <w:rsid w:val="009127D8"/>
    <w:rsid w:val="00C03BC3"/>
    <w:rsid w:val="00D166BF"/>
    <w:rsid w:val="00F74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FA7B2"/>
  <w15:chartTrackingRefBased/>
  <w15:docId w15:val="{BB1034DA-7F23-4B40-8EAD-7B15E58B0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6BF"/>
    <w:rPr>
      <w:rFonts w:eastAsiaTheme="majorEastAsia" w:cstheme="majorBidi"/>
      <w:color w:val="272727" w:themeColor="text1" w:themeTint="D8"/>
    </w:rPr>
  </w:style>
  <w:style w:type="paragraph" w:styleId="Title">
    <w:name w:val="Title"/>
    <w:basedOn w:val="Normal"/>
    <w:next w:val="Normal"/>
    <w:link w:val="TitleChar"/>
    <w:uiPriority w:val="10"/>
    <w:qFormat/>
    <w:rsid w:val="00D16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6BF"/>
    <w:pPr>
      <w:spacing w:before="160"/>
      <w:jc w:val="center"/>
    </w:pPr>
    <w:rPr>
      <w:i/>
      <w:iCs/>
      <w:color w:val="404040" w:themeColor="text1" w:themeTint="BF"/>
    </w:rPr>
  </w:style>
  <w:style w:type="character" w:customStyle="1" w:styleId="QuoteChar">
    <w:name w:val="Quote Char"/>
    <w:basedOn w:val="DefaultParagraphFont"/>
    <w:link w:val="Quote"/>
    <w:uiPriority w:val="29"/>
    <w:rsid w:val="00D166BF"/>
    <w:rPr>
      <w:i/>
      <w:iCs/>
      <w:color w:val="404040" w:themeColor="text1" w:themeTint="BF"/>
    </w:rPr>
  </w:style>
  <w:style w:type="paragraph" w:styleId="ListParagraph">
    <w:name w:val="List Paragraph"/>
    <w:basedOn w:val="Normal"/>
    <w:uiPriority w:val="34"/>
    <w:qFormat/>
    <w:rsid w:val="00D166BF"/>
    <w:pPr>
      <w:ind w:left="720"/>
      <w:contextualSpacing/>
    </w:pPr>
  </w:style>
  <w:style w:type="character" w:styleId="IntenseEmphasis">
    <w:name w:val="Intense Emphasis"/>
    <w:basedOn w:val="DefaultParagraphFont"/>
    <w:uiPriority w:val="21"/>
    <w:qFormat/>
    <w:rsid w:val="00D166BF"/>
    <w:rPr>
      <w:i/>
      <w:iCs/>
      <w:color w:val="0F4761" w:themeColor="accent1" w:themeShade="BF"/>
    </w:rPr>
  </w:style>
  <w:style w:type="paragraph" w:styleId="IntenseQuote">
    <w:name w:val="Intense Quote"/>
    <w:basedOn w:val="Normal"/>
    <w:next w:val="Normal"/>
    <w:link w:val="IntenseQuoteChar"/>
    <w:uiPriority w:val="30"/>
    <w:qFormat/>
    <w:rsid w:val="00D16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6BF"/>
    <w:rPr>
      <w:i/>
      <w:iCs/>
      <w:color w:val="0F4761" w:themeColor="accent1" w:themeShade="BF"/>
    </w:rPr>
  </w:style>
  <w:style w:type="character" w:styleId="IntenseReference">
    <w:name w:val="Intense Reference"/>
    <w:basedOn w:val="DefaultParagraphFont"/>
    <w:uiPriority w:val="32"/>
    <w:qFormat/>
    <w:rsid w:val="00D166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28</Pages>
  <Words>6798</Words>
  <Characters>45418</Characters>
  <Application>Microsoft Office Word</Application>
  <DocSecurity>0</DocSecurity>
  <Lines>1164</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Gifford</dc:creator>
  <cp:keywords/>
  <dc:description/>
  <cp:lastModifiedBy>James Gifford</cp:lastModifiedBy>
  <cp:revision>2</cp:revision>
  <dcterms:created xsi:type="dcterms:W3CDTF">2025-10-22T05:40:00Z</dcterms:created>
  <dcterms:modified xsi:type="dcterms:W3CDTF">2026-04-10T05:09:00Z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2e7ac6ea-1a91-4a72-a8df-7358752764b0</vt:lpwstr>
  </property>
</Properties>
</file>