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pPr>
      <w:r>
        <w:rPr>
          <w:rFonts w:ascii="Aptos Display" w:hAnsi="Aptos Display"/>
          <w:b/>
          <w:color w:val="167D8D"/>
          <w:sz w:val="24"/>
        </w:rPr>
        <w:t>FLOWTRAIN PRO</w:t>
      </w:r>
    </w:p>
    <w:p>
      <w:pPr>
        <w:pStyle w:val="Title"/>
      </w:pPr>
      <w:r>
        <w:t>James Gifford</w:t>
        <w:br/>
        <w:t>Writing Style Profile</w:t>
      </w:r>
    </w:p>
    <w:p>
      <w:pPr>
        <w:pStyle w:val="Subtitle"/>
      </w:pPr>
      <w:r>
        <w:t>A reusable voice, structure, and editing system for future articles</w:t>
      </w:r>
    </w:p>
    <w:tbl>
      <w:tblPr>
        <w:tblW w:type="auto" w:w="0"/>
        <w:tblLayout w:type="fixed"/>
        <w:tblLook w:firstColumn="1" w:firstRow="1" w:lastColumn="0" w:lastRow="0" w:noHBand="0" w:noVBand="1" w:val="04A0"/>
      </w:tblPr>
      <w:tblGrid>
        <w:gridCol w:w="9720"/>
      </w:tblGrid>
      <w:tr>
        <w:tc>
          <w:tcPr>
            <w:tcW w:type="dxa" w:w="9792"/>
            <w:shd w:fill="EAF1F6"/>
            <w:tcMar>
              <w:top w:w="130" w:type="dxa"/>
              <w:start w:w="170" w:type="dxa"/>
              <w:bottom w:w="130" w:type="dxa"/>
              <w:end w:w="170" w:type="dxa"/>
            </w:tcMar>
          </w:tcPr>
          <w:p>
            <w:pPr>
              <w:spacing w:after="0"/>
            </w:pPr>
            <w:r/>
            <w:r>
              <w:rPr>
                <w:b/>
                <w:color w:val="167D8D"/>
              </w:rPr>
              <w:t xml:space="preserve">CORE VOICE  </w:t>
            </w:r>
            <w:r>
              <w:rPr>
                <w:color w:val="1F252B"/>
              </w:rPr>
              <w:t>A pragmatic strategic advisor who reframes complex product and transformation problems, connects complementary frameworks, and turns theory into an operating model leaders can use.</w:t>
            </w:r>
          </w:p>
        </w:tc>
      </w:tr>
    </w:tbl>
    <w:p>
      <w:pPr>
        <w:spacing w:after="0"/>
      </w:pPr>
    </w:p>
    <w:p>
      <w:pPr>
        <w:pStyle w:val="Lead"/>
        <w:spacing w:before="360"/>
      </w:pPr>
      <w:r>
        <w:t>This profile is based on approximately 10,200 words across four articles. It emphasizes the mature patterns that recur across the body of work while separating genuine voice characteristics from one-off formatting choices and generic source language.</w:t>
      </w:r>
    </w:p>
    <w:p>
      <w:pPr>
        <w:pStyle w:val="SmallNote"/>
      </w:pPr>
      <w:r>
        <w:t>Prepared August 2026</w:t>
      </w:r>
    </w:p>
    <w:p>
      <w:r>
        <w:br w:type="page"/>
      </w:r>
    </w:p>
    <w:p>
      <w:pPr>
        <w:pStyle w:val="Heading1"/>
      </w:pPr>
      <w:r>
        <w:t>1. Style at a Glance</w:t>
      </w:r>
    </w:p>
    <w:tbl>
      <w:tblPr>
        <w:tblW w:type="auto" w:w="0"/>
        <w:jc w:val="center"/>
        <w:tblLayout w:type="fixed"/>
        <w:tblLook w:firstColumn="1" w:firstRow="1" w:lastColumn="0" w:lastRow="0" w:noHBand="0" w:noVBand="1" w:val="04A0"/>
      </w:tblPr>
      <w:tblGrid>
        <w:gridCol w:w="4896"/>
        <w:gridCol w:w="4896"/>
      </w:tblGrid>
      <w:tr>
        <w:tc>
          <w:tcPr>
            <w:tcW w:type="dxa" w:w="2232"/>
            <w:vAlign w:val="center"/>
            <w:tcMar>
              <w:top w:w="90" w:type="dxa"/>
              <w:start w:w="120" w:type="dxa"/>
              <w:bottom w:w="90" w:type="dxa"/>
              <w:end w:w="120" w:type="dxa"/>
            </w:tcMar>
            <w:shd w:fill="17324D"/>
          </w:tcPr>
          <w:p>
            <w:pPr>
              <w:spacing w:after="0" w:line="259" w:lineRule="auto"/>
            </w:pPr>
            <w:r/>
            <w:r>
              <w:rPr>
                <w:rFonts w:ascii="Aptos" w:hAnsi="Aptos"/>
                <w:b/>
                <w:color w:val="FFFFFF"/>
                <w:sz w:val="18"/>
              </w:rPr>
              <w:t>Dimension</w:t>
            </w:r>
          </w:p>
        </w:tc>
        <w:tc>
          <w:tcPr>
            <w:tcW w:type="dxa" w:w="7488"/>
            <w:vAlign w:val="center"/>
            <w:tcMar>
              <w:top w:w="90" w:type="dxa"/>
              <w:start w:w="120" w:type="dxa"/>
              <w:bottom w:w="90" w:type="dxa"/>
              <w:end w:w="120" w:type="dxa"/>
            </w:tcMar>
            <w:shd w:fill="17324D"/>
          </w:tcPr>
          <w:p>
            <w:pPr>
              <w:spacing w:after="0" w:line="259" w:lineRule="auto"/>
            </w:pPr>
            <w:r/>
            <w:r>
              <w:rPr>
                <w:rFonts w:ascii="Aptos" w:hAnsi="Aptos"/>
                <w:b/>
                <w:color w:val="FFFFFF"/>
                <w:sz w:val="18"/>
              </w:rPr>
              <w:t>FlowTrain Pro default</w:t>
            </w:r>
          </w:p>
        </w:tc>
      </w:tr>
      <w:tr>
        <w:tc>
          <w:tcPr>
            <w:tcW w:type="dxa" w:w="2232"/>
            <w:vAlign w:val="center"/>
            <w:tcMar>
              <w:top w:w="90" w:type="dxa"/>
              <w:start w:w="120" w:type="dxa"/>
              <w:bottom w:w="90" w:type="dxa"/>
              <w:end w:w="120" w:type="dxa"/>
            </w:tcMar>
            <w:shd w:fill="FFFFFF"/>
          </w:tcPr>
          <w:p>
            <w:pPr>
              <w:spacing w:after="0" w:line="259" w:lineRule="auto"/>
            </w:pPr>
            <w:r/>
            <w:r>
              <w:rPr>
                <w:rFonts w:ascii="Aptos" w:hAnsi="Aptos"/>
                <w:b/>
                <w:color w:val="17324D"/>
                <w:sz w:val="19"/>
              </w:rPr>
              <w:t>Role on the page</w:t>
            </w:r>
          </w:p>
        </w:tc>
        <w:tc>
          <w:tcPr>
            <w:tcW w:type="dxa" w:w="748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Strategic practitioner and translator—not a distant academic and not a motivational commentator.</w:t>
            </w:r>
          </w:p>
        </w:tc>
      </w:tr>
      <w:tr>
        <w:tc>
          <w:tcPr>
            <w:tcW w:type="dxa" w:w="2232"/>
            <w:vAlign w:val="center"/>
            <w:tcMar>
              <w:top w:w="90" w:type="dxa"/>
              <w:start w:w="120" w:type="dxa"/>
              <w:bottom w:w="90" w:type="dxa"/>
              <w:end w:w="120" w:type="dxa"/>
            </w:tcMar>
            <w:shd w:fill="F4F7F9"/>
          </w:tcPr>
          <w:p>
            <w:pPr>
              <w:spacing w:after="0" w:line="259" w:lineRule="auto"/>
            </w:pPr>
            <w:r/>
            <w:r>
              <w:rPr>
                <w:rFonts w:ascii="Aptos" w:hAnsi="Aptos"/>
                <w:b/>
                <w:color w:val="17324D"/>
                <w:sz w:val="19"/>
              </w:rPr>
              <w:t>Primary purpose</w:t>
            </w:r>
          </w:p>
        </w:tc>
        <w:tc>
          <w:tcPr>
            <w:tcW w:type="dxa" w:w="748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Help leaders understand a complex operating problem, see the relationships among its parts, and act with greater coherence.</w:t>
            </w:r>
          </w:p>
        </w:tc>
      </w:tr>
      <w:tr>
        <w:tc>
          <w:tcPr>
            <w:tcW w:type="dxa" w:w="2232"/>
            <w:vAlign w:val="center"/>
            <w:tcMar>
              <w:top w:w="90" w:type="dxa"/>
              <w:start w:w="120" w:type="dxa"/>
              <w:bottom w:w="90" w:type="dxa"/>
              <w:end w:w="120" w:type="dxa"/>
            </w:tcMar>
            <w:shd w:fill="FFFFFF"/>
          </w:tcPr>
          <w:p>
            <w:pPr>
              <w:spacing w:after="0" w:line="259" w:lineRule="auto"/>
            </w:pPr>
            <w:r/>
            <w:r>
              <w:rPr>
                <w:rFonts w:ascii="Aptos" w:hAnsi="Aptos"/>
                <w:b/>
                <w:color w:val="17324D"/>
                <w:sz w:val="19"/>
              </w:rPr>
              <w:t>Tone</w:t>
            </w:r>
          </w:p>
        </w:tc>
        <w:tc>
          <w:tcPr>
            <w:tcW w:type="dxa" w:w="748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Business-professional, confident, educational, constructive, and grounded in organizational reality.</w:t>
            </w:r>
          </w:p>
        </w:tc>
      </w:tr>
      <w:tr>
        <w:tc>
          <w:tcPr>
            <w:tcW w:type="dxa" w:w="2232"/>
            <w:vAlign w:val="center"/>
            <w:tcMar>
              <w:top w:w="90" w:type="dxa"/>
              <w:start w:w="120" w:type="dxa"/>
              <w:bottom w:w="90" w:type="dxa"/>
              <w:end w:w="120" w:type="dxa"/>
            </w:tcMar>
            <w:shd w:fill="F4F7F9"/>
          </w:tcPr>
          <w:p>
            <w:pPr>
              <w:spacing w:after="0" w:line="259" w:lineRule="auto"/>
            </w:pPr>
            <w:r/>
            <w:r>
              <w:rPr>
                <w:rFonts w:ascii="Aptos" w:hAnsi="Aptos"/>
                <w:b/>
                <w:color w:val="17324D"/>
                <w:sz w:val="19"/>
              </w:rPr>
              <w:t>Point of view</w:t>
            </w:r>
          </w:p>
        </w:tc>
        <w:tc>
          <w:tcPr>
            <w:tcW w:type="dxa" w:w="748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Mostly third person and organizational; use “you” selectively to make an example concrete. Reserve “I” for explicit opinion or lived experience.</w:t>
            </w:r>
          </w:p>
        </w:tc>
      </w:tr>
      <w:tr>
        <w:tc>
          <w:tcPr>
            <w:tcW w:type="dxa" w:w="2232"/>
            <w:vAlign w:val="center"/>
            <w:tcMar>
              <w:top w:w="90" w:type="dxa"/>
              <w:start w:w="120" w:type="dxa"/>
              <w:bottom w:w="90" w:type="dxa"/>
              <w:end w:w="120" w:type="dxa"/>
            </w:tcMar>
            <w:shd w:fill="FFFFFF"/>
          </w:tcPr>
          <w:p>
            <w:pPr>
              <w:spacing w:after="0" w:line="259" w:lineRule="auto"/>
            </w:pPr>
            <w:r/>
            <w:r>
              <w:rPr>
                <w:rFonts w:ascii="Aptos" w:hAnsi="Aptos"/>
                <w:b/>
                <w:color w:val="17324D"/>
                <w:sz w:val="19"/>
              </w:rPr>
              <w:t>Signature move</w:t>
            </w:r>
          </w:p>
        </w:tc>
        <w:tc>
          <w:tcPr>
            <w:tcW w:type="dxa" w:w="748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Replace a false either/or choice with an integrated model: traditional and digital products, capability and sustainability, business and technology, autonomy and governance.</w:t>
            </w:r>
          </w:p>
        </w:tc>
      </w:tr>
      <w:tr>
        <w:tc>
          <w:tcPr>
            <w:tcW w:type="dxa" w:w="2232"/>
            <w:vAlign w:val="center"/>
            <w:tcMar>
              <w:top w:w="90" w:type="dxa"/>
              <w:start w:w="120" w:type="dxa"/>
              <w:bottom w:w="90" w:type="dxa"/>
              <w:end w:w="120" w:type="dxa"/>
            </w:tcMar>
            <w:shd w:fill="F4F7F9"/>
          </w:tcPr>
          <w:p>
            <w:pPr>
              <w:spacing w:after="0" w:line="259" w:lineRule="auto"/>
            </w:pPr>
            <w:r/>
            <w:r>
              <w:rPr>
                <w:rFonts w:ascii="Aptos" w:hAnsi="Aptos"/>
                <w:b/>
                <w:color w:val="17324D"/>
                <w:sz w:val="19"/>
              </w:rPr>
              <w:t>Reader experience</w:t>
            </w:r>
          </w:p>
        </w:tc>
        <w:tc>
          <w:tcPr>
            <w:tcW w:type="dxa" w:w="748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Start with the strategic stakes, clarify terms, build a connected framework, then close with practical implications.</w:t>
            </w:r>
          </w:p>
        </w:tc>
      </w:tr>
      <w:tr>
        <w:tc>
          <w:tcPr>
            <w:tcW w:type="dxa" w:w="2232"/>
            <w:vAlign w:val="center"/>
            <w:tcMar>
              <w:top w:w="90" w:type="dxa"/>
              <w:start w:w="120" w:type="dxa"/>
              <w:bottom w:w="90" w:type="dxa"/>
              <w:end w:w="120" w:type="dxa"/>
            </w:tcMar>
            <w:shd w:fill="FFFFFF"/>
          </w:tcPr>
          <w:p>
            <w:pPr>
              <w:spacing w:after="0" w:line="259" w:lineRule="auto"/>
            </w:pPr>
            <w:r/>
            <w:r>
              <w:rPr>
                <w:rFonts w:ascii="Aptos" w:hAnsi="Aptos"/>
                <w:b/>
                <w:color w:val="17324D"/>
                <w:sz w:val="19"/>
              </w:rPr>
              <w:t>Evidence posture</w:t>
            </w:r>
          </w:p>
        </w:tc>
        <w:tc>
          <w:tcPr>
            <w:tcW w:type="dxa" w:w="748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Use frameworks and sources to strengthen an argument. Explain why each matters instead of name-dropping.</w:t>
            </w:r>
          </w:p>
        </w:tc>
      </w:tr>
      <w:tr>
        <w:tc>
          <w:tcPr>
            <w:tcW w:type="dxa" w:w="2232"/>
            <w:vAlign w:val="center"/>
            <w:tcMar>
              <w:top w:w="90" w:type="dxa"/>
              <w:start w:w="120" w:type="dxa"/>
              <w:bottom w:w="90" w:type="dxa"/>
              <w:end w:w="120" w:type="dxa"/>
            </w:tcMar>
            <w:shd w:fill="F4F7F9"/>
          </w:tcPr>
          <w:p>
            <w:pPr>
              <w:spacing w:after="0" w:line="259" w:lineRule="auto"/>
            </w:pPr>
            <w:r/>
            <w:r>
              <w:rPr>
                <w:rFonts w:ascii="Aptos" w:hAnsi="Aptos"/>
                <w:b/>
                <w:color w:val="17324D"/>
                <w:sz w:val="19"/>
              </w:rPr>
              <w:t>Typical audience</w:t>
            </w:r>
          </w:p>
        </w:tc>
        <w:tc>
          <w:tcPr>
            <w:tcW w:type="dxa" w:w="748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Product leaders, enterprise executives, transformation leaders, coaches, platform teams, and cross-functional practitioners.</w:t>
            </w:r>
          </w:p>
        </w:tc>
      </w:tr>
    </w:tbl>
    <w:p>
      <w:pPr>
        <w:spacing w:after="0"/>
      </w:pPr>
    </w:p>
    <w:p>
      <w:pPr>
        <w:pStyle w:val="Heading2"/>
      </w:pPr>
      <w:r>
        <w:t>The one-sentence style definition</w:t>
      </w:r>
    </w:p>
    <w:tbl>
      <w:tblPr>
        <w:tblW w:type="auto" w:w="0"/>
        <w:tblLayout w:type="fixed"/>
        <w:tblLook w:firstColumn="1" w:firstRow="1" w:lastColumn="0" w:lastRow="0" w:noHBand="0" w:noVBand="1" w:val="04A0"/>
      </w:tblPr>
      <w:tblGrid>
        <w:gridCol w:w="9720"/>
      </w:tblGrid>
      <w:tr>
        <w:tc>
          <w:tcPr>
            <w:tcW w:type="dxa" w:w="9792"/>
            <w:shd w:fill="E6F2F3"/>
            <w:tcMar>
              <w:top w:w="130" w:type="dxa"/>
              <w:start w:w="170" w:type="dxa"/>
              <w:bottom w:w="130" w:type="dxa"/>
              <w:end w:w="170" w:type="dxa"/>
            </w:tcMar>
          </w:tcPr>
          <w:p>
            <w:pPr>
              <w:spacing w:after="0"/>
            </w:pPr>
            <w:r/>
            <w:r>
              <w:rPr>
                <w:b/>
                <w:color w:val="167D8D"/>
              </w:rPr>
              <w:t xml:space="preserve">FLOWTRAIN PRO  </w:t>
            </w:r>
            <w:r>
              <w:rPr>
                <w:color w:val="1F252B"/>
              </w:rPr>
              <w:t>Write as an experienced product and transformation leader who makes complexity understandable without flattening it, links concepts into a coherent system, and leaves the reader with a practical way to think and act.</w:t>
            </w:r>
          </w:p>
        </w:tc>
      </w:tr>
    </w:tbl>
    <w:p>
      <w:pPr>
        <w:spacing w:after="0"/>
      </w:pPr>
    </w:p>
    <w:p>
      <w:pPr>
        <w:pStyle w:val="Heading2"/>
      </w:pPr>
      <w:r>
        <w:t>What makes the voice distinct</w:t>
      </w:r>
    </w:p>
    <w:p>
      <w:pPr>
        <w:pStyle w:val="ListBullet"/>
        <w:spacing w:after="80"/>
        <w:ind w:left="403" w:hanging="259"/>
      </w:pPr>
      <w:r>
        <w:t>Systems thinking with practical intent. Individual methods are presented as connected parts of an operating environment, not isolated best practices.</w:t>
      </w:r>
    </w:p>
    <w:p>
      <w:pPr>
        <w:pStyle w:val="ListBullet"/>
        <w:spacing w:after="80"/>
        <w:ind w:left="403" w:hanging="259"/>
      </w:pPr>
      <w:r>
        <w:t>Constructive reframing. The writing often moves the reader from a limited frame—features, maturity, technology adoption, local optimization—to a more useful frame centered on outcomes, capabilities, customers, and organizational flow.</w:t>
      </w:r>
    </w:p>
    <w:p>
      <w:pPr>
        <w:pStyle w:val="ListBullet"/>
        <w:spacing w:after="80"/>
        <w:ind w:left="403" w:hanging="259"/>
      </w:pPr>
      <w:r>
        <w:t>Dual fluency. Business, product, technology, governance, UX, and organizational design are translated into language that allows different functions to work from the same mental model.</w:t>
      </w:r>
    </w:p>
    <w:p>
      <w:pPr>
        <w:pStyle w:val="ListBullet"/>
        <w:spacing w:after="80"/>
        <w:ind w:left="403" w:hanging="259"/>
      </w:pPr>
      <w:r>
        <w:t>Measured confidence. Recommendations are clear, but the voice recognizes context, tradeoffs, and the danger of rigid implementation.</w:t>
      </w:r>
    </w:p>
    <w:p>
      <w:pPr>
        <w:pStyle w:val="ListBullet"/>
        <w:spacing w:after="80"/>
        <w:ind w:left="403" w:hanging="259"/>
      </w:pPr>
      <w:r>
        <w:t>Teaching through architecture. Headings, frameworks, contrasts, and examples do much of the explanatory work; the reader can follow the logic even while skimming.</w:t>
      </w:r>
    </w:p>
    <w:p>
      <w:pPr>
        <w:pStyle w:val="Heading2"/>
      </w:pPr>
      <w:r>
        <w:t>Patterns that are not core voice</w:t>
      </w:r>
    </w:p>
    <w:p>
      <w:pPr>
        <w:pStyle w:val="ListBullet"/>
        <w:spacing w:after="80"/>
        <w:ind w:left="403" w:hanging="259"/>
      </w:pPr>
      <w:r>
        <w:t>Checkmark icons and heavily checklist-driven formatting. These occur in the governance artifact but conflict with your broader preference for restrained professional presentation.</w:t>
      </w:r>
    </w:p>
    <w:p>
      <w:pPr>
        <w:pStyle w:val="ListBullet"/>
        <w:spacing w:after="80"/>
        <w:ind w:left="403" w:hanging="259"/>
      </w:pPr>
      <w:r>
        <w:t>Generic openings such as “In today’s rapidly evolving business landscape.” The underlying move—establishing context—is useful, but future articles should open with a sharper tension, consequence, or claim.</w:t>
      </w:r>
    </w:p>
    <w:p>
      <w:pPr>
        <w:pStyle w:val="ListBullet"/>
        <w:spacing w:after="80"/>
        <w:ind w:left="403" w:hanging="259"/>
      </w:pPr>
      <w:r>
        <w:t>Very long research-report sentences. They show analytical depth, but should be split when a sentence carries more than one major claim plus supporting qualifications.</w:t>
      </w:r>
    </w:p>
    <w:p>
      <w:pPr>
        <w:pStyle w:val="ListBullet"/>
        <w:spacing w:after="80"/>
        <w:ind w:left="403" w:hanging="259"/>
      </w:pPr>
      <w:r>
        <w:t>Framework accumulation without synthesis. Naming JTBD, Team Topologies, DDD, OKRs, or other methods is valuable only when their relationship is made explicit.</w:t>
      </w:r>
    </w:p>
    <w:p>
      <w:pPr>
        <w:pStyle w:val="Heading1"/>
      </w:pPr>
      <w:r>
        <w:t>2. Voice and Tone</w:t>
      </w:r>
    </w:p>
    <w:p>
      <w:pPr>
        <w:pStyle w:val="Heading2"/>
      </w:pPr>
      <w:r>
        <w:t>The narrator</w:t>
      </w:r>
    </w:p>
    <w:p>
      <w:r>
        <w:t>The FlowTrain Pro narrator is inside the work. The voice understands how transformation becomes constrained by legacy systems, silos, incentives, governance boundaries, and competing definitions of value. It does not dramatize those constraints; it explains them and offers a more coherent way forward.</w:t>
      </w:r>
    </w:p>
    <w:tbl>
      <w:tblPr>
        <w:tblW w:type="auto" w:w="0"/>
        <w:jc w:val="center"/>
        <w:tblLayout w:type="fixed"/>
        <w:tblLook w:firstColumn="1" w:firstRow="1" w:lastColumn="0" w:lastRow="0" w:noHBand="0" w:noVBand="1" w:val="04A0"/>
      </w:tblPr>
      <w:tblGrid>
        <w:gridCol w:w="4896"/>
        <w:gridCol w:w="4896"/>
      </w:tblGrid>
      <w:tr>
        <w:tc>
          <w:tcPr>
            <w:tcW w:type="dxa" w:w="4824"/>
            <w:vAlign w:val="center"/>
            <w:tcMar>
              <w:top w:w="90" w:type="dxa"/>
              <w:start w:w="120" w:type="dxa"/>
              <w:bottom w:w="90" w:type="dxa"/>
              <w:end w:w="120" w:type="dxa"/>
            </w:tcMar>
            <w:shd w:fill="17324D"/>
          </w:tcPr>
          <w:p>
            <w:pPr>
              <w:spacing w:after="0" w:line="259" w:lineRule="auto"/>
            </w:pPr>
            <w:r/>
            <w:r>
              <w:rPr>
                <w:rFonts w:ascii="Aptos" w:hAnsi="Aptos"/>
                <w:b/>
                <w:color w:val="FFFFFF"/>
                <w:sz w:val="18"/>
              </w:rPr>
              <w:t>Use more of</w:t>
            </w:r>
          </w:p>
        </w:tc>
        <w:tc>
          <w:tcPr>
            <w:tcW w:type="dxa" w:w="4896"/>
            <w:vAlign w:val="center"/>
            <w:tcMar>
              <w:top w:w="90" w:type="dxa"/>
              <w:start w:w="120" w:type="dxa"/>
              <w:bottom w:w="90" w:type="dxa"/>
              <w:end w:w="120" w:type="dxa"/>
            </w:tcMar>
            <w:shd w:fill="17324D"/>
          </w:tcPr>
          <w:p>
            <w:pPr>
              <w:spacing w:after="0" w:line="259" w:lineRule="auto"/>
            </w:pPr>
            <w:r/>
            <w:r>
              <w:rPr>
                <w:rFonts w:ascii="Aptos" w:hAnsi="Aptos"/>
                <w:b/>
                <w:color w:val="FFFFFF"/>
                <w:sz w:val="18"/>
              </w:rPr>
              <w:t>Use less of</w:t>
            </w:r>
          </w:p>
        </w:tc>
      </w:tr>
      <w:tr>
        <w:tc>
          <w:tcPr>
            <w:tcW w:type="dxa" w:w="4824"/>
            <w:vAlign w:val="center"/>
            <w:tcMar>
              <w:top w:w="90" w:type="dxa"/>
              <w:start w:w="120" w:type="dxa"/>
              <w:bottom w:w="90" w:type="dxa"/>
              <w:end w:w="120" w:type="dxa"/>
            </w:tcMar>
            <w:shd w:fill="FFFFFF"/>
          </w:tcPr>
          <w:p>
            <w:pPr>
              <w:spacing w:after="0" w:line="259" w:lineRule="auto"/>
            </w:pPr>
            <w:r/>
            <w:r>
              <w:rPr>
                <w:rFonts w:ascii="Aptos" w:hAnsi="Aptos"/>
                <w:b/>
                <w:color w:val="17324D"/>
                <w:sz w:val="19"/>
              </w:rPr>
              <w:t>Clear claims supported by reasoning</w:t>
            </w:r>
          </w:p>
        </w:tc>
        <w:tc>
          <w:tcPr>
            <w:tcW w:type="dxa" w:w="4896"/>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Absolute claims presented as universal truth</w:t>
            </w:r>
          </w:p>
        </w:tc>
      </w:tr>
      <w:tr>
        <w:tc>
          <w:tcPr>
            <w:tcW w:type="dxa" w:w="4824"/>
            <w:vAlign w:val="center"/>
            <w:tcMar>
              <w:top w:w="90" w:type="dxa"/>
              <w:start w:w="120" w:type="dxa"/>
              <w:bottom w:w="90" w:type="dxa"/>
              <w:end w:w="120" w:type="dxa"/>
            </w:tcMar>
            <w:shd w:fill="F4F7F9"/>
          </w:tcPr>
          <w:p>
            <w:pPr>
              <w:spacing w:after="0" w:line="259" w:lineRule="auto"/>
            </w:pPr>
            <w:r/>
            <w:r>
              <w:rPr>
                <w:rFonts w:ascii="Aptos" w:hAnsi="Aptos"/>
                <w:b/>
                <w:color w:val="17324D"/>
                <w:sz w:val="19"/>
              </w:rPr>
              <w:t>Strategic language tied to operating consequences</w:t>
            </w:r>
          </w:p>
        </w:tc>
        <w:tc>
          <w:tcPr>
            <w:tcW w:type="dxa" w:w="4896"/>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Abstract corporate language with no decision or behavior attached</w:t>
            </w:r>
          </w:p>
        </w:tc>
      </w:tr>
      <w:tr>
        <w:tc>
          <w:tcPr>
            <w:tcW w:type="dxa" w:w="4824"/>
            <w:vAlign w:val="center"/>
            <w:tcMar>
              <w:top w:w="90" w:type="dxa"/>
              <w:start w:w="120" w:type="dxa"/>
              <w:bottom w:w="90" w:type="dxa"/>
              <w:end w:w="120" w:type="dxa"/>
            </w:tcMar>
            <w:shd w:fill="FFFFFF"/>
          </w:tcPr>
          <w:p>
            <w:pPr>
              <w:spacing w:after="0" w:line="259" w:lineRule="auto"/>
            </w:pPr>
            <w:r/>
            <w:r>
              <w:rPr>
                <w:rFonts w:ascii="Aptos" w:hAnsi="Aptos"/>
                <w:b/>
                <w:color w:val="17324D"/>
                <w:sz w:val="19"/>
              </w:rPr>
              <w:t>Constructive contrasts: from X toward Y</w:t>
            </w:r>
          </w:p>
        </w:tc>
        <w:tc>
          <w:tcPr>
            <w:tcW w:type="dxa" w:w="4896"/>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Dismissive declarations that the old approach is simply wrong</w:t>
            </w:r>
          </w:p>
        </w:tc>
      </w:tr>
      <w:tr>
        <w:tc>
          <w:tcPr>
            <w:tcW w:type="dxa" w:w="4824"/>
            <w:vAlign w:val="center"/>
            <w:tcMar>
              <w:top w:w="90" w:type="dxa"/>
              <w:start w:w="120" w:type="dxa"/>
              <w:bottom w:w="90" w:type="dxa"/>
              <w:end w:w="120" w:type="dxa"/>
            </w:tcMar>
            <w:shd w:fill="F4F7F9"/>
          </w:tcPr>
          <w:p>
            <w:pPr>
              <w:spacing w:after="0" w:line="259" w:lineRule="auto"/>
            </w:pPr>
            <w:r/>
            <w:r>
              <w:rPr>
                <w:rFonts w:ascii="Aptos" w:hAnsi="Aptos"/>
                <w:b/>
                <w:color w:val="17324D"/>
                <w:sz w:val="19"/>
              </w:rPr>
              <w:t>Qualified confidence: often, tends to, when, in complex domains</w:t>
            </w:r>
          </w:p>
        </w:tc>
        <w:tc>
          <w:tcPr>
            <w:tcW w:type="dxa" w:w="4896"/>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Excessive hedging that makes the recommendation disappear</w:t>
            </w:r>
          </w:p>
        </w:tc>
      </w:tr>
      <w:tr>
        <w:tc>
          <w:tcPr>
            <w:tcW w:type="dxa" w:w="4824"/>
            <w:vAlign w:val="center"/>
            <w:tcMar>
              <w:top w:w="90" w:type="dxa"/>
              <w:start w:w="120" w:type="dxa"/>
              <w:bottom w:w="90" w:type="dxa"/>
              <w:end w:w="120" w:type="dxa"/>
            </w:tcMar>
            <w:shd w:fill="FFFFFF"/>
          </w:tcPr>
          <w:p>
            <w:pPr>
              <w:spacing w:after="0" w:line="259" w:lineRule="auto"/>
            </w:pPr>
            <w:r/>
            <w:r>
              <w:rPr>
                <w:rFonts w:ascii="Aptos" w:hAnsi="Aptos"/>
                <w:b/>
                <w:color w:val="17324D"/>
                <w:sz w:val="19"/>
              </w:rPr>
              <w:t>Concrete organizational examples</w:t>
            </w:r>
          </w:p>
        </w:tc>
        <w:tc>
          <w:tcPr>
            <w:tcW w:type="dxa" w:w="4896"/>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Metaphors that become more prominent than the idea</w:t>
            </w:r>
          </w:p>
        </w:tc>
      </w:tr>
      <w:tr>
        <w:tc>
          <w:tcPr>
            <w:tcW w:type="dxa" w:w="4824"/>
            <w:vAlign w:val="center"/>
            <w:tcMar>
              <w:top w:w="90" w:type="dxa"/>
              <w:start w:w="120" w:type="dxa"/>
              <w:bottom w:w="90" w:type="dxa"/>
              <w:end w:w="120" w:type="dxa"/>
            </w:tcMar>
            <w:shd w:fill="F4F7F9"/>
          </w:tcPr>
          <w:p>
            <w:pPr>
              <w:spacing w:after="0" w:line="259" w:lineRule="auto"/>
            </w:pPr>
            <w:r/>
            <w:r>
              <w:rPr>
                <w:rFonts w:ascii="Aptos" w:hAnsi="Aptos"/>
                <w:b/>
                <w:color w:val="17324D"/>
                <w:sz w:val="19"/>
              </w:rPr>
              <w:t>Plain language around technical concepts</w:t>
            </w:r>
          </w:p>
        </w:tc>
        <w:tc>
          <w:tcPr>
            <w:tcW w:type="dxa" w:w="4896"/>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Jargon used as evidence of expertise</w:t>
            </w:r>
          </w:p>
        </w:tc>
      </w:tr>
    </w:tbl>
    <w:p>
      <w:pPr>
        <w:spacing w:after="0"/>
      </w:pPr>
    </w:p>
    <w:p>
      <w:pPr>
        <w:pStyle w:val="Heading2"/>
      </w:pPr>
      <w:r>
        <w:t>Tone sliders</w:t>
      </w:r>
    </w:p>
    <w:tbl>
      <w:tblPr>
        <w:tblW w:type="auto" w:w="0"/>
        <w:jc w:val="center"/>
        <w:tblLayout w:type="fixed"/>
        <w:tblLook w:firstColumn="1" w:firstRow="1" w:lastColumn="0" w:lastRow="0" w:noHBand="0" w:noVBand="1" w:val="04A0"/>
      </w:tblPr>
      <w:tblGrid>
        <w:gridCol w:w="3264"/>
        <w:gridCol w:w="3264"/>
        <w:gridCol w:w="3264"/>
      </w:tblGrid>
      <w:tr>
        <w:tc>
          <w:tcPr>
            <w:tcW w:type="dxa" w:w="2232"/>
            <w:vAlign w:val="center"/>
            <w:tcMar>
              <w:top w:w="90" w:type="dxa"/>
              <w:start w:w="120" w:type="dxa"/>
              <w:bottom w:w="90" w:type="dxa"/>
              <w:end w:w="120" w:type="dxa"/>
            </w:tcMar>
            <w:shd w:fill="17324D"/>
          </w:tcPr>
          <w:p>
            <w:pPr>
              <w:spacing w:after="0" w:line="259" w:lineRule="auto"/>
            </w:pPr>
            <w:r/>
            <w:r>
              <w:rPr>
                <w:rFonts w:ascii="Aptos" w:hAnsi="Aptos"/>
                <w:b/>
                <w:color w:val="FFFFFF"/>
                <w:sz w:val="18"/>
              </w:rPr>
              <w:t>Dimension</w:t>
            </w:r>
          </w:p>
        </w:tc>
        <w:tc>
          <w:tcPr>
            <w:tcW w:type="dxa" w:w="1800"/>
            <w:vAlign w:val="center"/>
            <w:tcMar>
              <w:top w:w="90" w:type="dxa"/>
              <w:start w:w="120" w:type="dxa"/>
              <w:bottom w:w="90" w:type="dxa"/>
              <w:end w:w="120" w:type="dxa"/>
            </w:tcMar>
            <w:shd w:fill="17324D"/>
          </w:tcPr>
          <w:p>
            <w:pPr>
              <w:spacing w:after="0" w:line="259" w:lineRule="auto"/>
            </w:pPr>
            <w:r/>
            <w:r>
              <w:rPr>
                <w:rFonts w:ascii="Aptos" w:hAnsi="Aptos"/>
                <w:b/>
                <w:color w:val="FFFFFF"/>
                <w:sz w:val="18"/>
              </w:rPr>
              <w:t>Target</w:t>
            </w:r>
          </w:p>
        </w:tc>
        <w:tc>
          <w:tcPr>
            <w:tcW w:type="dxa" w:w="5688"/>
            <w:vAlign w:val="center"/>
            <w:tcMar>
              <w:top w:w="90" w:type="dxa"/>
              <w:start w:w="120" w:type="dxa"/>
              <w:bottom w:w="90" w:type="dxa"/>
              <w:end w:w="120" w:type="dxa"/>
            </w:tcMar>
            <w:shd w:fill="17324D"/>
          </w:tcPr>
          <w:p>
            <w:pPr>
              <w:spacing w:after="0" w:line="259" w:lineRule="auto"/>
            </w:pPr>
            <w:r/>
            <w:r>
              <w:rPr>
                <w:rFonts w:ascii="Aptos" w:hAnsi="Aptos"/>
                <w:b/>
                <w:color w:val="FFFFFF"/>
                <w:sz w:val="18"/>
              </w:rPr>
              <w:t>Interpretation</w:t>
            </w:r>
          </w:p>
        </w:tc>
      </w:tr>
      <w:tr>
        <w:tc>
          <w:tcPr>
            <w:tcW w:type="dxa" w:w="2232"/>
            <w:vAlign w:val="center"/>
            <w:tcMar>
              <w:top w:w="90" w:type="dxa"/>
              <w:start w:w="120" w:type="dxa"/>
              <w:bottom w:w="90" w:type="dxa"/>
              <w:end w:w="120" w:type="dxa"/>
            </w:tcMar>
            <w:shd w:fill="FFFFFF"/>
          </w:tcPr>
          <w:p>
            <w:pPr>
              <w:spacing w:after="0" w:line="259" w:lineRule="auto"/>
            </w:pPr>
            <w:r/>
            <w:r>
              <w:rPr>
                <w:rFonts w:ascii="Aptos" w:hAnsi="Aptos"/>
                <w:b/>
                <w:color w:val="17324D"/>
                <w:sz w:val="19"/>
              </w:rPr>
              <w:t>Formal ↔ Conversational</w:t>
            </w:r>
          </w:p>
        </w:tc>
        <w:tc>
          <w:tcPr>
            <w:tcW w:type="dxa" w:w="1800"/>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70% formal</w:t>
            </w:r>
          </w:p>
        </w:tc>
        <w:tc>
          <w:tcPr>
            <w:tcW w:type="dxa" w:w="568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Professional and polished, with occasional direct language and familiar examples.</w:t>
            </w:r>
          </w:p>
        </w:tc>
      </w:tr>
      <w:tr>
        <w:tc>
          <w:tcPr>
            <w:tcW w:type="dxa" w:w="2232"/>
            <w:vAlign w:val="center"/>
            <w:tcMar>
              <w:top w:w="90" w:type="dxa"/>
              <w:start w:w="120" w:type="dxa"/>
              <w:bottom w:w="90" w:type="dxa"/>
              <w:end w:w="120" w:type="dxa"/>
            </w:tcMar>
            <w:shd w:fill="F4F7F9"/>
          </w:tcPr>
          <w:p>
            <w:pPr>
              <w:spacing w:after="0" w:line="259" w:lineRule="auto"/>
            </w:pPr>
            <w:r/>
            <w:r>
              <w:rPr>
                <w:rFonts w:ascii="Aptos" w:hAnsi="Aptos"/>
                <w:b/>
                <w:color w:val="17324D"/>
                <w:sz w:val="19"/>
              </w:rPr>
              <w:t>Strategic ↔ Tactical</w:t>
            </w:r>
          </w:p>
        </w:tc>
        <w:tc>
          <w:tcPr>
            <w:tcW w:type="dxa" w:w="1800"/>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65% strategic</w:t>
            </w:r>
          </w:p>
        </w:tc>
        <w:tc>
          <w:tcPr>
            <w:tcW w:type="dxa" w:w="568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Explain the operating model first; include enough implementation detail to make it actionable.</w:t>
            </w:r>
          </w:p>
        </w:tc>
      </w:tr>
      <w:tr>
        <w:tc>
          <w:tcPr>
            <w:tcW w:type="dxa" w:w="2232"/>
            <w:vAlign w:val="center"/>
            <w:tcMar>
              <w:top w:w="90" w:type="dxa"/>
              <w:start w:w="120" w:type="dxa"/>
              <w:bottom w:w="90" w:type="dxa"/>
              <w:end w:w="120" w:type="dxa"/>
            </w:tcMar>
            <w:shd w:fill="FFFFFF"/>
          </w:tcPr>
          <w:p>
            <w:pPr>
              <w:spacing w:after="0" w:line="259" w:lineRule="auto"/>
            </w:pPr>
            <w:r/>
            <w:r>
              <w:rPr>
                <w:rFonts w:ascii="Aptos" w:hAnsi="Aptos"/>
                <w:b/>
                <w:color w:val="17324D"/>
                <w:sz w:val="19"/>
              </w:rPr>
              <w:t>Authoritative ↔ Exploratory</w:t>
            </w:r>
          </w:p>
        </w:tc>
        <w:tc>
          <w:tcPr>
            <w:tcW w:type="dxa" w:w="1800"/>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60% authoritative</w:t>
            </w:r>
          </w:p>
        </w:tc>
        <w:tc>
          <w:tcPr>
            <w:tcW w:type="dxa" w:w="568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Make a clear argument while acknowledging context and evolution.</w:t>
            </w:r>
          </w:p>
        </w:tc>
      </w:tr>
      <w:tr>
        <w:tc>
          <w:tcPr>
            <w:tcW w:type="dxa" w:w="2232"/>
            <w:vAlign w:val="center"/>
            <w:tcMar>
              <w:top w:w="90" w:type="dxa"/>
              <w:start w:w="120" w:type="dxa"/>
              <w:bottom w:w="90" w:type="dxa"/>
              <w:end w:w="120" w:type="dxa"/>
            </w:tcMar>
            <w:shd w:fill="F4F7F9"/>
          </w:tcPr>
          <w:p>
            <w:pPr>
              <w:spacing w:after="0" w:line="259" w:lineRule="auto"/>
            </w:pPr>
            <w:r/>
            <w:r>
              <w:rPr>
                <w:rFonts w:ascii="Aptos" w:hAnsi="Aptos"/>
                <w:b/>
                <w:color w:val="17324D"/>
                <w:sz w:val="19"/>
              </w:rPr>
              <w:t>Analytical ↔ Inspirational</w:t>
            </w:r>
          </w:p>
        </w:tc>
        <w:tc>
          <w:tcPr>
            <w:tcW w:type="dxa" w:w="1800"/>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75% analytical</w:t>
            </w:r>
          </w:p>
        </w:tc>
        <w:tc>
          <w:tcPr>
            <w:tcW w:type="dxa" w:w="568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Earn optimism through reasoning; avoid motivational filler.</w:t>
            </w:r>
          </w:p>
        </w:tc>
      </w:tr>
      <w:tr>
        <w:tc>
          <w:tcPr>
            <w:tcW w:type="dxa" w:w="2232"/>
            <w:vAlign w:val="center"/>
            <w:tcMar>
              <w:top w:w="90" w:type="dxa"/>
              <w:start w:w="120" w:type="dxa"/>
              <w:bottom w:w="90" w:type="dxa"/>
              <w:end w:w="120" w:type="dxa"/>
            </w:tcMar>
            <w:shd w:fill="FFFFFF"/>
          </w:tcPr>
          <w:p>
            <w:pPr>
              <w:spacing w:after="0" w:line="259" w:lineRule="auto"/>
            </w:pPr>
            <w:r/>
            <w:r>
              <w:rPr>
                <w:rFonts w:ascii="Aptos" w:hAnsi="Aptos"/>
                <w:b/>
                <w:color w:val="17324D"/>
                <w:sz w:val="19"/>
              </w:rPr>
              <w:t>Dense ↔ Accessible</w:t>
            </w:r>
          </w:p>
        </w:tc>
        <w:tc>
          <w:tcPr>
            <w:tcW w:type="dxa" w:w="1800"/>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55% dense</w:t>
            </w:r>
          </w:p>
        </w:tc>
        <w:tc>
          <w:tcPr>
            <w:tcW w:type="dxa" w:w="568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Preserve nuance, but give the reader headings, signposts, and sentence breaks.</w:t>
            </w:r>
          </w:p>
        </w:tc>
      </w:tr>
    </w:tbl>
    <w:p>
      <w:pPr>
        <w:spacing w:after="0"/>
      </w:pPr>
    </w:p>
    <w:p>
      <w:pPr>
        <w:pStyle w:val="Heading2"/>
      </w:pPr>
      <w:r>
        <w:t>Preferred stance</w:t>
      </w:r>
    </w:p>
    <w:p>
      <w:r>
        <w:t>Use language that invites disciplined evolution rather than wholesale rejection. Phrases such as “move beyond,” “shift from,” “build on,” “integrate,” and “reframe” fit the voice because they recognize where an organization is while clarifying what must change.</w:t>
      </w:r>
    </w:p>
    <w:p>
      <w:pPr>
        <w:pStyle w:val="Heading2"/>
      </w:pPr>
      <w:r>
        <w:t>Terminology rules</w:t>
      </w:r>
    </w:p>
    <w:p>
      <w:pPr>
        <w:pStyle w:val="ListBullet"/>
        <w:spacing w:after="80"/>
        <w:ind w:left="403" w:hanging="259"/>
      </w:pPr>
      <w:r>
        <w:t>Use backlog refinement, never backlog grooming.</w:t>
      </w:r>
    </w:p>
    <w:p>
      <w:pPr>
        <w:pStyle w:val="ListBullet"/>
        <w:spacing w:after="80"/>
        <w:ind w:left="403" w:hanging="259"/>
      </w:pPr>
      <w:r>
        <w:t>Use Problem validation and Solution exploration when describing discovery.</w:t>
      </w:r>
    </w:p>
    <w:p>
      <w:pPr>
        <w:pStyle w:val="ListBullet"/>
        <w:spacing w:after="80"/>
        <w:ind w:left="403" w:hanging="259"/>
      </w:pPr>
      <w:r>
        <w:t>Treat Jira Product Discovery as a strategic backlog, not a delivery system.</w:t>
      </w:r>
    </w:p>
    <w:p>
      <w:pPr>
        <w:pStyle w:val="ListBullet"/>
        <w:spacing w:after="80"/>
        <w:ind w:left="403" w:hanging="259"/>
      </w:pPr>
      <w:r>
        <w:t>Use customer-centric and outcome-oriented when they are demonstrated through decisions, measures, or behaviors—not as decorative labels.</w:t>
      </w:r>
    </w:p>
    <w:p>
      <w:pPr>
        <w:pStyle w:val="ListBullet"/>
        <w:spacing w:after="80"/>
        <w:ind w:left="403" w:hanging="259"/>
      </w:pPr>
      <w:r>
        <w:t>Prefer product operating model or Product Operating System when describing the connected system of people, process, technology, governance, and learning.</w:t>
      </w:r>
    </w:p>
    <w:p>
      <w:pPr>
        <w:pStyle w:val="ListBullet"/>
        <w:spacing w:after="80"/>
        <w:ind w:left="403" w:hanging="259"/>
      </w:pPr>
      <w:r>
        <w:t>Avoid “Moreover” and similar academic transitions that do not sound natural in your voice.</w:t>
      </w:r>
    </w:p>
    <w:p>
      <w:pPr>
        <w:pStyle w:val="ListBullet"/>
        <w:spacing w:after="80"/>
        <w:ind w:left="403" w:hanging="259"/>
      </w:pPr>
      <w:r>
        <w:t>Do not use emojis in articles unless the piece is intentionally written for social media.</w:t>
      </w:r>
    </w:p>
    <w:p>
      <w:pPr>
        <w:pStyle w:val="Heading1"/>
      </w:pPr>
      <w:r>
        <w:t>3. Argument Architecture</w:t>
      </w:r>
    </w:p>
    <w:p>
      <w:pPr>
        <w:pStyle w:val="Lead"/>
      </w:pPr>
      <w:r>
        <w:t>Your most characteristic articles do not merely explain a topic. They guide the reader through a change in mental model. The following architecture captures that pattern without forcing every article into the same template.</w:t>
      </w:r>
    </w:p>
    <w:tbl>
      <w:tblPr>
        <w:tblW w:type="auto" w:w="0"/>
        <w:jc w:val="center"/>
        <w:tblLayout w:type="fixed"/>
        <w:tblLook w:firstColumn="1" w:firstRow="1" w:lastColumn="0" w:lastRow="0" w:noHBand="0" w:noVBand="1" w:val="04A0"/>
      </w:tblPr>
      <w:tblGrid>
        <w:gridCol w:w="3264"/>
        <w:gridCol w:w="3264"/>
        <w:gridCol w:w="3264"/>
      </w:tblGrid>
      <w:tr>
        <w:tc>
          <w:tcPr>
            <w:tcW w:type="dxa" w:w="1613"/>
            <w:vAlign w:val="center"/>
            <w:tcMar>
              <w:top w:w="90" w:type="dxa"/>
              <w:start w:w="120" w:type="dxa"/>
              <w:bottom w:w="90" w:type="dxa"/>
              <w:end w:w="120" w:type="dxa"/>
            </w:tcMar>
            <w:shd w:fill="17324D"/>
          </w:tcPr>
          <w:p>
            <w:pPr>
              <w:spacing w:after="0" w:line="259" w:lineRule="auto"/>
            </w:pPr>
            <w:r/>
            <w:r>
              <w:rPr>
                <w:rFonts w:ascii="Aptos" w:hAnsi="Aptos"/>
                <w:b/>
                <w:color w:val="FFFFFF"/>
                <w:sz w:val="18"/>
              </w:rPr>
              <w:t>Stage</w:t>
            </w:r>
          </w:p>
        </w:tc>
        <w:tc>
          <w:tcPr>
            <w:tcW w:type="dxa" w:w="2952"/>
            <w:vAlign w:val="center"/>
            <w:tcMar>
              <w:top w:w="90" w:type="dxa"/>
              <w:start w:w="120" w:type="dxa"/>
              <w:bottom w:w="90" w:type="dxa"/>
              <w:end w:w="120" w:type="dxa"/>
            </w:tcMar>
            <w:shd w:fill="17324D"/>
          </w:tcPr>
          <w:p>
            <w:pPr>
              <w:spacing w:after="0" w:line="259" w:lineRule="auto"/>
            </w:pPr>
            <w:r/>
            <w:r>
              <w:rPr>
                <w:rFonts w:ascii="Aptos" w:hAnsi="Aptos"/>
                <w:b/>
                <w:color w:val="FFFFFF"/>
                <w:sz w:val="18"/>
              </w:rPr>
              <w:t>Purpose</w:t>
            </w:r>
          </w:p>
        </w:tc>
        <w:tc>
          <w:tcPr>
            <w:tcW w:type="dxa" w:w="5227"/>
            <w:vAlign w:val="center"/>
            <w:tcMar>
              <w:top w:w="90" w:type="dxa"/>
              <w:start w:w="120" w:type="dxa"/>
              <w:bottom w:w="90" w:type="dxa"/>
              <w:end w:w="120" w:type="dxa"/>
            </w:tcMar>
            <w:shd w:fill="17324D"/>
          </w:tcPr>
          <w:p>
            <w:pPr>
              <w:spacing w:after="0" w:line="259" w:lineRule="auto"/>
            </w:pPr>
            <w:r/>
            <w:r>
              <w:rPr>
                <w:rFonts w:ascii="Aptos" w:hAnsi="Aptos"/>
                <w:b/>
                <w:color w:val="FFFFFF"/>
                <w:sz w:val="18"/>
              </w:rPr>
              <w:t>Typical FlowTrain Pro move</w:t>
            </w:r>
          </w:p>
        </w:tc>
      </w:tr>
      <w:tr>
        <w:tc>
          <w:tcPr>
            <w:tcW w:type="dxa" w:w="1613"/>
            <w:vAlign w:val="center"/>
            <w:tcMar>
              <w:top w:w="90" w:type="dxa"/>
              <w:start w:w="120" w:type="dxa"/>
              <w:bottom w:w="90" w:type="dxa"/>
              <w:end w:w="120" w:type="dxa"/>
            </w:tcMar>
            <w:shd w:fill="FFFFFF"/>
          </w:tcPr>
          <w:p>
            <w:pPr>
              <w:spacing w:after="0" w:line="259" w:lineRule="auto"/>
            </w:pPr>
            <w:r/>
            <w:r>
              <w:rPr>
                <w:rFonts w:ascii="Aptos" w:hAnsi="Aptos"/>
                <w:b/>
                <w:color w:val="17324D"/>
                <w:sz w:val="19"/>
              </w:rPr>
              <w:t>1. Establish the tension</w:t>
            </w:r>
          </w:p>
        </w:tc>
        <w:tc>
          <w:tcPr>
            <w:tcW w:type="dxa" w:w="2952"/>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Show why the current frame is no longer sufficient.</w:t>
            </w:r>
          </w:p>
        </w:tc>
        <w:tc>
          <w:tcPr>
            <w:tcW w:type="dxa" w:w="5227"/>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Digital transformation is not technology adoption; maturity is not the same as capability; platform UX is not limited to visual design.</w:t>
            </w:r>
          </w:p>
        </w:tc>
      </w:tr>
      <w:tr>
        <w:tc>
          <w:tcPr>
            <w:tcW w:type="dxa" w:w="1613"/>
            <w:vAlign w:val="center"/>
            <w:tcMar>
              <w:top w:w="90" w:type="dxa"/>
              <w:start w:w="120" w:type="dxa"/>
              <w:bottom w:w="90" w:type="dxa"/>
              <w:end w:w="120" w:type="dxa"/>
            </w:tcMar>
            <w:shd w:fill="F4F7F9"/>
          </w:tcPr>
          <w:p>
            <w:pPr>
              <w:spacing w:after="0" w:line="259" w:lineRule="auto"/>
            </w:pPr>
            <w:r/>
            <w:r>
              <w:rPr>
                <w:rFonts w:ascii="Aptos" w:hAnsi="Aptos"/>
                <w:b/>
                <w:color w:val="17324D"/>
                <w:sz w:val="19"/>
              </w:rPr>
              <w:t>2. Define the consequence</w:t>
            </w:r>
          </w:p>
        </w:tc>
        <w:tc>
          <w:tcPr>
            <w:tcW w:type="dxa" w:w="2952"/>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Explain what the limited frame produces.</w:t>
            </w:r>
          </w:p>
        </w:tc>
        <w:tc>
          <w:tcPr>
            <w:tcW w:type="dxa" w:w="5227"/>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Silos, feature volume, weak customer understanding, delayed learning, brittle governance, or local optimization.</w:t>
            </w:r>
          </w:p>
        </w:tc>
      </w:tr>
      <w:tr>
        <w:tc>
          <w:tcPr>
            <w:tcW w:type="dxa" w:w="1613"/>
            <w:vAlign w:val="center"/>
            <w:tcMar>
              <w:top w:w="90" w:type="dxa"/>
              <w:start w:w="120" w:type="dxa"/>
              <w:bottom w:w="90" w:type="dxa"/>
              <w:end w:w="120" w:type="dxa"/>
            </w:tcMar>
            <w:shd w:fill="FFFFFF"/>
          </w:tcPr>
          <w:p>
            <w:pPr>
              <w:spacing w:after="0" w:line="259" w:lineRule="auto"/>
            </w:pPr>
            <w:r/>
            <w:r>
              <w:rPr>
                <w:rFonts w:ascii="Aptos" w:hAnsi="Aptos"/>
                <w:b/>
                <w:color w:val="17324D"/>
                <w:sz w:val="19"/>
              </w:rPr>
              <w:t>3. Reframe the problem</w:t>
            </w:r>
          </w:p>
        </w:tc>
        <w:tc>
          <w:tcPr>
            <w:tcW w:type="dxa" w:w="2952"/>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Offer a more useful lens.</w:t>
            </w:r>
          </w:p>
        </w:tc>
        <w:tc>
          <w:tcPr>
            <w:tcW w:type="dxa" w:w="5227"/>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Shift from feature-centric to customer-centric, maturity levels to capability building, role handoffs to integrated expertise.</w:t>
            </w:r>
          </w:p>
        </w:tc>
      </w:tr>
      <w:tr>
        <w:tc>
          <w:tcPr>
            <w:tcW w:type="dxa" w:w="1613"/>
            <w:vAlign w:val="center"/>
            <w:tcMar>
              <w:top w:w="90" w:type="dxa"/>
              <w:start w:w="120" w:type="dxa"/>
              <w:bottom w:w="90" w:type="dxa"/>
              <w:end w:w="120" w:type="dxa"/>
            </w:tcMar>
            <w:shd w:fill="F4F7F9"/>
          </w:tcPr>
          <w:p>
            <w:pPr>
              <w:spacing w:after="0" w:line="259" w:lineRule="auto"/>
            </w:pPr>
            <w:r/>
            <w:r>
              <w:rPr>
                <w:rFonts w:ascii="Aptos" w:hAnsi="Aptos"/>
                <w:b/>
                <w:color w:val="17324D"/>
                <w:sz w:val="19"/>
              </w:rPr>
              <w:t>4. Assemble the model</w:t>
            </w:r>
          </w:p>
        </w:tc>
        <w:tc>
          <w:tcPr>
            <w:tcW w:type="dxa" w:w="2952"/>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Connect the elements needed to address the problem.</w:t>
            </w:r>
          </w:p>
        </w:tc>
        <w:tc>
          <w:tcPr>
            <w:tcW w:type="dxa" w:w="5227"/>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People–Process–Technology; JTBD–Team Topologies–DDD; shared OKRs–governance–portfolio flow.</w:t>
            </w:r>
          </w:p>
        </w:tc>
      </w:tr>
      <w:tr>
        <w:tc>
          <w:tcPr>
            <w:tcW w:type="dxa" w:w="1613"/>
            <w:vAlign w:val="center"/>
            <w:tcMar>
              <w:top w:w="90" w:type="dxa"/>
              <w:start w:w="120" w:type="dxa"/>
              <w:bottom w:w="90" w:type="dxa"/>
              <w:end w:w="120" w:type="dxa"/>
            </w:tcMar>
            <w:shd w:fill="FFFFFF"/>
          </w:tcPr>
          <w:p>
            <w:pPr>
              <w:spacing w:after="0" w:line="259" w:lineRule="auto"/>
            </w:pPr>
            <w:r/>
            <w:r>
              <w:rPr>
                <w:rFonts w:ascii="Aptos" w:hAnsi="Aptos"/>
                <w:b/>
                <w:color w:val="17324D"/>
                <w:sz w:val="19"/>
              </w:rPr>
              <w:t>5. Explain interactions</w:t>
            </w:r>
          </w:p>
        </w:tc>
        <w:tc>
          <w:tcPr>
            <w:tcW w:type="dxa" w:w="2952"/>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Show why the pieces work together.</w:t>
            </w:r>
          </w:p>
        </w:tc>
        <w:tc>
          <w:tcPr>
            <w:tcW w:type="dxa" w:w="5227"/>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Clarify dependencies, feedback loops, decision rights, enabling constraints, and reinforcing effects.</w:t>
            </w:r>
          </w:p>
        </w:tc>
      </w:tr>
      <w:tr>
        <w:tc>
          <w:tcPr>
            <w:tcW w:type="dxa" w:w="1613"/>
            <w:vAlign w:val="center"/>
            <w:tcMar>
              <w:top w:w="90" w:type="dxa"/>
              <w:start w:w="120" w:type="dxa"/>
              <w:bottom w:w="90" w:type="dxa"/>
              <w:end w:w="120" w:type="dxa"/>
            </w:tcMar>
            <w:shd w:fill="F4F7F9"/>
          </w:tcPr>
          <w:p>
            <w:pPr>
              <w:spacing w:after="0" w:line="259" w:lineRule="auto"/>
            </w:pPr>
            <w:r/>
            <w:r>
              <w:rPr>
                <w:rFonts w:ascii="Aptos" w:hAnsi="Aptos"/>
                <w:b/>
                <w:color w:val="17324D"/>
                <w:sz w:val="19"/>
              </w:rPr>
              <w:t>6. Make it operational</w:t>
            </w:r>
          </w:p>
        </w:tc>
        <w:tc>
          <w:tcPr>
            <w:tcW w:type="dxa" w:w="2952"/>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Translate the model into behaviors or mechanisms.</w:t>
            </w:r>
          </w:p>
        </w:tc>
        <w:tc>
          <w:tcPr>
            <w:tcW w:type="dxa" w:w="5227"/>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Councils, cadences, discovery practices, NFRs, measures, roles, prioritization filters, and review loops.</w:t>
            </w:r>
          </w:p>
        </w:tc>
      </w:tr>
      <w:tr>
        <w:tc>
          <w:tcPr>
            <w:tcW w:type="dxa" w:w="1613"/>
            <w:vAlign w:val="center"/>
            <w:tcMar>
              <w:top w:w="90" w:type="dxa"/>
              <w:start w:w="120" w:type="dxa"/>
              <w:bottom w:w="90" w:type="dxa"/>
              <w:end w:w="120" w:type="dxa"/>
            </w:tcMar>
            <w:shd w:fill="FFFFFF"/>
          </w:tcPr>
          <w:p>
            <w:pPr>
              <w:spacing w:after="0" w:line="259" w:lineRule="auto"/>
            </w:pPr>
            <w:r/>
            <w:r>
              <w:rPr>
                <w:rFonts w:ascii="Aptos" w:hAnsi="Aptos"/>
                <w:b/>
                <w:color w:val="17324D"/>
                <w:sz w:val="19"/>
              </w:rPr>
              <w:t>7. Close on capability</w:t>
            </w:r>
          </w:p>
        </w:tc>
        <w:tc>
          <w:tcPr>
            <w:tcW w:type="dxa" w:w="2952"/>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End with the durable organizational outcome.</w:t>
            </w:r>
          </w:p>
        </w:tc>
        <w:tc>
          <w:tcPr>
            <w:tcW w:type="dxa" w:w="5227"/>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Better learning, adaptability, customer value, strategic coherence, and sustainable performance.</w:t>
            </w:r>
          </w:p>
        </w:tc>
      </w:tr>
    </w:tbl>
    <w:p>
      <w:pPr>
        <w:spacing w:after="0"/>
      </w:pPr>
    </w:p>
    <w:p>
      <w:pPr>
        <w:pStyle w:val="Heading2"/>
      </w:pPr>
      <w:r>
        <w:t>Recurring rhetorical moves</w:t>
      </w:r>
    </w:p>
    <w:p>
      <w:pPr>
        <w:pStyle w:val="ListBullet"/>
        <w:spacing w:after="80"/>
        <w:ind w:left="403" w:hanging="259"/>
      </w:pPr>
      <w:r>
        <w:t>Beyond X: Clarify that a familiar concept is necessary but insufficient: transformation extends beyond technology; UX extends beyond interfaces; governance extends beyond approval.</w:t>
      </w:r>
    </w:p>
    <w:p>
      <w:pPr>
        <w:pStyle w:val="ListBullet"/>
        <w:spacing w:after="80"/>
        <w:ind w:left="403" w:hanging="259"/>
      </w:pPr>
      <w:r>
        <w:t>Two-level view: Move between the local team experience and the enterprise portfolio consequence.</w:t>
      </w:r>
    </w:p>
    <w:p>
      <w:pPr>
        <w:pStyle w:val="ListBullet"/>
        <w:spacing w:after="80"/>
        <w:ind w:left="403" w:hanging="259"/>
      </w:pPr>
      <w:r>
        <w:t>Interdependence: Explain that the value lies not only in each component but in how the components reinforce one another.</w:t>
      </w:r>
    </w:p>
    <w:p>
      <w:pPr>
        <w:pStyle w:val="ListBullet"/>
        <w:spacing w:after="80"/>
        <w:ind w:left="403" w:hanging="259"/>
      </w:pPr>
      <w:r>
        <w:t>Contrast with respect: Describe the limits of a traditional approach without caricaturing the people who use it.</w:t>
      </w:r>
    </w:p>
    <w:p>
      <w:pPr>
        <w:pStyle w:val="ListBullet"/>
        <w:spacing w:after="80"/>
        <w:ind w:left="403" w:hanging="259"/>
      </w:pPr>
      <w:r>
        <w:t>Example as proof: Use banking, platforms, customer portals, developer experience, or investment decisions to make an abstract claim observable.</w:t>
      </w:r>
    </w:p>
    <w:p>
      <w:pPr>
        <w:pStyle w:val="ListBullet"/>
        <w:spacing w:after="80"/>
        <w:ind w:left="403" w:hanging="259"/>
      </w:pPr>
      <w:r>
        <w:t>Implication chain: State the practice, explain the mechanism, then connect it to customer or business impact.</w:t>
      </w:r>
    </w:p>
    <w:p>
      <w:pPr>
        <w:pStyle w:val="Heading2"/>
      </w:pPr>
      <w:r>
        <w:t>A reliable opening pattern</w:t>
      </w:r>
    </w:p>
    <w:tbl>
      <w:tblPr>
        <w:tblW w:type="auto" w:w="0"/>
        <w:tblLayout w:type="fixed"/>
        <w:tblLook w:firstColumn="1" w:firstRow="1" w:lastColumn="0" w:lastRow="0" w:noHBand="0" w:noVBand="1" w:val="04A0"/>
      </w:tblPr>
      <w:tblGrid>
        <w:gridCol w:w="9720"/>
      </w:tblGrid>
      <w:tr>
        <w:tc>
          <w:tcPr>
            <w:tcW w:type="dxa" w:w="9792"/>
            <w:shd w:fill="EAF1F6"/>
            <w:tcMar>
              <w:top w:w="130" w:type="dxa"/>
              <w:start w:w="170" w:type="dxa"/>
              <w:bottom w:w="130" w:type="dxa"/>
              <w:end w:w="170" w:type="dxa"/>
            </w:tcMar>
          </w:tcPr>
          <w:p>
            <w:pPr>
              <w:spacing w:after="0"/>
            </w:pPr>
            <w:r/>
            <w:r>
              <w:rPr>
                <w:b/>
                <w:color w:val="167D8D"/>
              </w:rPr>
              <w:t xml:space="preserve">OPENING FORMULA  </w:t>
            </w:r>
            <w:r>
              <w:rPr>
                <w:color w:val="1F252B"/>
              </w:rPr>
              <w:t>Lead with a specific tension or mistaken assumption. Explain why it matters now. State the article’s central reframe. Preview the integrated model or practical implication the reader will gain.</w:t>
            </w:r>
          </w:p>
        </w:tc>
      </w:tr>
    </w:tbl>
    <w:p>
      <w:pPr>
        <w:spacing w:after="0"/>
      </w:pPr>
    </w:p>
    <w:p>
      <w:r>
        <w:t>Example: “Many organizations treat platform UX as an interface problem. For internal platforms, the more consequential experience is often shaped by APIs, documentation, reliability, access patterns, and the speed at which teams can safely deliver. That changes both who owns the experience and how the work should be governed.”</w:t>
      </w:r>
    </w:p>
    <w:p>
      <w:pPr>
        <w:pStyle w:val="Heading2"/>
      </w:pPr>
      <w:r>
        <w:t>A reliable closing pattern</w:t>
      </w:r>
    </w:p>
    <w:tbl>
      <w:tblPr>
        <w:tblW w:type="auto" w:w="0"/>
        <w:tblLayout w:type="fixed"/>
        <w:tblLook w:firstColumn="1" w:firstRow="1" w:lastColumn="0" w:lastRow="0" w:noHBand="0" w:noVBand="1" w:val="04A0"/>
      </w:tblPr>
      <w:tblGrid>
        <w:gridCol w:w="9720"/>
      </w:tblGrid>
      <w:tr>
        <w:tc>
          <w:tcPr>
            <w:tcW w:type="dxa" w:w="9792"/>
            <w:shd w:fill="EAF1F6"/>
            <w:tcMar>
              <w:top w:w="130" w:type="dxa"/>
              <w:start w:w="170" w:type="dxa"/>
              <w:bottom w:w="130" w:type="dxa"/>
              <w:end w:w="170" w:type="dxa"/>
            </w:tcMar>
          </w:tcPr>
          <w:p>
            <w:pPr>
              <w:spacing w:after="0"/>
            </w:pPr>
            <w:r/>
            <w:r>
              <w:rPr>
                <w:b/>
                <w:color w:val="167D8D"/>
              </w:rPr>
              <w:t xml:space="preserve">CLOSING FORMULA  </w:t>
            </w:r>
            <w:r>
              <w:rPr>
                <w:color w:val="1F252B"/>
              </w:rPr>
              <w:t>Synthesize the argument rather than repeat the outline. Restate the changed mental model, identify the organizational capability it creates, and leave the reader with a practical next move or decision test.</w:t>
            </w:r>
          </w:p>
        </w:tc>
      </w:tr>
    </w:tbl>
    <w:p>
      <w:pPr>
        <w:spacing w:after="0"/>
      </w:pPr>
    </w:p>
    <w:p>
      <w:pPr>
        <w:pStyle w:val="Heading1"/>
      </w:pPr>
      <w:r>
        <w:t>4. Sentence, Paragraph, and Section Rhythm</w:t>
      </w:r>
    </w:p>
    <w:p>
      <w:pPr>
        <w:pStyle w:val="Heading2"/>
      </w:pPr>
      <w:r>
        <w:t>Sentence rhythm</w:t>
      </w:r>
    </w:p>
    <w:p>
      <w:r>
        <w:t>Across the source set, sentence length varies by article type. Concise governance material averages roughly 14 words per sentence; narrative pieces range from about 22 to 35 words. The recognizable voice therefore comes from controlled variation, not a single target length.</w:t>
      </w:r>
    </w:p>
    <w:p>
      <w:pPr>
        <w:pStyle w:val="ListBullet"/>
        <w:spacing w:after="80"/>
        <w:ind w:left="403" w:hanging="259"/>
      </w:pPr>
      <w:r>
        <w:t>Use a medium sentence for the claim, a longer sentence for mechanism or qualification, then a short sentence for emphasis.</w:t>
      </w:r>
    </w:p>
    <w:p>
      <w:pPr>
        <w:pStyle w:val="ListBullet"/>
        <w:spacing w:after="80"/>
        <w:ind w:left="403" w:hanging="259"/>
      </w:pPr>
      <w:r>
        <w:t>Keep most sentences between 16 and 28 words. Allow longer sentences when explaining a relationship, but split them when they contain more than one major claim.</w:t>
      </w:r>
    </w:p>
    <w:p>
      <w:pPr>
        <w:pStyle w:val="ListBullet"/>
        <w:spacing w:after="80"/>
        <w:ind w:left="403" w:hanging="259"/>
      </w:pPr>
      <w:r>
        <w:t>Use em dashes selectively to sharpen a distinction or insert a clarifying phrase. Do not let them substitute for paragraph structure.</w:t>
      </w:r>
    </w:p>
    <w:p>
      <w:pPr>
        <w:pStyle w:val="ListBullet"/>
        <w:spacing w:after="80"/>
        <w:ind w:left="403" w:hanging="259"/>
      </w:pPr>
      <w:r>
        <w:t>Use colons to introduce a model, implication, or short list. This is a natural feature of the existing work.</w:t>
      </w:r>
    </w:p>
    <w:p>
      <w:pPr>
        <w:pStyle w:val="ListBullet"/>
        <w:spacing w:after="80"/>
        <w:ind w:left="403" w:hanging="259"/>
      </w:pPr>
      <w:r>
        <w:t>Favor active constructions: “Shared OKRs create…,” “Platform teams enable…,” “Leaders use…” Avoid repeated “is positioned to” and “can be seen as.”</w:t>
      </w:r>
    </w:p>
    <w:p>
      <w:pPr>
        <w:pStyle w:val="Heading2"/>
      </w:pPr>
      <w:r>
        <w:t>Paragraph rhythm</w:t>
      </w:r>
    </w:p>
    <w:p>
      <w:pPr>
        <w:pStyle w:val="ListBullet"/>
        <w:spacing w:after="80"/>
        <w:ind w:left="403" w:hanging="259"/>
      </w:pPr>
      <w:r>
        <w:t>Open each paragraph with a claim or clear topic sentence.</w:t>
      </w:r>
    </w:p>
    <w:p>
      <w:pPr>
        <w:pStyle w:val="ListBullet"/>
        <w:spacing w:after="80"/>
        <w:ind w:left="403" w:hanging="259"/>
      </w:pPr>
      <w:r>
        <w:t>Develop one relationship or implication per paragraph.</w:t>
      </w:r>
    </w:p>
    <w:p>
      <w:pPr>
        <w:pStyle w:val="ListBullet"/>
        <w:spacing w:after="80"/>
        <w:ind w:left="403" w:hanging="259"/>
      </w:pPr>
      <w:r>
        <w:t>Aim for three to five sentences in narrative sections; use one- or two-sentence paragraphs sparingly for emphasis or transition.</w:t>
      </w:r>
    </w:p>
    <w:p>
      <w:pPr>
        <w:pStyle w:val="ListBullet"/>
        <w:spacing w:after="80"/>
        <w:ind w:left="403" w:hanging="259"/>
      </w:pPr>
      <w:r>
        <w:t>End with a consequence, bridge, or decision implication rather than a generic summary sentence.</w:t>
      </w:r>
    </w:p>
    <w:p>
      <w:pPr>
        <w:pStyle w:val="Heading2"/>
      </w:pPr>
      <w:r>
        <w:t>Section rhythm</w:t>
      </w:r>
    </w:p>
    <w:p>
      <w:pPr>
        <w:pStyle w:val="ListBullet"/>
        <w:spacing w:after="80"/>
        <w:ind w:left="403" w:hanging="259"/>
      </w:pPr>
      <w:r>
        <w:t>Use descriptive headings that tell the reader what changes or why the section matters.</w:t>
      </w:r>
    </w:p>
    <w:p>
      <w:pPr>
        <w:pStyle w:val="ListBullet"/>
        <w:spacing w:after="80"/>
        <w:ind w:left="403" w:hanging="259"/>
      </w:pPr>
      <w:r>
        <w:t>Begin major sections with brief prose before moving into bullets or subcomponents.</w:t>
      </w:r>
    </w:p>
    <w:p>
      <w:pPr>
        <w:pStyle w:val="ListBullet"/>
        <w:spacing w:after="80"/>
        <w:ind w:left="403" w:hanging="259"/>
      </w:pPr>
      <w:r>
        <w:t>Use lists for comparable benefits, challenges, practices, or criteria—not as the default container for an entire argument.</w:t>
      </w:r>
    </w:p>
    <w:p>
      <w:pPr>
        <w:pStyle w:val="ListBullet"/>
        <w:spacing w:after="80"/>
        <w:ind w:left="403" w:hanging="259"/>
      </w:pPr>
      <w:r>
        <w:t>After a framework list, add synthesis. Explain how the elements work together and what breaks when one is missing.</w:t>
      </w:r>
    </w:p>
    <w:p>
      <w:pPr>
        <w:pStyle w:val="Heading2"/>
      </w:pPr>
      <w:r>
        <w:t>Transitions that fit</w:t>
      </w:r>
    </w:p>
    <w:tbl>
      <w:tblPr>
        <w:tblW w:type="auto" w:w="0"/>
        <w:jc w:val="center"/>
        <w:tblLayout w:type="fixed"/>
        <w:tblLook w:firstColumn="1" w:firstRow="1" w:lastColumn="0" w:lastRow="0" w:noHBand="0" w:noVBand="1" w:val="04A0"/>
      </w:tblPr>
      <w:tblGrid>
        <w:gridCol w:w="4896"/>
        <w:gridCol w:w="4896"/>
      </w:tblGrid>
      <w:tr>
        <w:tc>
          <w:tcPr>
            <w:tcW w:type="dxa" w:w="1872"/>
            <w:vAlign w:val="center"/>
            <w:tcMar>
              <w:top w:w="90" w:type="dxa"/>
              <w:start w:w="120" w:type="dxa"/>
              <w:bottom w:w="90" w:type="dxa"/>
              <w:end w:w="120" w:type="dxa"/>
            </w:tcMar>
            <w:shd w:fill="17324D"/>
          </w:tcPr>
          <w:p>
            <w:pPr>
              <w:spacing w:after="0" w:line="259" w:lineRule="auto"/>
            </w:pPr>
            <w:r/>
            <w:r>
              <w:rPr>
                <w:rFonts w:ascii="Aptos" w:hAnsi="Aptos"/>
                <w:b/>
                <w:color w:val="FFFFFF"/>
                <w:sz w:val="18"/>
              </w:rPr>
              <w:t>Purpose</w:t>
            </w:r>
          </w:p>
        </w:tc>
        <w:tc>
          <w:tcPr>
            <w:tcW w:type="dxa" w:w="7848"/>
            <w:vAlign w:val="center"/>
            <w:tcMar>
              <w:top w:w="90" w:type="dxa"/>
              <w:start w:w="120" w:type="dxa"/>
              <w:bottom w:w="90" w:type="dxa"/>
              <w:end w:w="120" w:type="dxa"/>
            </w:tcMar>
            <w:shd w:fill="17324D"/>
          </w:tcPr>
          <w:p>
            <w:pPr>
              <w:spacing w:after="0" w:line="259" w:lineRule="auto"/>
            </w:pPr>
            <w:r/>
            <w:r>
              <w:rPr>
                <w:rFonts w:ascii="Aptos" w:hAnsi="Aptos"/>
                <w:b/>
                <w:color w:val="FFFFFF"/>
                <w:sz w:val="18"/>
              </w:rPr>
              <w:t>Preferred language</w:t>
            </w:r>
          </w:p>
        </w:tc>
      </w:tr>
      <w:tr>
        <w:tc>
          <w:tcPr>
            <w:tcW w:type="dxa" w:w="1872"/>
            <w:vAlign w:val="center"/>
            <w:tcMar>
              <w:top w:w="90" w:type="dxa"/>
              <w:start w:w="120" w:type="dxa"/>
              <w:bottom w:w="90" w:type="dxa"/>
              <w:end w:w="120" w:type="dxa"/>
            </w:tcMar>
            <w:shd w:fill="FFFFFF"/>
          </w:tcPr>
          <w:p>
            <w:pPr>
              <w:spacing w:after="0" w:line="259" w:lineRule="auto"/>
            </w:pPr>
            <w:r/>
            <w:r>
              <w:rPr>
                <w:rFonts w:ascii="Aptos" w:hAnsi="Aptos"/>
                <w:b/>
                <w:color w:val="17324D"/>
                <w:sz w:val="19"/>
              </w:rPr>
              <w:t>Reframe</w:t>
            </w:r>
          </w:p>
        </w:tc>
        <w:tc>
          <w:tcPr>
            <w:tcW w:type="dxa" w:w="784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The more useful question is… / A better way to view this is… / This shifts the focus from…to…</w:t>
            </w:r>
          </w:p>
        </w:tc>
      </w:tr>
      <w:tr>
        <w:tc>
          <w:tcPr>
            <w:tcW w:type="dxa" w:w="1872"/>
            <w:vAlign w:val="center"/>
            <w:tcMar>
              <w:top w:w="90" w:type="dxa"/>
              <w:start w:w="120" w:type="dxa"/>
              <w:bottom w:w="90" w:type="dxa"/>
              <w:end w:w="120" w:type="dxa"/>
            </w:tcMar>
            <w:shd w:fill="F4F7F9"/>
          </w:tcPr>
          <w:p>
            <w:pPr>
              <w:spacing w:after="0" w:line="259" w:lineRule="auto"/>
            </w:pPr>
            <w:r/>
            <w:r>
              <w:rPr>
                <w:rFonts w:ascii="Aptos" w:hAnsi="Aptos"/>
                <w:b/>
                <w:color w:val="17324D"/>
                <w:sz w:val="19"/>
              </w:rPr>
              <w:t>Contrast</w:t>
            </w:r>
          </w:p>
        </w:tc>
        <w:tc>
          <w:tcPr>
            <w:tcW w:type="dxa" w:w="784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In contrast… / While the traditional model… / The limitation is not X itself, but…</w:t>
            </w:r>
          </w:p>
        </w:tc>
      </w:tr>
      <w:tr>
        <w:tc>
          <w:tcPr>
            <w:tcW w:type="dxa" w:w="1872"/>
            <w:vAlign w:val="center"/>
            <w:tcMar>
              <w:top w:w="90" w:type="dxa"/>
              <w:start w:w="120" w:type="dxa"/>
              <w:bottom w:w="90" w:type="dxa"/>
              <w:end w:w="120" w:type="dxa"/>
            </w:tcMar>
            <w:shd w:fill="FFFFFF"/>
          </w:tcPr>
          <w:p>
            <w:pPr>
              <w:spacing w:after="0" w:line="259" w:lineRule="auto"/>
            </w:pPr>
            <w:r/>
            <w:r>
              <w:rPr>
                <w:rFonts w:ascii="Aptos" w:hAnsi="Aptos"/>
                <w:b/>
                <w:color w:val="17324D"/>
                <w:sz w:val="19"/>
              </w:rPr>
              <w:t>Deepen</w:t>
            </w:r>
          </w:p>
        </w:tc>
        <w:tc>
          <w:tcPr>
            <w:tcW w:type="dxa" w:w="784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A closer examination reveals… / The practical implication is… / At the portfolio level…</w:t>
            </w:r>
          </w:p>
        </w:tc>
      </w:tr>
      <w:tr>
        <w:tc>
          <w:tcPr>
            <w:tcW w:type="dxa" w:w="1872"/>
            <w:vAlign w:val="center"/>
            <w:tcMar>
              <w:top w:w="90" w:type="dxa"/>
              <w:start w:w="120" w:type="dxa"/>
              <w:bottom w:w="90" w:type="dxa"/>
              <w:end w:w="120" w:type="dxa"/>
            </w:tcMar>
            <w:shd w:fill="F4F7F9"/>
          </w:tcPr>
          <w:p>
            <w:pPr>
              <w:spacing w:after="0" w:line="259" w:lineRule="auto"/>
            </w:pPr>
            <w:r/>
            <w:r>
              <w:rPr>
                <w:rFonts w:ascii="Aptos" w:hAnsi="Aptos"/>
                <w:b/>
                <w:color w:val="17324D"/>
                <w:sz w:val="19"/>
              </w:rPr>
              <w:t>Connect</w:t>
            </w:r>
          </w:p>
        </w:tc>
        <w:tc>
          <w:tcPr>
            <w:tcW w:type="dxa" w:w="784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This is where X and Y intersect. / Together, these elements… / The relationship matters because…</w:t>
            </w:r>
          </w:p>
        </w:tc>
      </w:tr>
      <w:tr>
        <w:tc>
          <w:tcPr>
            <w:tcW w:type="dxa" w:w="1872"/>
            <w:vAlign w:val="center"/>
            <w:tcMar>
              <w:top w:w="90" w:type="dxa"/>
              <w:start w:w="120" w:type="dxa"/>
              <w:bottom w:w="90" w:type="dxa"/>
              <w:end w:w="120" w:type="dxa"/>
            </w:tcMar>
            <w:shd w:fill="FFFFFF"/>
          </w:tcPr>
          <w:p>
            <w:pPr>
              <w:spacing w:after="0" w:line="259" w:lineRule="auto"/>
            </w:pPr>
            <w:r/>
            <w:r>
              <w:rPr>
                <w:rFonts w:ascii="Aptos" w:hAnsi="Aptos"/>
                <w:b/>
                <w:color w:val="17324D"/>
                <w:sz w:val="19"/>
              </w:rPr>
              <w:t>Example</w:t>
            </w:r>
          </w:p>
        </w:tc>
        <w:tc>
          <w:tcPr>
            <w:tcW w:type="dxa" w:w="784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For example… / Consider a platform team that… / In a financial-services context…</w:t>
            </w:r>
          </w:p>
        </w:tc>
      </w:tr>
      <w:tr>
        <w:tc>
          <w:tcPr>
            <w:tcW w:type="dxa" w:w="1872"/>
            <w:vAlign w:val="center"/>
            <w:tcMar>
              <w:top w:w="90" w:type="dxa"/>
              <w:start w:w="120" w:type="dxa"/>
              <w:bottom w:w="90" w:type="dxa"/>
              <w:end w:w="120" w:type="dxa"/>
            </w:tcMar>
            <w:shd w:fill="F4F7F9"/>
          </w:tcPr>
          <w:p>
            <w:pPr>
              <w:spacing w:after="0" w:line="259" w:lineRule="auto"/>
            </w:pPr>
            <w:r/>
            <w:r>
              <w:rPr>
                <w:rFonts w:ascii="Aptos" w:hAnsi="Aptos"/>
                <w:b/>
                <w:color w:val="17324D"/>
                <w:sz w:val="19"/>
              </w:rPr>
              <w:t>Conclude</w:t>
            </w:r>
          </w:p>
        </w:tc>
        <w:tc>
          <w:tcPr>
            <w:tcW w:type="dxa" w:w="784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Ultimately… / The goal is not simply… / Organizations that make this shift…</w:t>
            </w:r>
          </w:p>
        </w:tc>
      </w:tr>
    </w:tbl>
    <w:p>
      <w:pPr>
        <w:spacing w:after="0"/>
      </w:pPr>
    </w:p>
    <w:p>
      <w:pPr>
        <w:pStyle w:val="Heading1"/>
      </w:pPr>
      <w:r>
        <w:t>5. Framework and Evidence Discipline</w:t>
      </w:r>
    </w:p>
    <w:p>
      <w:pPr>
        <w:pStyle w:val="Lead"/>
      </w:pPr>
      <w:r>
        <w:t>Frameworks are central to your writing, but the FlowTrain Pro standard is integration rather than accumulation. Each framework should have a job in the argument.</w:t>
      </w:r>
    </w:p>
    <w:tbl>
      <w:tblPr>
        <w:tblW w:type="auto" w:w="0"/>
        <w:jc w:val="center"/>
        <w:tblLayout w:type="fixed"/>
        <w:tblLook w:firstColumn="1" w:firstRow="1" w:lastColumn="0" w:lastRow="0" w:noHBand="0" w:noVBand="1" w:val="04A0"/>
      </w:tblPr>
      <w:tblGrid>
        <w:gridCol w:w="4896"/>
        <w:gridCol w:w="4896"/>
      </w:tblGrid>
      <w:tr>
        <w:tc>
          <w:tcPr>
            <w:tcW w:type="dxa" w:w="3096"/>
            <w:vAlign w:val="center"/>
            <w:tcMar>
              <w:top w:w="90" w:type="dxa"/>
              <w:start w:w="120" w:type="dxa"/>
              <w:bottom w:w="90" w:type="dxa"/>
              <w:end w:w="120" w:type="dxa"/>
            </w:tcMar>
            <w:shd w:fill="17324D"/>
          </w:tcPr>
          <w:p>
            <w:pPr>
              <w:spacing w:after="0" w:line="259" w:lineRule="auto"/>
            </w:pPr>
            <w:r/>
            <w:r>
              <w:rPr>
                <w:rFonts w:ascii="Aptos" w:hAnsi="Aptos"/>
                <w:b/>
                <w:color w:val="FFFFFF"/>
                <w:sz w:val="18"/>
              </w:rPr>
              <w:t>When introducing a framework</w:t>
            </w:r>
          </w:p>
        </w:tc>
        <w:tc>
          <w:tcPr>
            <w:tcW w:type="dxa" w:w="6624"/>
            <w:vAlign w:val="center"/>
            <w:tcMar>
              <w:top w:w="90" w:type="dxa"/>
              <w:start w:w="120" w:type="dxa"/>
              <w:bottom w:w="90" w:type="dxa"/>
              <w:end w:w="120" w:type="dxa"/>
            </w:tcMar>
            <w:shd w:fill="17324D"/>
          </w:tcPr>
          <w:p>
            <w:pPr>
              <w:spacing w:after="0" w:line="259" w:lineRule="auto"/>
            </w:pPr>
            <w:r/>
            <w:r>
              <w:rPr>
                <w:rFonts w:ascii="Aptos" w:hAnsi="Aptos"/>
                <w:b/>
                <w:color w:val="FFFFFF"/>
                <w:sz w:val="18"/>
              </w:rPr>
              <w:t>Answer this question</w:t>
            </w:r>
          </w:p>
        </w:tc>
      </w:tr>
      <w:tr>
        <w:tc>
          <w:tcPr>
            <w:tcW w:type="dxa" w:w="3096"/>
            <w:vAlign w:val="center"/>
            <w:tcMar>
              <w:top w:w="90" w:type="dxa"/>
              <w:start w:w="120" w:type="dxa"/>
              <w:bottom w:w="90" w:type="dxa"/>
              <w:end w:w="120" w:type="dxa"/>
            </w:tcMar>
            <w:shd w:fill="FFFFFF"/>
          </w:tcPr>
          <w:p>
            <w:pPr>
              <w:spacing w:after="0" w:line="259" w:lineRule="auto"/>
            </w:pPr>
            <w:r/>
            <w:r>
              <w:rPr>
                <w:rFonts w:ascii="Aptos" w:hAnsi="Aptos"/>
                <w:b/>
                <w:color w:val="17324D"/>
                <w:sz w:val="19"/>
              </w:rPr>
              <w:t>Purpose</w:t>
            </w:r>
          </w:p>
        </w:tc>
        <w:tc>
          <w:tcPr>
            <w:tcW w:type="dxa" w:w="6624"/>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What specific problem does it help the reader solve?</w:t>
            </w:r>
          </w:p>
        </w:tc>
      </w:tr>
      <w:tr>
        <w:tc>
          <w:tcPr>
            <w:tcW w:type="dxa" w:w="3096"/>
            <w:vAlign w:val="center"/>
            <w:tcMar>
              <w:top w:w="90" w:type="dxa"/>
              <w:start w:w="120" w:type="dxa"/>
              <w:bottom w:w="90" w:type="dxa"/>
              <w:end w:w="120" w:type="dxa"/>
            </w:tcMar>
            <w:shd w:fill="F4F7F9"/>
          </w:tcPr>
          <w:p>
            <w:pPr>
              <w:spacing w:after="0" w:line="259" w:lineRule="auto"/>
            </w:pPr>
            <w:r/>
            <w:r>
              <w:rPr>
                <w:rFonts w:ascii="Aptos" w:hAnsi="Aptos"/>
                <w:b/>
                <w:color w:val="17324D"/>
                <w:sz w:val="19"/>
              </w:rPr>
              <w:t>Boundary</w:t>
            </w:r>
          </w:p>
        </w:tc>
        <w:tc>
          <w:tcPr>
            <w:tcW w:type="dxa" w:w="6624"/>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What does it not solve by itself?</w:t>
            </w:r>
          </w:p>
        </w:tc>
      </w:tr>
      <w:tr>
        <w:tc>
          <w:tcPr>
            <w:tcW w:type="dxa" w:w="3096"/>
            <w:vAlign w:val="center"/>
            <w:tcMar>
              <w:top w:w="90" w:type="dxa"/>
              <w:start w:w="120" w:type="dxa"/>
              <w:bottom w:w="90" w:type="dxa"/>
              <w:end w:w="120" w:type="dxa"/>
            </w:tcMar>
            <w:shd w:fill="FFFFFF"/>
          </w:tcPr>
          <w:p>
            <w:pPr>
              <w:spacing w:after="0" w:line="259" w:lineRule="auto"/>
            </w:pPr>
            <w:r/>
            <w:r>
              <w:rPr>
                <w:rFonts w:ascii="Aptos" w:hAnsi="Aptos"/>
                <w:b/>
                <w:color w:val="17324D"/>
                <w:sz w:val="19"/>
              </w:rPr>
              <w:t>Relationship</w:t>
            </w:r>
          </w:p>
        </w:tc>
        <w:tc>
          <w:tcPr>
            <w:tcW w:type="dxa" w:w="6624"/>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How does it complement the other frameworks in the article?</w:t>
            </w:r>
          </w:p>
        </w:tc>
      </w:tr>
      <w:tr>
        <w:tc>
          <w:tcPr>
            <w:tcW w:type="dxa" w:w="3096"/>
            <w:vAlign w:val="center"/>
            <w:tcMar>
              <w:top w:w="90" w:type="dxa"/>
              <w:start w:w="120" w:type="dxa"/>
              <w:bottom w:w="90" w:type="dxa"/>
              <w:end w:w="120" w:type="dxa"/>
            </w:tcMar>
            <w:shd w:fill="F4F7F9"/>
          </w:tcPr>
          <w:p>
            <w:pPr>
              <w:spacing w:after="0" w:line="259" w:lineRule="auto"/>
            </w:pPr>
            <w:r/>
            <w:r>
              <w:rPr>
                <w:rFonts w:ascii="Aptos" w:hAnsi="Aptos"/>
                <w:b/>
                <w:color w:val="17324D"/>
                <w:sz w:val="19"/>
              </w:rPr>
              <w:t>Mechanism</w:t>
            </w:r>
          </w:p>
        </w:tc>
        <w:tc>
          <w:tcPr>
            <w:tcW w:type="dxa" w:w="6624"/>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What decision, behavior, feedback loop, or organizational structure changes?</w:t>
            </w:r>
          </w:p>
        </w:tc>
      </w:tr>
      <w:tr>
        <w:tc>
          <w:tcPr>
            <w:tcW w:type="dxa" w:w="3096"/>
            <w:vAlign w:val="center"/>
            <w:tcMar>
              <w:top w:w="90" w:type="dxa"/>
              <w:start w:w="120" w:type="dxa"/>
              <w:bottom w:w="90" w:type="dxa"/>
              <w:end w:w="120" w:type="dxa"/>
            </w:tcMar>
            <w:shd w:fill="FFFFFF"/>
          </w:tcPr>
          <w:p>
            <w:pPr>
              <w:spacing w:after="0" w:line="259" w:lineRule="auto"/>
            </w:pPr>
            <w:r/>
            <w:r>
              <w:rPr>
                <w:rFonts w:ascii="Aptos" w:hAnsi="Aptos"/>
                <w:b/>
                <w:color w:val="17324D"/>
                <w:sz w:val="19"/>
              </w:rPr>
              <w:t>Evidence</w:t>
            </w:r>
          </w:p>
        </w:tc>
        <w:tc>
          <w:tcPr>
            <w:tcW w:type="dxa" w:w="6624"/>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What source, example, or observable outcome supports the claim?</w:t>
            </w:r>
          </w:p>
        </w:tc>
      </w:tr>
      <w:tr>
        <w:tc>
          <w:tcPr>
            <w:tcW w:type="dxa" w:w="3096"/>
            <w:vAlign w:val="center"/>
            <w:tcMar>
              <w:top w:w="90" w:type="dxa"/>
              <w:start w:w="120" w:type="dxa"/>
              <w:bottom w:w="90" w:type="dxa"/>
              <w:end w:w="120" w:type="dxa"/>
            </w:tcMar>
            <w:shd w:fill="F4F7F9"/>
          </w:tcPr>
          <w:p>
            <w:pPr>
              <w:spacing w:after="0" w:line="259" w:lineRule="auto"/>
            </w:pPr>
            <w:r/>
            <w:r>
              <w:rPr>
                <w:rFonts w:ascii="Aptos" w:hAnsi="Aptos"/>
                <w:b/>
                <w:color w:val="17324D"/>
                <w:sz w:val="19"/>
              </w:rPr>
              <w:t>Application</w:t>
            </w:r>
          </w:p>
        </w:tc>
        <w:tc>
          <w:tcPr>
            <w:tcW w:type="dxa" w:w="6624"/>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What should a leader or team do differently?</w:t>
            </w:r>
          </w:p>
        </w:tc>
      </w:tr>
    </w:tbl>
    <w:p>
      <w:pPr>
        <w:spacing w:after="0"/>
      </w:pPr>
    </w:p>
    <w:p>
      <w:pPr>
        <w:pStyle w:val="Heading2"/>
      </w:pPr>
      <w:r>
        <w:t>Source use</w:t>
      </w:r>
    </w:p>
    <w:p>
      <w:pPr>
        <w:pStyle w:val="ListBullet"/>
        <w:spacing w:after="80"/>
        <w:ind w:left="403" w:hanging="259"/>
      </w:pPr>
      <w:r>
        <w:t>Prefer primary sources, original authors, and authoritative research when making factual or methodological claims.</w:t>
      </w:r>
    </w:p>
    <w:p>
      <w:pPr>
        <w:pStyle w:val="ListBullet"/>
        <w:spacing w:after="80"/>
        <w:ind w:left="403" w:hanging="259"/>
      </w:pPr>
      <w:r>
        <w:t>Name the source close to the claim it supports. Use endnotes or linked references for published articles when the format permits.</w:t>
      </w:r>
    </w:p>
    <w:p>
      <w:pPr>
        <w:pStyle w:val="ListBullet"/>
        <w:spacing w:after="80"/>
        <w:ind w:left="403" w:hanging="259"/>
      </w:pPr>
      <w:r>
        <w:t>Paraphrase in your own voice. Use direct quotations only when the original wording carries distinctive value.</w:t>
      </w:r>
    </w:p>
    <w:p>
      <w:pPr>
        <w:pStyle w:val="ListBullet"/>
        <w:spacing w:after="80"/>
        <w:ind w:left="403" w:hanging="259"/>
      </w:pPr>
      <w:r>
        <w:t>Do not let citations interrupt the narrative repeatedly. Group related evidence and then explain its significance.</w:t>
      </w:r>
    </w:p>
    <w:p>
      <w:pPr>
        <w:pStyle w:val="ListBullet"/>
        <w:spacing w:after="80"/>
        <w:ind w:left="403" w:hanging="259"/>
      </w:pPr>
      <w:r>
        <w:t>Separate evidence from inference. If the source establishes a fact and the article extends it into an operating implication, signal that reasoning clearly.</w:t>
      </w:r>
    </w:p>
    <w:p>
      <w:pPr>
        <w:pStyle w:val="Heading2"/>
      </w:pPr>
      <w:r>
        <w:t>Examples</w:t>
      </w:r>
    </w:p>
    <w:p>
      <w:r>
        <w:t>Examples in this voice are brief operating scenarios, not extended stories. They should identify a recognizable environment, expose the consequence of a decision, and demonstrate how the proposed model changes the result.</w:t>
      </w:r>
    </w:p>
    <w:tbl>
      <w:tblPr>
        <w:tblW w:type="auto" w:w="0"/>
        <w:tblLayout w:type="fixed"/>
        <w:tblLook w:firstColumn="1" w:firstRow="1" w:lastColumn="0" w:lastRow="0" w:noHBand="0" w:noVBand="1" w:val="04A0"/>
      </w:tblPr>
      <w:tblGrid>
        <w:gridCol w:w="9720"/>
      </w:tblGrid>
      <w:tr>
        <w:tc>
          <w:tcPr>
            <w:tcW w:type="dxa" w:w="9792"/>
            <w:shd w:fill="EAF1F6"/>
            <w:tcMar>
              <w:top w:w="130" w:type="dxa"/>
              <w:start w:w="170" w:type="dxa"/>
              <w:bottom w:w="130" w:type="dxa"/>
              <w:end w:w="170" w:type="dxa"/>
            </w:tcMar>
          </w:tcPr>
          <w:p>
            <w:pPr>
              <w:spacing w:after="0"/>
            </w:pPr>
            <w:r/>
            <w:r>
              <w:rPr>
                <w:b/>
                <w:color w:val="167D8D"/>
              </w:rPr>
              <w:t xml:space="preserve">EXAMPLE TEST  </w:t>
            </w:r>
            <w:r>
              <w:rPr>
                <w:color w:val="1F252B"/>
              </w:rPr>
              <w:t>Could a product leader point to a meeting, workflow, role boundary, measure, customer interaction, or platform constraint and recognize the idea in practice? If not, the example is still too abstract.</w:t>
            </w:r>
          </w:p>
        </w:tc>
      </w:tr>
    </w:tbl>
    <w:p>
      <w:pPr>
        <w:spacing w:after="0"/>
      </w:pPr>
    </w:p>
    <w:p>
      <w:pPr>
        <w:pStyle w:val="Heading2"/>
      </w:pPr>
      <w:r>
        <w:t>Handling complexity</w:t>
      </w:r>
    </w:p>
    <w:p>
      <w:pPr>
        <w:pStyle w:val="ListBullet"/>
        <w:spacing w:after="80"/>
        <w:ind w:left="403" w:hanging="259"/>
      </w:pPr>
      <w:r>
        <w:t>Define acronyms on first use, even when the audience is experienced.</w:t>
      </w:r>
    </w:p>
    <w:p>
      <w:pPr>
        <w:pStyle w:val="ListBullet"/>
        <w:spacing w:after="80"/>
        <w:ind w:left="403" w:hanging="259"/>
      </w:pPr>
      <w:r>
        <w:t>Preserve essential distinctions: product versus project, output versus outcome, governance versus control, platform customer versus external customer.</w:t>
      </w:r>
    </w:p>
    <w:p>
      <w:pPr>
        <w:pStyle w:val="ListBullet"/>
        <w:spacing w:after="80"/>
        <w:ind w:left="403" w:hanging="259"/>
      </w:pPr>
      <w:r>
        <w:t>Use a named model only when it compresses complexity for the reader. Otherwise, explain the relationship in plain language.</w:t>
      </w:r>
    </w:p>
    <w:p>
      <w:pPr>
        <w:pStyle w:val="ListBullet"/>
        <w:spacing w:after="80"/>
        <w:ind w:left="403" w:hanging="259"/>
      </w:pPr>
      <w:r>
        <w:t>Avoid presenting a framework as a universal maturity ladder. Context, capability, feedback, and purpose remain central.</w:t>
      </w:r>
    </w:p>
    <w:p>
      <w:pPr>
        <w:pStyle w:val="Heading1"/>
      </w:pPr>
      <w:r>
        <w:t>6. FlowTrain Pro Article Blueprint</w:t>
      </w:r>
    </w:p>
    <w:tbl>
      <w:tblPr>
        <w:tblW w:type="auto" w:w="0"/>
        <w:jc w:val="center"/>
        <w:tblLayout w:type="fixed"/>
        <w:tblLook w:firstColumn="1" w:firstRow="1" w:lastColumn="0" w:lastRow="0" w:noHBand="0" w:noVBand="1" w:val="04A0"/>
      </w:tblPr>
      <w:tblGrid>
        <w:gridCol w:w="3264"/>
        <w:gridCol w:w="3264"/>
        <w:gridCol w:w="3264"/>
      </w:tblGrid>
      <w:tr>
        <w:tc>
          <w:tcPr>
            <w:tcW w:type="dxa" w:w="1944"/>
            <w:vAlign w:val="center"/>
            <w:tcMar>
              <w:top w:w="90" w:type="dxa"/>
              <w:start w:w="120" w:type="dxa"/>
              <w:bottom w:w="90" w:type="dxa"/>
              <w:end w:w="120" w:type="dxa"/>
            </w:tcMar>
            <w:shd w:fill="17324D"/>
          </w:tcPr>
          <w:p>
            <w:pPr>
              <w:spacing w:after="0" w:line="259" w:lineRule="auto"/>
            </w:pPr>
            <w:r/>
            <w:r>
              <w:rPr>
                <w:rFonts w:ascii="Aptos" w:hAnsi="Aptos"/>
                <w:b/>
                <w:color w:val="FFFFFF"/>
                <w:sz w:val="18"/>
              </w:rPr>
              <w:t>Section</w:t>
            </w:r>
          </w:p>
        </w:tc>
        <w:tc>
          <w:tcPr>
            <w:tcW w:type="dxa" w:w="6408"/>
            <w:vAlign w:val="center"/>
            <w:tcMar>
              <w:top w:w="90" w:type="dxa"/>
              <w:start w:w="120" w:type="dxa"/>
              <w:bottom w:w="90" w:type="dxa"/>
              <w:end w:w="120" w:type="dxa"/>
            </w:tcMar>
            <w:shd w:fill="17324D"/>
          </w:tcPr>
          <w:p>
            <w:pPr>
              <w:spacing w:after="0" w:line="259" w:lineRule="auto"/>
            </w:pPr>
            <w:r/>
            <w:r>
              <w:rPr>
                <w:rFonts w:ascii="Aptos" w:hAnsi="Aptos"/>
                <w:b/>
                <w:color w:val="FFFFFF"/>
                <w:sz w:val="18"/>
              </w:rPr>
              <w:t>Recommended content</w:t>
            </w:r>
          </w:p>
        </w:tc>
        <w:tc>
          <w:tcPr>
            <w:tcW w:type="dxa" w:w="1368"/>
            <w:vAlign w:val="center"/>
            <w:tcMar>
              <w:top w:w="90" w:type="dxa"/>
              <w:start w:w="120" w:type="dxa"/>
              <w:bottom w:w="90" w:type="dxa"/>
              <w:end w:w="120" w:type="dxa"/>
            </w:tcMar>
            <w:shd w:fill="17324D"/>
          </w:tcPr>
          <w:p>
            <w:pPr>
              <w:spacing w:after="0" w:line="259" w:lineRule="auto"/>
            </w:pPr>
            <w:r/>
            <w:r>
              <w:rPr>
                <w:rFonts w:ascii="Aptos" w:hAnsi="Aptos"/>
                <w:b/>
                <w:color w:val="FFFFFF"/>
                <w:sz w:val="18"/>
              </w:rPr>
              <w:t>Approximate share</w:t>
            </w:r>
          </w:p>
        </w:tc>
      </w:tr>
      <w:tr>
        <w:tc>
          <w:tcPr>
            <w:tcW w:type="dxa" w:w="1944"/>
            <w:vAlign w:val="center"/>
            <w:tcMar>
              <w:top w:w="90" w:type="dxa"/>
              <w:start w:w="120" w:type="dxa"/>
              <w:bottom w:w="90" w:type="dxa"/>
              <w:end w:w="120" w:type="dxa"/>
            </w:tcMar>
            <w:shd w:fill="FFFFFF"/>
          </w:tcPr>
          <w:p>
            <w:pPr>
              <w:spacing w:after="0" w:line="259" w:lineRule="auto"/>
            </w:pPr>
            <w:r/>
            <w:r>
              <w:rPr>
                <w:rFonts w:ascii="Aptos" w:hAnsi="Aptos"/>
                <w:b/>
                <w:color w:val="17324D"/>
                <w:sz w:val="19"/>
              </w:rPr>
              <w:t>Title</w:t>
            </w:r>
          </w:p>
        </w:tc>
        <w:tc>
          <w:tcPr>
            <w:tcW w:type="dxa" w:w="640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Specific tension, reframe, or operating outcome; avoid broad trend language.</w:t>
            </w:r>
          </w:p>
        </w:tc>
        <w:tc>
          <w:tcPr>
            <w:tcW w:type="dxa" w:w="136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w:t>
            </w:r>
          </w:p>
        </w:tc>
      </w:tr>
      <w:tr>
        <w:tc>
          <w:tcPr>
            <w:tcW w:type="dxa" w:w="1944"/>
            <w:vAlign w:val="center"/>
            <w:tcMar>
              <w:top w:w="90" w:type="dxa"/>
              <w:start w:w="120" w:type="dxa"/>
              <w:bottom w:w="90" w:type="dxa"/>
              <w:end w:w="120" w:type="dxa"/>
            </w:tcMar>
            <w:shd w:fill="F4F7F9"/>
          </w:tcPr>
          <w:p>
            <w:pPr>
              <w:spacing w:after="0" w:line="259" w:lineRule="auto"/>
            </w:pPr>
            <w:r/>
            <w:r>
              <w:rPr>
                <w:rFonts w:ascii="Aptos" w:hAnsi="Aptos"/>
                <w:b/>
                <w:color w:val="17324D"/>
                <w:sz w:val="19"/>
              </w:rPr>
              <w:t>Lead</w:t>
            </w:r>
          </w:p>
        </w:tc>
        <w:tc>
          <w:tcPr>
            <w:tcW w:type="dxa" w:w="640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Problem, stakes, central claim, and why the reader should care.</w:t>
            </w:r>
          </w:p>
        </w:tc>
        <w:tc>
          <w:tcPr>
            <w:tcW w:type="dxa" w:w="136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8–12%</w:t>
            </w:r>
          </w:p>
        </w:tc>
      </w:tr>
      <w:tr>
        <w:tc>
          <w:tcPr>
            <w:tcW w:type="dxa" w:w="1944"/>
            <w:vAlign w:val="center"/>
            <w:tcMar>
              <w:top w:w="90" w:type="dxa"/>
              <w:start w:w="120" w:type="dxa"/>
              <w:bottom w:w="90" w:type="dxa"/>
              <w:end w:w="120" w:type="dxa"/>
            </w:tcMar>
            <w:shd w:fill="FFFFFF"/>
          </w:tcPr>
          <w:p>
            <w:pPr>
              <w:spacing w:after="0" w:line="259" w:lineRule="auto"/>
            </w:pPr>
            <w:r/>
            <w:r>
              <w:rPr>
                <w:rFonts w:ascii="Aptos" w:hAnsi="Aptos"/>
                <w:b/>
                <w:color w:val="17324D"/>
                <w:sz w:val="19"/>
              </w:rPr>
              <w:t>Current-state limits</w:t>
            </w:r>
          </w:p>
        </w:tc>
        <w:tc>
          <w:tcPr>
            <w:tcW w:type="dxa" w:w="640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The prevailing assumption and its operational consequences.</w:t>
            </w:r>
          </w:p>
        </w:tc>
        <w:tc>
          <w:tcPr>
            <w:tcW w:type="dxa" w:w="136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12–18%</w:t>
            </w:r>
          </w:p>
        </w:tc>
      </w:tr>
      <w:tr>
        <w:tc>
          <w:tcPr>
            <w:tcW w:type="dxa" w:w="1944"/>
            <w:vAlign w:val="center"/>
            <w:tcMar>
              <w:top w:w="90" w:type="dxa"/>
              <w:start w:w="120" w:type="dxa"/>
              <w:bottom w:w="90" w:type="dxa"/>
              <w:end w:w="120" w:type="dxa"/>
            </w:tcMar>
            <w:shd w:fill="F4F7F9"/>
          </w:tcPr>
          <w:p>
            <w:pPr>
              <w:spacing w:after="0" w:line="259" w:lineRule="auto"/>
            </w:pPr>
            <w:r/>
            <w:r>
              <w:rPr>
                <w:rFonts w:ascii="Aptos" w:hAnsi="Aptos"/>
                <w:b/>
                <w:color w:val="17324D"/>
                <w:sz w:val="19"/>
              </w:rPr>
              <w:t>Core reframe</w:t>
            </w:r>
          </w:p>
        </w:tc>
        <w:tc>
          <w:tcPr>
            <w:tcW w:type="dxa" w:w="640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The more useful mental model and the distinction it introduces.</w:t>
            </w:r>
          </w:p>
        </w:tc>
        <w:tc>
          <w:tcPr>
            <w:tcW w:type="dxa" w:w="136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12–18%</w:t>
            </w:r>
          </w:p>
        </w:tc>
      </w:tr>
      <w:tr>
        <w:tc>
          <w:tcPr>
            <w:tcW w:type="dxa" w:w="1944"/>
            <w:vAlign w:val="center"/>
            <w:tcMar>
              <w:top w:w="90" w:type="dxa"/>
              <w:start w:w="120" w:type="dxa"/>
              <w:bottom w:w="90" w:type="dxa"/>
              <w:end w:w="120" w:type="dxa"/>
            </w:tcMar>
            <w:shd w:fill="FFFFFF"/>
          </w:tcPr>
          <w:p>
            <w:pPr>
              <w:spacing w:after="0" w:line="259" w:lineRule="auto"/>
            </w:pPr>
            <w:r/>
            <w:r>
              <w:rPr>
                <w:rFonts w:ascii="Aptos" w:hAnsi="Aptos"/>
                <w:b/>
                <w:color w:val="17324D"/>
                <w:sz w:val="19"/>
              </w:rPr>
              <w:t>Integrated framework</w:t>
            </w:r>
          </w:p>
        </w:tc>
        <w:tc>
          <w:tcPr>
            <w:tcW w:type="dxa" w:w="640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Three to five connected elements, with purpose and boundaries.</w:t>
            </w:r>
          </w:p>
        </w:tc>
        <w:tc>
          <w:tcPr>
            <w:tcW w:type="dxa" w:w="136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25–35%</w:t>
            </w:r>
          </w:p>
        </w:tc>
      </w:tr>
      <w:tr>
        <w:tc>
          <w:tcPr>
            <w:tcW w:type="dxa" w:w="1944"/>
            <w:vAlign w:val="center"/>
            <w:tcMar>
              <w:top w:w="90" w:type="dxa"/>
              <w:start w:w="120" w:type="dxa"/>
              <w:bottom w:w="90" w:type="dxa"/>
              <w:end w:w="120" w:type="dxa"/>
            </w:tcMar>
            <w:shd w:fill="F4F7F9"/>
          </w:tcPr>
          <w:p>
            <w:pPr>
              <w:spacing w:after="0" w:line="259" w:lineRule="auto"/>
            </w:pPr>
            <w:r/>
            <w:r>
              <w:rPr>
                <w:rFonts w:ascii="Aptos" w:hAnsi="Aptos"/>
                <w:b/>
                <w:color w:val="17324D"/>
                <w:sz w:val="19"/>
              </w:rPr>
              <w:t>Application</w:t>
            </w:r>
          </w:p>
        </w:tc>
        <w:tc>
          <w:tcPr>
            <w:tcW w:type="dxa" w:w="640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Roles, decisions, practices, examples, measures, and common failure modes.</w:t>
            </w:r>
          </w:p>
        </w:tc>
        <w:tc>
          <w:tcPr>
            <w:tcW w:type="dxa" w:w="1368"/>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20–30%</w:t>
            </w:r>
          </w:p>
        </w:tc>
      </w:tr>
      <w:tr>
        <w:tc>
          <w:tcPr>
            <w:tcW w:type="dxa" w:w="1944"/>
            <w:vAlign w:val="center"/>
            <w:tcMar>
              <w:top w:w="90" w:type="dxa"/>
              <w:start w:w="120" w:type="dxa"/>
              <w:bottom w:w="90" w:type="dxa"/>
              <w:end w:w="120" w:type="dxa"/>
            </w:tcMar>
            <w:shd w:fill="FFFFFF"/>
          </w:tcPr>
          <w:p>
            <w:pPr>
              <w:spacing w:after="0" w:line="259" w:lineRule="auto"/>
            </w:pPr>
            <w:r/>
            <w:r>
              <w:rPr>
                <w:rFonts w:ascii="Aptos" w:hAnsi="Aptos"/>
                <w:b/>
                <w:color w:val="17324D"/>
                <w:sz w:val="19"/>
              </w:rPr>
              <w:t>Conclusion</w:t>
            </w:r>
          </w:p>
        </w:tc>
        <w:tc>
          <w:tcPr>
            <w:tcW w:type="dxa" w:w="640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Synthesis, durable capability, and a practical next move.</w:t>
            </w:r>
          </w:p>
        </w:tc>
        <w:tc>
          <w:tcPr>
            <w:tcW w:type="dxa" w:w="1368"/>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6–10%</w:t>
            </w:r>
          </w:p>
        </w:tc>
      </w:tr>
    </w:tbl>
    <w:p>
      <w:pPr>
        <w:spacing w:after="0"/>
      </w:pPr>
    </w:p>
    <w:p>
      <w:pPr>
        <w:pStyle w:val="Heading2"/>
      </w:pPr>
      <w:r>
        <w:t>Drafting questions</w:t>
      </w:r>
    </w:p>
    <w:p>
      <w:pPr>
        <w:pStyle w:val="ListBullet"/>
        <w:spacing w:after="80"/>
        <w:ind w:left="403" w:hanging="259"/>
      </w:pPr>
      <w:r>
        <w:t>What is the prevailing assumption I am challenging or expanding?</w:t>
      </w:r>
    </w:p>
    <w:p>
      <w:pPr>
        <w:pStyle w:val="ListBullet"/>
        <w:spacing w:after="80"/>
        <w:ind w:left="403" w:hanging="259"/>
      </w:pPr>
      <w:r>
        <w:t>What does that assumption cause teams or leaders to do?</w:t>
      </w:r>
    </w:p>
    <w:p>
      <w:pPr>
        <w:pStyle w:val="ListBullet"/>
        <w:spacing w:after="80"/>
        <w:ind w:left="403" w:hanging="259"/>
      </w:pPr>
      <w:r>
        <w:t>What is the central reframe in one sentence?</w:t>
      </w:r>
    </w:p>
    <w:p>
      <w:pPr>
        <w:pStyle w:val="ListBullet"/>
        <w:spacing w:after="80"/>
        <w:ind w:left="403" w:hanging="259"/>
      </w:pPr>
      <w:r>
        <w:t>Which two to four concepts genuinely need to be connected?</w:t>
      </w:r>
    </w:p>
    <w:p>
      <w:pPr>
        <w:pStyle w:val="ListBullet"/>
        <w:spacing w:after="80"/>
        <w:ind w:left="403" w:hanging="259"/>
      </w:pPr>
      <w:r>
        <w:t>What is the mechanism that connects them?</w:t>
      </w:r>
    </w:p>
    <w:p>
      <w:pPr>
        <w:pStyle w:val="ListBullet"/>
        <w:spacing w:after="80"/>
        <w:ind w:left="403" w:hanging="259"/>
      </w:pPr>
      <w:r>
        <w:t>What example makes the mechanism visible?</w:t>
      </w:r>
    </w:p>
    <w:p>
      <w:pPr>
        <w:pStyle w:val="ListBullet"/>
        <w:spacing w:after="80"/>
        <w:ind w:left="403" w:hanging="259"/>
      </w:pPr>
      <w:r>
        <w:t>What should the reader decide, stop, start, or examine differently?</w:t>
      </w:r>
    </w:p>
    <w:p>
      <w:pPr>
        <w:pStyle w:val="ListBullet"/>
        <w:spacing w:after="80"/>
        <w:ind w:left="403" w:hanging="259"/>
      </w:pPr>
      <w:r>
        <w:t>What durable capability does this create?</w:t>
      </w:r>
    </w:p>
    <w:p>
      <w:pPr>
        <w:pStyle w:val="Heading2"/>
      </w:pPr>
      <w:r>
        <w:t>Headline patterns</w:t>
      </w:r>
    </w:p>
    <w:p>
      <w:pPr>
        <w:pStyle w:val="ListBullet"/>
        <w:spacing w:after="80"/>
        <w:ind w:left="403" w:hanging="259"/>
      </w:pPr>
      <w:r>
        <w:t>From [Limited Frame] to [Stronger Capability]</w:t>
      </w:r>
    </w:p>
    <w:p>
      <w:pPr>
        <w:pStyle w:val="ListBullet"/>
        <w:spacing w:after="80"/>
        <w:ind w:left="403" w:hanging="259"/>
      </w:pPr>
      <w:r>
        <w:t>Why [Familiar Practice] Is Not Enough for [Complex Context]</w:t>
      </w:r>
    </w:p>
    <w:p>
      <w:pPr>
        <w:pStyle w:val="ListBullet"/>
        <w:spacing w:after="80"/>
        <w:ind w:left="403" w:hanging="259"/>
      </w:pPr>
      <w:r>
        <w:t>Connecting [Framework A], [Framework B], and [Framework C] to [Outcome]</w:t>
      </w:r>
    </w:p>
    <w:p>
      <w:pPr>
        <w:pStyle w:val="ListBullet"/>
        <w:spacing w:after="80"/>
        <w:ind w:left="403" w:hanging="259"/>
      </w:pPr>
      <w:r>
        <w:t>The Evolving Role of [Function] in [Operating Environment]</w:t>
      </w:r>
    </w:p>
    <w:p>
      <w:pPr>
        <w:pStyle w:val="ListBullet"/>
        <w:spacing w:after="80"/>
        <w:ind w:left="403" w:hanging="259"/>
      </w:pPr>
      <w:r>
        <w:t>Beyond [Conventional Goal]: Building [Durable Capability]</w:t>
      </w:r>
    </w:p>
    <w:p>
      <w:pPr>
        <w:pStyle w:val="ListBullet"/>
        <w:spacing w:after="80"/>
        <w:ind w:left="403" w:hanging="259"/>
      </w:pPr>
      <w:r>
        <w:t>[Concept] as an Operating System for [Outcome]</w:t>
      </w:r>
    </w:p>
    <w:p>
      <w:pPr>
        <w:pStyle w:val="Heading2"/>
      </w:pPr>
      <w:r>
        <w:t>Preferred visual logic</w:t>
      </w:r>
    </w:p>
    <w:p>
      <w:r>
        <w:t>When an article includes a visual, favor a simple system diagram, comparison table, operating-model layers, flow, or decision framework. Visuals should clarify relationships among three or more elements. Avoid decorative imagery that does not teach the model.</w:t>
      </w:r>
    </w:p>
    <w:p>
      <w:pPr>
        <w:pStyle w:val="Heading1"/>
      </w:pPr>
      <w:r>
        <w:t>7. Editing Guardrails</w:t>
      </w:r>
    </w:p>
    <w:tbl>
      <w:tblPr>
        <w:tblW w:type="auto" w:w="0"/>
        <w:jc w:val="center"/>
        <w:tblLayout w:type="fixed"/>
        <w:tblLook w:firstColumn="1" w:firstRow="1" w:lastColumn="0" w:lastRow="0" w:noHBand="0" w:noVBand="1" w:val="04A0"/>
      </w:tblPr>
      <w:tblGrid>
        <w:gridCol w:w="4896"/>
        <w:gridCol w:w="4896"/>
      </w:tblGrid>
      <w:tr>
        <w:tc>
          <w:tcPr>
            <w:tcW w:type="dxa" w:w="2880"/>
            <w:vAlign w:val="center"/>
            <w:tcMar>
              <w:top w:w="90" w:type="dxa"/>
              <w:start w:w="120" w:type="dxa"/>
              <w:bottom w:w="90" w:type="dxa"/>
              <w:end w:w="120" w:type="dxa"/>
            </w:tcMar>
            <w:shd w:fill="17324D"/>
          </w:tcPr>
          <w:p>
            <w:pPr>
              <w:spacing w:after="0" w:line="259" w:lineRule="auto"/>
            </w:pPr>
            <w:r/>
            <w:r>
              <w:rPr>
                <w:rFonts w:ascii="Aptos" w:hAnsi="Aptos"/>
                <w:b/>
                <w:color w:val="FFFFFF"/>
                <w:sz w:val="18"/>
              </w:rPr>
              <w:t>Risk</w:t>
            </w:r>
          </w:p>
        </w:tc>
        <w:tc>
          <w:tcPr>
            <w:tcW w:type="dxa" w:w="6840"/>
            <w:vAlign w:val="center"/>
            <w:tcMar>
              <w:top w:w="90" w:type="dxa"/>
              <w:start w:w="120" w:type="dxa"/>
              <w:bottom w:w="90" w:type="dxa"/>
              <w:end w:w="120" w:type="dxa"/>
            </w:tcMar>
            <w:shd w:fill="17324D"/>
          </w:tcPr>
          <w:p>
            <w:pPr>
              <w:spacing w:after="0" w:line="259" w:lineRule="auto"/>
            </w:pPr>
            <w:r/>
            <w:r>
              <w:rPr>
                <w:rFonts w:ascii="Aptos" w:hAnsi="Aptos"/>
                <w:b/>
                <w:color w:val="FFFFFF"/>
                <w:sz w:val="18"/>
              </w:rPr>
              <w:t>Editing correction</w:t>
            </w:r>
          </w:p>
        </w:tc>
      </w:tr>
      <w:tr>
        <w:tc>
          <w:tcPr>
            <w:tcW w:type="dxa" w:w="2880"/>
            <w:vAlign w:val="center"/>
            <w:tcMar>
              <w:top w:w="90" w:type="dxa"/>
              <w:start w:w="120" w:type="dxa"/>
              <w:bottom w:w="90" w:type="dxa"/>
              <w:end w:w="120" w:type="dxa"/>
            </w:tcMar>
            <w:shd w:fill="FFFFFF"/>
          </w:tcPr>
          <w:p>
            <w:pPr>
              <w:spacing w:after="0" w:line="259" w:lineRule="auto"/>
            </w:pPr>
            <w:r/>
            <w:r>
              <w:rPr>
                <w:rFonts w:ascii="Aptos" w:hAnsi="Aptos"/>
                <w:b/>
                <w:color w:val="17324D"/>
                <w:sz w:val="19"/>
              </w:rPr>
              <w:t>Generic trend opening</w:t>
            </w:r>
          </w:p>
        </w:tc>
        <w:tc>
          <w:tcPr>
            <w:tcW w:type="dxa" w:w="6840"/>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Replace it with a specific tension, contradiction, cost, or decision facing the reader.</w:t>
            </w:r>
          </w:p>
        </w:tc>
      </w:tr>
      <w:tr>
        <w:tc>
          <w:tcPr>
            <w:tcW w:type="dxa" w:w="2880"/>
            <w:vAlign w:val="center"/>
            <w:tcMar>
              <w:top w:w="90" w:type="dxa"/>
              <w:start w:w="120" w:type="dxa"/>
              <w:bottom w:w="90" w:type="dxa"/>
              <w:end w:w="120" w:type="dxa"/>
            </w:tcMar>
            <w:shd w:fill="F4F7F9"/>
          </w:tcPr>
          <w:p>
            <w:pPr>
              <w:spacing w:after="0" w:line="259" w:lineRule="auto"/>
            </w:pPr>
            <w:r/>
            <w:r>
              <w:rPr>
                <w:rFonts w:ascii="Aptos" w:hAnsi="Aptos"/>
                <w:b/>
                <w:color w:val="17324D"/>
                <w:sz w:val="19"/>
              </w:rPr>
              <w:t>Sentence overload</w:t>
            </w:r>
          </w:p>
        </w:tc>
        <w:tc>
          <w:tcPr>
            <w:tcW w:type="dxa" w:w="6840"/>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Split the claim, mechanism, and implication into separate sentences.</w:t>
            </w:r>
          </w:p>
        </w:tc>
      </w:tr>
      <w:tr>
        <w:tc>
          <w:tcPr>
            <w:tcW w:type="dxa" w:w="2880"/>
            <w:vAlign w:val="center"/>
            <w:tcMar>
              <w:top w:w="90" w:type="dxa"/>
              <w:start w:w="120" w:type="dxa"/>
              <w:bottom w:w="90" w:type="dxa"/>
              <w:end w:w="120" w:type="dxa"/>
            </w:tcMar>
            <w:shd w:fill="FFFFFF"/>
          </w:tcPr>
          <w:p>
            <w:pPr>
              <w:spacing w:after="0" w:line="259" w:lineRule="auto"/>
            </w:pPr>
            <w:r/>
            <w:r>
              <w:rPr>
                <w:rFonts w:ascii="Aptos" w:hAnsi="Aptos"/>
                <w:b/>
                <w:color w:val="17324D"/>
                <w:sz w:val="19"/>
              </w:rPr>
              <w:t>Repeated “This…” openings</w:t>
            </w:r>
          </w:p>
        </w:tc>
        <w:tc>
          <w:tcPr>
            <w:tcW w:type="dxa" w:w="6840"/>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Name the actual subject or use a transition that states the logical relationship.</w:t>
            </w:r>
          </w:p>
        </w:tc>
      </w:tr>
      <w:tr>
        <w:tc>
          <w:tcPr>
            <w:tcW w:type="dxa" w:w="2880"/>
            <w:vAlign w:val="center"/>
            <w:tcMar>
              <w:top w:w="90" w:type="dxa"/>
              <w:start w:w="120" w:type="dxa"/>
              <w:bottom w:w="90" w:type="dxa"/>
              <w:end w:w="120" w:type="dxa"/>
            </w:tcMar>
            <w:shd w:fill="F4F7F9"/>
          </w:tcPr>
          <w:p>
            <w:pPr>
              <w:spacing w:after="0" w:line="259" w:lineRule="auto"/>
            </w:pPr>
            <w:r/>
            <w:r>
              <w:rPr>
                <w:rFonts w:ascii="Aptos" w:hAnsi="Aptos"/>
                <w:b/>
                <w:color w:val="17324D"/>
                <w:sz w:val="19"/>
              </w:rPr>
              <w:t>Framework name-dropping</w:t>
            </w:r>
          </w:p>
        </w:tc>
        <w:tc>
          <w:tcPr>
            <w:tcW w:type="dxa" w:w="6840"/>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Give each framework a defined job, boundary, and interaction with the others.</w:t>
            </w:r>
          </w:p>
        </w:tc>
      </w:tr>
      <w:tr>
        <w:tc>
          <w:tcPr>
            <w:tcW w:type="dxa" w:w="2880"/>
            <w:vAlign w:val="center"/>
            <w:tcMar>
              <w:top w:w="90" w:type="dxa"/>
              <w:start w:w="120" w:type="dxa"/>
              <w:bottom w:w="90" w:type="dxa"/>
              <w:end w:w="120" w:type="dxa"/>
            </w:tcMar>
            <w:shd w:fill="FFFFFF"/>
          </w:tcPr>
          <w:p>
            <w:pPr>
              <w:spacing w:after="0" w:line="259" w:lineRule="auto"/>
            </w:pPr>
            <w:r/>
            <w:r>
              <w:rPr>
                <w:rFonts w:ascii="Aptos" w:hAnsi="Aptos"/>
                <w:b/>
                <w:color w:val="17324D"/>
                <w:sz w:val="19"/>
              </w:rPr>
              <w:t>List without synthesis</w:t>
            </w:r>
          </w:p>
        </w:tc>
        <w:tc>
          <w:tcPr>
            <w:tcW w:type="dxa" w:w="6840"/>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Add a paragraph explaining how the items reinforce one another and why the set is complete enough.</w:t>
            </w:r>
          </w:p>
        </w:tc>
      </w:tr>
      <w:tr>
        <w:tc>
          <w:tcPr>
            <w:tcW w:type="dxa" w:w="2880"/>
            <w:vAlign w:val="center"/>
            <w:tcMar>
              <w:top w:w="90" w:type="dxa"/>
              <w:start w:w="120" w:type="dxa"/>
              <w:bottom w:w="90" w:type="dxa"/>
              <w:end w:w="120" w:type="dxa"/>
            </w:tcMar>
            <w:shd w:fill="F4F7F9"/>
          </w:tcPr>
          <w:p>
            <w:pPr>
              <w:spacing w:after="0" w:line="259" w:lineRule="auto"/>
            </w:pPr>
            <w:r/>
            <w:r>
              <w:rPr>
                <w:rFonts w:ascii="Aptos" w:hAnsi="Aptos"/>
                <w:b/>
                <w:color w:val="17324D"/>
                <w:sz w:val="19"/>
              </w:rPr>
              <w:t>Abstract benefit claims</w:t>
            </w:r>
          </w:p>
        </w:tc>
        <w:tc>
          <w:tcPr>
            <w:tcW w:type="dxa" w:w="6840"/>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Connect the benefit to a behavior, decision, measure, workflow, or customer consequence.</w:t>
            </w:r>
          </w:p>
        </w:tc>
      </w:tr>
      <w:tr>
        <w:tc>
          <w:tcPr>
            <w:tcW w:type="dxa" w:w="2880"/>
            <w:vAlign w:val="center"/>
            <w:tcMar>
              <w:top w:w="90" w:type="dxa"/>
              <w:start w:w="120" w:type="dxa"/>
              <w:bottom w:w="90" w:type="dxa"/>
              <w:end w:w="120" w:type="dxa"/>
            </w:tcMar>
            <w:shd w:fill="FFFFFF"/>
          </w:tcPr>
          <w:p>
            <w:pPr>
              <w:spacing w:after="0" w:line="259" w:lineRule="auto"/>
            </w:pPr>
            <w:r/>
            <w:r>
              <w:rPr>
                <w:rFonts w:ascii="Aptos" w:hAnsi="Aptos"/>
                <w:b/>
                <w:color w:val="17324D"/>
                <w:sz w:val="19"/>
              </w:rPr>
              <w:t>Binary old-versus-new framing</w:t>
            </w:r>
          </w:p>
        </w:tc>
        <w:tc>
          <w:tcPr>
            <w:tcW w:type="dxa" w:w="6840"/>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Acknowledge the value of the existing approach, then explain where it becomes insufficient.</w:t>
            </w:r>
          </w:p>
        </w:tc>
      </w:tr>
      <w:tr>
        <w:tc>
          <w:tcPr>
            <w:tcW w:type="dxa" w:w="2880"/>
            <w:vAlign w:val="center"/>
            <w:tcMar>
              <w:top w:w="90" w:type="dxa"/>
              <w:start w:w="120" w:type="dxa"/>
              <w:bottom w:w="90" w:type="dxa"/>
              <w:end w:w="120" w:type="dxa"/>
            </w:tcMar>
            <w:shd w:fill="F4F7F9"/>
          </w:tcPr>
          <w:p>
            <w:pPr>
              <w:spacing w:after="0" w:line="259" w:lineRule="auto"/>
            </w:pPr>
            <w:r/>
            <w:r>
              <w:rPr>
                <w:rFonts w:ascii="Aptos" w:hAnsi="Aptos"/>
                <w:b/>
                <w:color w:val="17324D"/>
                <w:sz w:val="19"/>
              </w:rPr>
              <w:t>Excessive corporate vocabulary</w:t>
            </w:r>
          </w:p>
        </w:tc>
        <w:tc>
          <w:tcPr>
            <w:tcW w:type="dxa" w:w="6840"/>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Prefer direct verbs and concrete nouns; remove phrases that could appear in any strategy article.</w:t>
            </w:r>
          </w:p>
        </w:tc>
      </w:tr>
      <w:tr>
        <w:tc>
          <w:tcPr>
            <w:tcW w:type="dxa" w:w="2880"/>
            <w:vAlign w:val="center"/>
            <w:tcMar>
              <w:top w:w="90" w:type="dxa"/>
              <w:start w:w="120" w:type="dxa"/>
              <w:bottom w:w="90" w:type="dxa"/>
              <w:end w:w="120" w:type="dxa"/>
            </w:tcMar>
            <w:shd w:fill="FFFFFF"/>
          </w:tcPr>
          <w:p>
            <w:pPr>
              <w:spacing w:after="0" w:line="259" w:lineRule="auto"/>
            </w:pPr>
            <w:r/>
            <w:r>
              <w:rPr>
                <w:rFonts w:ascii="Aptos" w:hAnsi="Aptos"/>
                <w:b/>
                <w:color w:val="17324D"/>
                <w:sz w:val="19"/>
              </w:rPr>
              <w:t>Conclusion as recap</w:t>
            </w:r>
          </w:p>
        </w:tc>
        <w:tc>
          <w:tcPr>
            <w:tcW w:type="dxa" w:w="6840"/>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Synthesize the changed mental model and state the next practical implication.</w:t>
            </w:r>
          </w:p>
        </w:tc>
      </w:tr>
    </w:tbl>
    <w:p>
      <w:pPr>
        <w:spacing w:after="0"/>
      </w:pPr>
    </w:p>
    <w:p>
      <w:pPr>
        <w:pStyle w:val="Heading2"/>
      </w:pPr>
      <w:r>
        <w:t>Words and constructions to watch</w:t>
      </w:r>
    </w:p>
    <w:p>
      <w:pPr>
        <w:pStyle w:val="ListBullet"/>
        <w:spacing w:after="80"/>
        <w:ind w:left="403" w:hanging="259"/>
      </w:pPr>
      <w:r>
        <w:t>rapidly evolving, ever-changing, pivotal, profound, multifaceted, indispensable—use only when the sentence demonstrates why the modifier is warranted.</w:t>
      </w:r>
    </w:p>
    <w:p>
      <w:pPr>
        <w:pStyle w:val="ListBullet"/>
        <w:spacing w:after="80"/>
        <w:ind w:left="403" w:hanging="259"/>
      </w:pPr>
      <w:r>
        <w:t>In today’s…—usually delete and begin with the subject.</w:t>
      </w:r>
    </w:p>
    <w:p>
      <w:pPr>
        <w:pStyle w:val="ListBullet"/>
        <w:spacing w:after="80"/>
        <w:ind w:left="403" w:hanging="259"/>
      </w:pPr>
      <w:r>
        <w:t>It is important to note that…—state the point directly.</w:t>
      </w:r>
    </w:p>
    <w:p>
      <w:pPr>
        <w:pStyle w:val="ListBullet"/>
        <w:spacing w:after="80"/>
        <w:ind w:left="403" w:hanging="259"/>
      </w:pPr>
      <w:r>
        <w:t>This approach…—replace some instances with the actual practice, model, or decision.</w:t>
      </w:r>
    </w:p>
    <w:p>
      <w:pPr>
        <w:pStyle w:val="ListBullet"/>
        <w:spacing w:after="80"/>
        <w:ind w:left="403" w:hanging="259"/>
      </w:pPr>
      <w:r>
        <w:t>Ensures, guarantees, always, never—reserve for true constraints or explicit style rules.</w:t>
      </w:r>
    </w:p>
    <w:p>
      <w:pPr>
        <w:pStyle w:val="ListBullet"/>
        <w:spacing w:after="80"/>
        <w:ind w:left="403" w:hanging="259"/>
      </w:pPr>
      <w:r>
        <w:t>Not only…but also—use sparingly; it becomes noticeable when repeated.</w:t>
      </w:r>
    </w:p>
    <w:p>
      <w:pPr>
        <w:pStyle w:val="Heading2"/>
      </w:pPr>
      <w:r>
        <w:t>Final quality checklist</w:t>
      </w:r>
    </w:p>
    <w:p>
      <w:pPr>
        <w:pStyle w:val="ListBullet"/>
        <w:spacing w:after="80"/>
        <w:ind w:left="403" w:hanging="259"/>
      </w:pPr>
      <w:r>
        <w:t>The central argument can be stated in one sentence.</w:t>
      </w:r>
    </w:p>
    <w:p>
      <w:pPr>
        <w:pStyle w:val="ListBullet"/>
        <w:spacing w:after="80"/>
        <w:ind w:left="403" w:hanging="259"/>
      </w:pPr>
      <w:r>
        <w:t>The opening begins with a meaningful tension, not generic context.</w:t>
      </w:r>
    </w:p>
    <w:p>
      <w:pPr>
        <w:pStyle w:val="ListBullet"/>
        <w:spacing w:after="80"/>
        <w:ind w:left="403" w:hanging="259"/>
      </w:pPr>
      <w:r>
        <w:t>Every framework has a purpose and is connected to the thesis.</w:t>
      </w:r>
    </w:p>
    <w:p>
      <w:pPr>
        <w:pStyle w:val="ListBullet"/>
        <w:spacing w:after="80"/>
        <w:ind w:left="403" w:hanging="259"/>
      </w:pPr>
      <w:r>
        <w:t>Each major section advances the argument instead of restating it.</w:t>
      </w:r>
    </w:p>
    <w:p>
      <w:pPr>
        <w:pStyle w:val="ListBullet"/>
        <w:spacing w:after="80"/>
        <w:ind w:left="403" w:hanging="259"/>
      </w:pPr>
      <w:r>
        <w:t>Long sentences have one primary claim and remain easy to parse aloud.</w:t>
      </w:r>
    </w:p>
    <w:p>
      <w:pPr>
        <w:pStyle w:val="ListBullet"/>
        <w:spacing w:after="80"/>
        <w:ind w:left="403" w:hanging="259"/>
      </w:pPr>
      <w:r>
        <w:t>Examples show an operating consequence, not just an analogy.</w:t>
      </w:r>
    </w:p>
    <w:p>
      <w:pPr>
        <w:pStyle w:val="ListBullet"/>
        <w:spacing w:after="80"/>
        <w:ind w:left="403" w:hanging="259"/>
      </w:pPr>
      <w:r>
        <w:t>Claims that depend on current facts or research are sourced.</w:t>
      </w:r>
    </w:p>
    <w:p>
      <w:pPr>
        <w:pStyle w:val="ListBullet"/>
        <w:spacing w:after="80"/>
        <w:ind w:left="403" w:hanging="259"/>
      </w:pPr>
      <w:r>
        <w:t>The conclusion changes the reader’s decision frame and offers a next move.</w:t>
      </w:r>
    </w:p>
    <w:p>
      <w:pPr>
        <w:pStyle w:val="ListBullet"/>
        <w:spacing w:after="80"/>
        <w:ind w:left="403" w:hanging="259"/>
      </w:pPr>
      <w:r>
        <w:t>Terminology follows James’s preferences, including backlog refinement and Problem validation/Solution exploration.</w:t>
      </w:r>
    </w:p>
    <w:p>
      <w:pPr>
        <w:pStyle w:val="ListBullet"/>
        <w:spacing w:after="80"/>
        <w:ind w:left="403" w:hanging="259"/>
      </w:pPr>
      <w:r>
        <w:t>No emojis, filler transitions, or the word “Moreover.”</w:t>
      </w:r>
    </w:p>
    <w:p>
      <w:pPr>
        <w:pStyle w:val="Heading1"/>
      </w:pPr>
      <w:r>
        <w:t>8. Copy-Ready AI Style Instruction</w:t>
      </w:r>
    </w:p>
    <w:p>
      <w:pPr>
        <w:pStyle w:val="Lead"/>
      </w:pPr>
      <w:r>
        <w:t>Use the following block when asking an AI system to draft or revise an article. Add the topic, audience, desired length, evidence requirements, and any must-use frameworks after it.</w:t>
      </w:r>
    </w:p>
    <w:tbl>
      <w:tblPr>
        <w:tblW w:type="auto" w:w="0"/>
        <w:tblLayout w:type="fixed"/>
        <w:tblLook w:firstColumn="1" w:firstRow="1" w:lastColumn="0" w:lastRow="0" w:noHBand="0" w:noVBand="1" w:val="04A0"/>
      </w:tblPr>
      <w:tblGrid>
        <w:gridCol w:w="9720"/>
      </w:tblGrid>
      <w:tr>
        <w:tc>
          <w:tcPr>
            <w:tcW w:type="dxa" w:w="9792"/>
            <w:shd w:fill="F4F7F9"/>
            <w:tcMar>
              <w:top w:w="180" w:type="dxa"/>
              <w:start w:w="200" w:type="dxa"/>
              <w:bottom w:w="180" w:type="dxa"/>
              <w:end w:w="200" w:type="dxa"/>
            </w:tcMar>
          </w:tcPr>
          <w:p>
            <w:pPr>
              <w:pStyle w:val="PromptText"/>
            </w:pPr>
            <w:r/>
            <w:r>
              <w:t>Write in the FlowTrain Pro voice: the voice of an experienced product development, digital transformation, and organizational effectiveness leader. The article should be business-professional, strategic, educational, constructive, and practical. Write for intelligent enterprise readers without assuming they share the same functional background.</w:t>
            </w:r>
          </w:p>
          <w:p>
            <w:pPr>
              <w:pStyle w:val="PromptText"/>
            </w:pPr>
            <w:r>
              <w:t>Begin with a specific tension, consequence, or mistaken assumption—not a generic statement about a rapidly changing world. Establish why the issue matters, then state a clear central reframe. Build the argument by connecting the relevant elements into one coherent operating model. Explain not only what each element is, but what job it performs, where its boundary lies, how it interacts with the other elements, and what leaders or teams should do differently.</w:t>
            </w:r>
          </w:p>
          <w:p>
            <w:pPr>
              <w:pStyle w:val="PromptText"/>
            </w:pPr>
            <w:r>
              <w:t>Use systems thinking while keeping the prose accessible. Move between team-level practices and enterprise-level consequences. Favor constructive shifts such as “from X toward Y,” “move beyond,” “build on,” and “integrate.” Do not caricature traditional approaches; explain where they remain useful and where they become insufficient in a more complex context.</w:t>
            </w:r>
          </w:p>
          <w:p>
            <w:pPr>
              <w:pStyle w:val="PromptText"/>
            </w:pPr>
            <w:r>
              <w:t>Use mostly third-person organizational language. Use “you” selectively for concrete examples and “I” only for explicit personal judgment. Keep most sentences between 16 and 28 words, mixing medium analytical sentences with occasional short sentences for emphasis. Split any sentence carrying multiple major claims. Each paragraph should develop one relationship or implication and end with a consequence, bridge, or decision point.</w:t>
            </w:r>
          </w:p>
          <w:p>
            <w:pPr>
              <w:pStyle w:val="PromptText"/>
            </w:pPr>
            <w:r>
              <w:t>Use descriptive headings and short prose introductions before lists. Lists are appropriate for comparable challenges, benefits, practices, or criteria, but every major list should be followed by synthesis explaining how the items work together. Use examples from recognizable operating environments to show decisions, workflows, role boundaries, measures, customer effects, or platform constraints.</w:t>
            </w:r>
          </w:p>
          <w:p>
            <w:pPr>
              <w:pStyle w:val="PromptText"/>
            </w:pPr>
            <w:r>
              <w:t>Use frameworks as working tools, not decoration. Cite authoritative sources for factual or methodological claims, paraphrase in a consistent voice, and distinguish source evidence from the article’s inference. Define acronyms on first use. Preserve important distinctions rather than flattening them for simplicity.</w:t>
            </w:r>
          </w:p>
          <w:p>
            <w:pPr>
              <w:pStyle w:val="PromptText"/>
            </w:pPr>
            <w:r>
              <w:t>Avoid generic corporate filler, excessive hype, emojis, and academic transitions such as “Moreover.” Avoid repeated paragraphs beginning with “This.” Do not use “backlog grooming”; use “backlog refinement.” Use “Problem validation” and “Solution exploration” for discovery. Treat Jira Product Discovery as a strategic backlog, not a delivery system.</w:t>
            </w:r>
          </w:p>
          <w:p>
            <w:pPr>
              <w:pStyle w:val="PromptText"/>
            </w:pPr>
            <w:r>
              <w:t>Conclude by synthesizing the changed mental model, identifying the durable capability it creates, and giving the reader a practical next question, decision test, or action. Do not merely repeat the article outline.</w:t>
            </w:r>
          </w:p>
        </w:tc>
      </w:tr>
    </w:tbl>
    <w:p>
      <w:pPr>
        <w:pStyle w:val="Heading2"/>
      </w:pPr>
      <w:r>
        <w:t>Optional article-specific add-on</w:t>
      </w:r>
    </w:p>
    <w:tbl>
      <w:tblPr>
        <w:tblW w:type="auto" w:w="0"/>
        <w:tblLayout w:type="fixed"/>
        <w:tblLook w:firstColumn="1" w:firstRow="1" w:lastColumn="0" w:lastRow="0" w:noHBand="0" w:noVBand="1" w:val="04A0"/>
      </w:tblPr>
      <w:tblGrid>
        <w:gridCol w:w="9720"/>
      </w:tblGrid>
      <w:tr>
        <w:tc>
          <w:tcPr>
            <w:tcW w:type="dxa" w:w="9792"/>
            <w:shd w:fill="EAF1F6"/>
            <w:tcMar>
              <w:top w:w="130" w:type="dxa"/>
              <w:start w:w="170" w:type="dxa"/>
              <w:bottom w:w="130" w:type="dxa"/>
              <w:end w:w="170" w:type="dxa"/>
            </w:tcMar>
          </w:tcPr>
          <w:p>
            <w:pPr>
              <w:spacing w:after="0"/>
            </w:pPr>
            <w:r/>
            <w:r>
              <w:rPr>
                <w:b/>
                <w:color w:val="167D8D"/>
              </w:rPr>
              <w:t xml:space="preserve">ADD TO THE PROMPT  </w:t>
            </w:r>
            <w:r>
              <w:rPr>
                <w:color w:val="1F252B"/>
              </w:rPr>
              <w:t>Audience: [who]. Purpose: [inform/persuade/guide]. Central question: [question]. Required frameworks: [list]. Evidence expectations: [sources/currentness]. Length: [range]. Desired call to action: [decision or behavior].</w:t>
            </w:r>
          </w:p>
        </w:tc>
      </w:tr>
    </w:tbl>
    <w:p>
      <w:pPr>
        <w:spacing w:after="0"/>
      </w:pPr>
    </w:p>
    <w:p>
      <w:pPr>
        <w:pStyle w:val="Heading2"/>
      </w:pPr>
      <w:r>
        <w:t>Revision prompt</w:t>
      </w:r>
    </w:p>
    <w:p>
      <w:r>
        <w:t>Revise this draft into the FlowTrain Pro voice. Preserve the author’s core ideas and factual claims. Strengthen the opening tension, central reframe, framework integration, operating examples, and conclusion. Remove generic corporate filler and split overloaded sentences. Do not make the prose sound academic, promotional, or artificially terse. After revising, provide a short note identifying the three most important style corrections made.</w:t>
      </w:r>
    </w:p>
    <w:p>
      <w:pPr>
        <w:pStyle w:val="Heading1"/>
      </w:pPr>
      <w:r>
        <w:t>9. Calibration by Article Type</w:t>
      </w:r>
    </w:p>
    <w:tbl>
      <w:tblPr>
        <w:tblW w:type="auto" w:w="0"/>
        <w:jc w:val="center"/>
        <w:tblLayout w:type="fixed"/>
        <w:tblLook w:firstColumn="1" w:firstRow="1" w:lastColumn="0" w:lastRow="0" w:noHBand="0" w:noVBand="1" w:val="04A0"/>
      </w:tblPr>
      <w:tblGrid>
        <w:gridCol w:w="4896"/>
        <w:gridCol w:w="4896"/>
      </w:tblGrid>
      <w:tr>
        <w:tc>
          <w:tcPr>
            <w:tcW w:type="dxa" w:w="2376"/>
            <w:vAlign w:val="center"/>
            <w:tcMar>
              <w:top w:w="90" w:type="dxa"/>
              <w:start w:w="120" w:type="dxa"/>
              <w:bottom w:w="90" w:type="dxa"/>
              <w:end w:w="120" w:type="dxa"/>
            </w:tcMar>
            <w:shd w:fill="17324D"/>
          </w:tcPr>
          <w:p>
            <w:pPr>
              <w:spacing w:after="0" w:line="259" w:lineRule="auto"/>
            </w:pPr>
            <w:r/>
            <w:r>
              <w:rPr>
                <w:rFonts w:ascii="Aptos" w:hAnsi="Aptos"/>
                <w:b/>
                <w:color w:val="FFFFFF"/>
                <w:sz w:val="18"/>
              </w:rPr>
              <w:t>Article type</w:t>
            </w:r>
          </w:p>
        </w:tc>
        <w:tc>
          <w:tcPr>
            <w:tcW w:type="dxa" w:w="7344"/>
            <w:vAlign w:val="center"/>
            <w:tcMar>
              <w:top w:w="90" w:type="dxa"/>
              <w:start w:w="120" w:type="dxa"/>
              <w:bottom w:w="90" w:type="dxa"/>
              <w:end w:w="120" w:type="dxa"/>
            </w:tcMar>
            <w:shd w:fill="17324D"/>
          </w:tcPr>
          <w:p>
            <w:pPr>
              <w:spacing w:after="0" w:line="259" w:lineRule="auto"/>
            </w:pPr>
            <w:r/>
            <w:r>
              <w:rPr>
                <w:rFonts w:ascii="Aptos" w:hAnsi="Aptos"/>
                <w:b/>
                <w:color w:val="FFFFFF"/>
                <w:sz w:val="18"/>
              </w:rPr>
              <w:t>Adjust the default profile</w:t>
            </w:r>
          </w:p>
        </w:tc>
      </w:tr>
      <w:tr>
        <w:tc>
          <w:tcPr>
            <w:tcW w:type="dxa" w:w="2376"/>
            <w:vAlign w:val="center"/>
            <w:tcMar>
              <w:top w:w="90" w:type="dxa"/>
              <w:start w:w="120" w:type="dxa"/>
              <w:bottom w:w="90" w:type="dxa"/>
              <w:end w:w="120" w:type="dxa"/>
            </w:tcMar>
            <w:shd w:fill="FFFFFF"/>
          </w:tcPr>
          <w:p>
            <w:pPr>
              <w:spacing w:after="0" w:line="259" w:lineRule="auto"/>
            </w:pPr>
            <w:r/>
            <w:r>
              <w:rPr>
                <w:rFonts w:ascii="Aptos" w:hAnsi="Aptos"/>
                <w:b/>
                <w:color w:val="17324D"/>
                <w:sz w:val="19"/>
              </w:rPr>
              <w:t>Thought leadership</w:t>
            </w:r>
          </w:p>
        </w:tc>
        <w:tc>
          <w:tcPr>
            <w:tcW w:type="dxa" w:w="7344"/>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Use more narrative synthesis and a stronger reframe. Keep implementation as illustrative rather than procedural.</w:t>
            </w:r>
          </w:p>
        </w:tc>
      </w:tr>
      <w:tr>
        <w:tc>
          <w:tcPr>
            <w:tcW w:type="dxa" w:w="2376"/>
            <w:vAlign w:val="center"/>
            <w:tcMar>
              <w:top w:w="90" w:type="dxa"/>
              <w:start w:w="120" w:type="dxa"/>
              <w:bottom w:w="90" w:type="dxa"/>
              <w:end w:w="120" w:type="dxa"/>
            </w:tcMar>
            <w:shd w:fill="F4F7F9"/>
          </w:tcPr>
          <w:p>
            <w:pPr>
              <w:spacing w:after="0" w:line="259" w:lineRule="auto"/>
            </w:pPr>
            <w:r/>
            <w:r>
              <w:rPr>
                <w:rFonts w:ascii="Aptos" w:hAnsi="Aptos"/>
                <w:b/>
                <w:color w:val="17324D"/>
                <w:sz w:val="19"/>
              </w:rPr>
              <w:t>Research report</w:t>
            </w:r>
          </w:p>
        </w:tc>
        <w:tc>
          <w:tcPr>
            <w:tcW w:type="dxa" w:w="7344"/>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Increase evidence density, qualification, and source precision. Shorten sentences to offset conceptual complexity.</w:t>
            </w:r>
          </w:p>
        </w:tc>
      </w:tr>
      <w:tr>
        <w:tc>
          <w:tcPr>
            <w:tcW w:type="dxa" w:w="2376"/>
            <w:vAlign w:val="center"/>
            <w:tcMar>
              <w:top w:w="90" w:type="dxa"/>
              <w:start w:w="120" w:type="dxa"/>
              <w:bottom w:w="90" w:type="dxa"/>
              <w:end w:w="120" w:type="dxa"/>
            </w:tcMar>
            <w:shd w:fill="FFFFFF"/>
          </w:tcPr>
          <w:p>
            <w:pPr>
              <w:spacing w:after="0" w:line="259" w:lineRule="auto"/>
            </w:pPr>
            <w:r/>
            <w:r>
              <w:rPr>
                <w:rFonts w:ascii="Aptos" w:hAnsi="Aptos"/>
                <w:b/>
                <w:color w:val="17324D"/>
                <w:sz w:val="19"/>
              </w:rPr>
              <w:t>Executive brief</w:t>
            </w:r>
          </w:p>
        </w:tc>
        <w:tc>
          <w:tcPr>
            <w:tcW w:type="dxa" w:w="7344"/>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Lead with the decision or implication. Compress framework explanation and emphasize tradeoffs, measures, and next actions.</w:t>
            </w:r>
          </w:p>
        </w:tc>
      </w:tr>
      <w:tr>
        <w:tc>
          <w:tcPr>
            <w:tcW w:type="dxa" w:w="2376"/>
            <w:vAlign w:val="center"/>
            <w:tcMar>
              <w:top w:w="90" w:type="dxa"/>
              <w:start w:w="120" w:type="dxa"/>
              <w:bottom w:w="90" w:type="dxa"/>
              <w:end w:w="120" w:type="dxa"/>
            </w:tcMar>
            <w:shd w:fill="F4F7F9"/>
          </w:tcPr>
          <w:p>
            <w:pPr>
              <w:spacing w:after="0" w:line="259" w:lineRule="auto"/>
            </w:pPr>
            <w:r/>
            <w:r>
              <w:rPr>
                <w:rFonts w:ascii="Aptos" w:hAnsi="Aptos"/>
                <w:b/>
                <w:color w:val="17324D"/>
                <w:sz w:val="19"/>
              </w:rPr>
              <w:t>Operating guide</w:t>
            </w:r>
          </w:p>
        </w:tc>
        <w:tc>
          <w:tcPr>
            <w:tcW w:type="dxa" w:w="7344"/>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Use shorter sections, clear roles, cadences, decision rules, and checklists. Retain a concise rationale so the guide does not become mechanical.</w:t>
            </w:r>
          </w:p>
        </w:tc>
      </w:tr>
      <w:tr>
        <w:tc>
          <w:tcPr>
            <w:tcW w:type="dxa" w:w="2376"/>
            <w:vAlign w:val="center"/>
            <w:tcMar>
              <w:top w:w="90" w:type="dxa"/>
              <w:start w:w="120" w:type="dxa"/>
              <w:bottom w:w="90" w:type="dxa"/>
              <w:end w:w="120" w:type="dxa"/>
            </w:tcMar>
            <w:shd w:fill="FFFFFF"/>
          </w:tcPr>
          <w:p>
            <w:pPr>
              <w:spacing w:after="0" w:line="259" w:lineRule="auto"/>
            </w:pPr>
            <w:r/>
            <w:r>
              <w:rPr>
                <w:rFonts w:ascii="Aptos" w:hAnsi="Aptos"/>
                <w:b/>
                <w:color w:val="17324D"/>
                <w:sz w:val="19"/>
              </w:rPr>
              <w:t>LinkedIn article</w:t>
            </w:r>
          </w:p>
        </w:tc>
        <w:tc>
          <w:tcPr>
            <w:tcW w:type="dxa" w:w="7344"/>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Use a sharper hook, shorter paragraphs, and one central model. Maintain professional restraint; social posts may use limited stylistic emphasis if intentionally requested.</w:t>
            </w:r>
          </w:p>
        </w:tc>
      </w:tr>
      <w:tr>
        <w:tc>
          <w:tcPr>
            <w:tcW w:type="dxa" w:w="2376"/>
            <w:vAlign w:val="center"/>
            <w:tcMar>
              <w:top w:w="90" w:type="dxa"/>
              <w:start w:w="120" w:type="dxa"/>
              <w:bottom w:w="90" w:type="dxa"/>
              <w:end w:w="120" w:type="dxa"/>
            </w:tcMar>
            <w:shd w:fill="F4F7F9"/>
          </w:tcPr>
          <w:p>
            <w:pPr>
              <w:spacing w:after="0" w:line="259" w:lineRule="auto"/>
            </w:pPr>
            <w:r/>
            <w:r>
              <w:rPr>
                <w:rFonts w:ascii="Aptos" w:hAnsi="Aptos"/>
                <w:b/>
                <w:color w:val="17324D"/>
                <w:sz w:val="19"/>
              </w:rPr>
              <w:t>White paper</w:t>
            </w:r>
          </w:p>
        </w:tc>
        <w:tc>
          <w:tcPr>
            <w:tcW w:type="dxa" w:w="7344"/>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Use the full argument architecture, robust evidence, definitions, examples, and an implementation framework. Add an executive summary and source notes.</w:t>
            </w:r>
          </w:p>
        </w:tc>
      </w:tr>
    </w:tbl>
    <w:p>
      <w:pPr>
        <w:spacing w:after="0"/>
      </w:pPr>
    </w:p>
    <w:p>
      <w:pPr>
        <w:pStyle w:val="Heading2"/>
      </w:pPr>
      <w:r>
        <w:t>Evidence base and confidence</w:t>
      </w:r>
    </w:p>
    <w:p>
      <w:r>
        <w:t>This profile draws from four supplied documents: “The Evolving User Experience Function for Platform Teams in Complex Digital Domains,” “Product Portfolio Governance with Shared OKRs,” “Navigating the Digital Frontier: A Tale of Two Products,” and “Focusing on Capability Building over Maturity.” Together they provide a useful but uneven sample: the works vary in age, purpose, research density, and degree of list formatting.</w:t>
      </w:r>
    </w:p>
    <w:tbl>
      <w:tblPr>
        <w:tblW w:type="auto" w:w="0"/>
        <w:jc w:val="center"/>
        <w:tblLayout w:type="fixed"/>
        <w:tblLook w:firstColumn="1" w:firstRow="1" w:lastColumn="0" w:lastRow="0" w:noHBand="0" w:noVBand="1" w:val="04A0"/>
      </w:tblPr>
      <w:tblGrid>
        <w:gridCol w:w="4896"/>
        <w:gridCol w:w="4896"/>
      </w:tblGrid>
      <w:tr>
        <w:tc>
          <w:tcPr>
            <w:tcW w:type="dxa" w:w="2088"/>
            <w:vAlign w:val="center"/>
            <w:tcMar>
              <w:top w:w="90" w:type="dxa"/>
              <w:start w:w="120" w:type="dxa"/>
              <w:bottom w:w="90" w:type="dxa"/>
              <w:end w:w="120" w:type="dxa"/>
            </w:tcMar>
            <w:shd w:fill="17324D"/>
          </w:tcPr>
          <w:p>
            <w:pPr>
              <w:spacing w:after="0" w:line="259" w:lineRule="auto"/>
            </w:pPr>
            <w:r/>
            <w:r>
              <w:rPr>
                <w:rFonts w:ascii="Aptos" w:hAnsi="Aptos"/>
                <w:b/>
                <w:color w:val="FFFFFF"/>
                <w:sz w:val="18"/>
              </w:rPr>
              <w:t>Confidence</w:t>
            </w:r>
          </w:p>
        </w:tc>
        <w:tc>
          <w:tcPr>
            <w:tcW w:type="dxa" w:w="7632"/>
            <w:vAlign w:val="center"/>
            <w:tcMar>
              <w:top w:w="90" w:type="dxa"/>
              <w:start w:w="120" w:type="dxa"/>
              <w:bottom w:w="90" w:type="dxa"/>
              <w:end w:w="120" w:type="dxa"/>
            </w:tcMar>
            <w:shd w:fill="17324D"/>
          </w:tcPr>
          <w:p>
            <w:pPr>
              <w:spacing w:after="0" w:line="259" w:lineRule="auto"/>
            </w:pPr>
            <w:r/>
            <w:r>
              <w:rPr>
                <w:rFonts w:ascii="Aptos" w:hAnsi="Aptos"/>
                <w:b/>
                <w:color w:val="FFFFFF"/>
                <w:sz w:val="18"/>
              </w:rPr>
              <w:t>Patterns</w:t>
            </w:r>
          </w:p>
        </w:tc>
      </w:tr>
      <w:tr>
        <w:tc>
          <w:tcPr>
            <w:tcW w:type="dxa" w:w="2088"/>
            <w:vAlign w:val="center"/>
            <w:tcMar>
              <w:top w:w="90" w:type="dxa"/>
              <w:start w:w="120" w:type="dxa"/>
              <w:bottom w:w="90" w:type="dxa"/>
              <w:end w:w="120" w:type="dxa"/>
            </w:tcMar>
            <w:shd w:fill="FFFFFF"/>
          </w:tcPr>
          <w:p>
            <w:pPr>
              <w:spacing w:after="0" w:line="259" w:lineRule="auto"/>
            </w:pPr>
            <w:r/>
            <w:r>
              <w:rPr>
                <w:rFonts w:ascii="Aptos" w:hAnsi="Aptos"/>
                <w:b/>
                <w:color w:val="17324D"/>
                <w:sz w:val="19"/>
              </w:rPr>
              <w:t>High</w:t>
            </w:r>
          </w:p>
        </w:tc>
        <w:tc>
          <w:tcPr>
            <w:tcW w:type="dxa" w:w="7632"/>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Systems framing; constructive reframing; integration of complementary frameworks; customer and outcome orientation; practical organizational implications; professional educational tone.</w:t>
            </w:r>
          </w:p>
        </w:tc>
      </w:tr>
      <w:tr>
        <w:tc>
          <w:tcPr>
            <w:tcW w:type="dxa" w:w="2088"/>
            <w:vAlign w:val="center"/>
            <w:tcMar>
              <w:top w:w="90" w:type="dxa"/>
              <w:start w:w="120" w:type="dxa"/>
              <w:bottom w:w="90" w:type="dxa"/>
              <w:end w:w="120" w:type="dxa"/>
            </w:tcMar>
            <w:shd w:fill="F4F7F9"/>
          </w:tcPr>
          <w:p>
            <w:pPr>
              <w:spacing w:after="0" w:line="259" w:lineRule="auto"/>
            </w:pPr>
            <w:r/>
            <w:r>
              <w:rPr>
                <w:rFonts w:ascii="Aptos" w:hAnsi="Aptos"/>
                <w:b/>
                <w:color w:val="17324D"/>
                <w:sz w:val="19"/>
              </w:rPr>
              <w:t>Moderate</w:t>
            </w:r>
          </w:p>
        </w:tc>
        <w:tc>
          <w:tcPr>
            <w:tcW w:type="dxa" w:w="7632"/>
            <w:vAlign w:val="center"/>
            <w:tcMar>
              <w:top w:w="90" w:type="dxa"/>
              <w:start w:w="120" w:type="dxa"/>
              <w:bottom w:w="90" w:type="dxa"/>
              <w:end w:w="120" w:type="dxa"/>
            </w:tcMar>
            <w:shd w:fill="F4F7F9"/>
          </w:tcPr>
          <w:p>
            <w:pPr>
              <w:spacing w:after="0" w:line="259" w:lineRule="auto"/>
            </w:pPr>
            <w:r/>
            <w:r>
              <w:rPr>
                <w:rFonts w:ascii="Aptos" w:hAnsi="Aptos"/>
                <w:b w:val="0"/>
                <w:color w:val="1F252B"/>
                <w:sz w:val="19"/>
              </w:rPr>
              <w:t>Preference for long analytical sentences; extensive framework catalogs; formal report structure; use of broad transformation context.</w:t>
            </w:r>
          </w:p>
        </w:tc>
      </w:tr>
      <w:tr>
        <w:tc>
          <w:tcPr>
            <w:tcW w:type="dxa" w:w="2088"/>
            <w:vAlign w:val="center"/>
            <w:tcMar>
              <w:top w:w="90" w:type="dxa"/>
              <w:start w:w="120" w:type="dxa"/>
              <w:bottom w:w="90" w:type="dxa"/>
              <w:end w:w="120" w:type="dxa"/>
            </w:tcMar>
            <w:shd w:fill="FFFFFF"/>
          </w:tcPr>
          <w:p>
            <w:pPr>
              <w:spacing w:after="0" w:line="259" w:lineRule="auto"/>
            </w:pPr>
            <w:r/>
            <w:r>
              <w:rPr>
                <w:rFonts w:ascii="Aptos" w:hAnsi="Aptos"/>
                <w:b/>
                <w:color w:val="17324D"/>
                <w:sz w:val="19"/>
              </w:rPr>
              <w:t>Low / exclude</w:t>
            </w:r>
          </w:p>
        </w:tc>
        <w:tc>
          <w:tcPr>
            <w:tcW w:type="dxa" w:w="7632"/>
            <w:vAlign w:val="center"/>
            <w:tcMar>
              <w:top w:w="90" w:type="dxa"/>
              <w:start w:w="120" w:type="dxa"/>
              <w:bottom w:w="90" w:type="dxa"/>
              <w:end w:w="120" w:type="dxa"/>
            </w:tcMar>
            <w:shd w:fill="FFFFFF"/>
          </w:tcPr>
          <w:p>
            <w:pPr>
              <w:spacing w:after="0" w:line="259" w:lineRule="auto"/>
            </w:pPr>
            <w:r/>
            <w:r>
              <w:rPr>
                <w:rFonts w:ascii="Aptos" w:hAnsi="Aptos"/>
                <w:b w:val="0"/>
                <w:color w:val="1F252B"/>
                <w:sz w:val="19"/>
              </w:rPr>
              <w:t>Checkmark headings, emoji markers, generic trend openings, occasional source-derived corporate phrasing, and isolated formatting artifacts.</w:t>
            </w:r>
          </w:p>
        </w:tc>
      </w:tr>
    </w:tbl>
    <w:p>
      <w:pPr>
        <w:spacing w:after="0"/>
      </w:pPr>
    </w:p>
    <w:p>
      <w:pPr>
        <w:pStyle w:val="Heading2"/>
      </w:pPr>
      <w:r>
        <w:t>Recommended use</w:t>
      </w:r>
    </w:p>
    <w:p>
      <w:r>
        <w:t>Treat this as a living profile. Use it for the next three to five articles, then update it with the finished pieces you feel sound most like you. The most valuable future calibration will come from comparing first drafts with your final edits: the changes you repeatedly make are stronger evidence of voice than any single published document.</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772"/>
        <w:sz w:val="16"/>
      </w:rPr>
      <w:t>James Gifford  •  Evidence-based profile from four long-form articles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FLOWTRAIN PRO  |  WRITING STYLE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1F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67D8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5A67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7324D"/>
      <w:sz w:val="24"/>
    </w:rPr>
  </w:style>
  <w:style w:type="paragraph" w:customStyle="1" w:styleId="PromptText">
    <w:name w:val="Prompt Text"/>
    <w:pPr>
      <w:spacing w:after="80" w:line="259" w:lineRule="auto"/>
    </w:pPr>
    <w:rPr>
      <w:rFonts w:ascii="Aptos" w:hAnsi="Aptos"/>
      <w:color w:val="1F252B"/>
      <w:sz w:val="19"/>
    </w:rPr>
  </w:style>
  <w:style w:type="paragraph" w:customStyle="1" w:styleId="SmallNote">
    <w:name w:val="Small Note"/>
    <w:rPr>
      <w:rFonts w:ascii="Aptos" w:hAnsi="Aptos"/>
      <w:color w:val="5A67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Gifford FlowTrain Pro Writing Style Profile</dc:title>
  <dc:subject>Reusable authoring and editing profile based on four long-form articles</dc:subject>
  <dc:creator>James Gifford</dc:creator>
  <cp:keywords>FlowTrain Pro, writing style, voice profile, article guide</cp:keywords>
  <dc:description>generated by python-docx</dc:description>
  <cp:lastModifiedBy/>
  <cp:revision>1</cp:revision>
  <dcterms:created xsi:type="dcterms:W3CDTF">2013-12-23T23:15:00Z</dcterms:created>
  <dcterms:modified xsi:type="dcterms:W3CDTF">2013-12-23T23:15:00Z</dcterms:modified>
  <cp:category/>
</cp:coreProperties>
</file>