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606E3" w14:textId="0F5CD944" w:rsidR="00D50BF1" w:rsidRDefault="45B7F275" w:rsidP="4E08DEB9">
      <w:pPr>
        <w:spacing w:before="299" w:after="299"/>
      </w:pPr>
      <w:r w:rsidRPr="4E08DEB9">
        <w:rPr>
          <w:rFonts w:ascii="Aptos" w:eastAsia="Aptos" w:hAnsi="Aptos" w:cs="Aptos"/>
          <w:b/>
          <w:bCs/>
          <w:sz w:val="36"/>
          <w:szCs w:val="36"/>
        </w:rPr>
        <w:t>1. Catchy Topic Title</w:t>
      </w:r>
    </w:p>
    <w:p w14:paraId="65C3F28F" w14:textId="1DB3A2AA" w:rsidR="00D50BF1" w:rsidRDefault="45B7F275" w:rsidP="4E08DEB9">
      <w:pPr>
        <w:spacing w:before="240" w:after="240"/>
      </w:pPr>
      <w:r w:rsidRPr="4E08DEB9">
        <w:rPr>
          <w:rFonts w:ascii="Aptos" w:eastAsia="Aptos" w:hAnsi="Aptos" w:cs="Aptos"/>
          <w:b/>
          <w:bCs/>
        </w:rPr>
        <w:t>Navigating the "Black Box": Human-in-the-Loop &amp; Automated Testing for AI Compliance in Finance</w:t>
      </w:r>
    </w:p>
    <w:p w14:paraId="551EFDAF" w14:textId="74B2C4EB" w:rsidR="00D50BF1" w:rsidRDefault="45B7F275" w:rsidP="4E08DEB9">
      <w:pPr>
        <w:spacing w:before="299" w:after="299"/>
      </w:pPr>
      <w:r w:rsidRPr="4E08DEB9">
        <w:rPr>
          <w:rFonts w:ascii="Aptos" w:eastAsia="Aptos" w:hAnsi="Aptos" w:cs="Aptos"/>
          <w:b/>
          <w:bCs/>
          <w:sz w:val="36"/>
          <w:szCs w:val="36"/>
        </w:rPr>
        <w:t>2. Topic Description</w:t>
      </w:r>
    </w:p>
    <w:p w14:paraId="4CD6F26E" w14:textId="2B28F264" w:rsidR="00D50BF1" w:rsidRDefault="45B7F275" w:rsidP="4E08DEB9">
      <w:pPr>
        <w:spacing w:before="240" w:after="240"/>
      </w:pPr>
      <w:r w:rsidRPr="4E08DEB9">
        <w:rPr>
          <w:rFonts w:ascii="Aptos" w:eastAsia="Aptos" w:hAnsi="Aptos" w:cs="Aptos"/>
        </w:rPr>
        <w:t xml:space="preserve">The integration of Generative AI (GenAI) into the financial industry presents unprecedented opportunities, but also a complex landscape of regulatory compliance. FINRA and SEC guidance clearly </w:t>
      </w:r>
      <w:r w:rsidR="4D9A69DD" w:rsidRPr="4E08DEB9">
        <w:rPr>
          <w:rFonts w:ascii="Aptos" w:eastAsia="Aptos" w:hAnsi="Aptos" w:cs="Aptos"/>
        </w:rPr>
        <w:t>state</w:t>
      </w:r>
      <w:r w:rsidRPr="4E08DEB9">
        <w:rPr>
          <w:rFonts w:ascii="Aptos" w:eastAsia="Aptos" w:hAnsi="Aptos" w:cs="Aptos"/>
        </w:rPr>
        <w:t xml:space="preserve"> that existing rules, from supervision and communication standards to recordkeeping and ethical conduct, fully apply to AI-generated activities. This session will delve into how software testing, particularly through human-in-the-loop (HITL) and robust test automation strategies, becomes indispensable for financial firms to meet these stringent control requirements. We'll explore the critical aspects of the AI lifecycle, from data preparation and model training to deployment and ongoing </w:t>
      </w:r>
      <w:r w:rsidR="1EE008C7" w:rsidRPr="4E08DEB9">
        <w:rPr>
          <w:rFonts w:ascii="Aptos" w:eastAsia="Aptos" w:hAnsi="Aptos" w:cs="Aptos"/>
        </w:rPr>
        <w:t>monitoring and</w:t>
      </w:r>
      <w:r w:rsidRPr="4E08DEB9">
        <w:rPr>
          <w:rFonts w:ascii="Aptos" w:eastAsia="Aptos" w:hAnsi="Aptos" w:cs="Aptos"/>
        </w:rPr>
        <w:t xml:space="preserve"> demonstrate how a disciplined approach to quality assurance can ensure compliance.</w:t>
      </w:r>
    </w:p>
    <w:p w14:paraId="4C4BAE8B" w14:textId="47E7B8CE" w:rsidR="00D50BF1" w:rsidRDefault="45B7F275" w:rsidP="4E08DEB9">
      <w:pPr>
        <w:spacing w:before="240" w:after="240"/>
      </w:pPr>
      <w:r w:rsidRPr="4E08DEB9">
        <w:rPr>
          <w:rFonts w:ascii="Aptos" w:eastAsia="Aptos" w:hAnsi="Aptos" w:cs="Aptos"/>
        </w:rPr>
        <w:t>We will cover the "technology-neutral" stance of regulators, emphasizing that firms are fully responsible for AI outputs, regardless of their origin. This necessitates rigorous validation processes, moving beyond traditional software testing to address AI-specific risks like data bias, model explainability, and the potential for unintended outcomes. Attendees will learn how to implement effective HITL strategies to review and approve AI-generated content, especially customer communications, ensuring adherence to FINRA Rule 2210 (Communications with the Public) and preventing misleading claims. Furthermore, we'll discuss how test automation can be leveraged to continuously monitor AI model performance, detect drift, and verify compliance with defined benchmarks and ethical guidelines. This includes automating checks for data integrity, bias detection in training data, and validating AI outputs for accuracy and fairness.</w:t>
      </w:r>
    </w:p>
    <w:p w14:paraId="1BB91290" w14:textId="26C4CAAD" w:rsidR="00D50BF1" w:rsidRDefault="45B7F275" w:rsidP="4E08DEB9">
      <w:pPr>
        <w:spacing w:before="240" w:after="240"/>
      </w:pPr>
      <w:r w:rsidRPr="4E08DEB9">
        <w:rPr>
          <w:rFonts w:ascii="Aptos" w:eastAsia="Aptos" w:hAnsi="Aptos" w:cs="Aptos"/>
        </w:rPr>
        <w:t xml:space="preserve">Drawing parallels from FDA's 21 CFR Part 11, we'll highlight the importance of traceability and auditability in AI systems, showing how robust testing practices contribute to maintaining detailed audit trails of AI model lifecycles and linking AI outputs to human oversight and approvals. We will also explore how Agile methodologies can be adapted to bake compliance checkpoints into every stage of the AI development lifecycle. By treating regulatory requirements as explicit "user stories" and incorporating compliance-related non-functional requirements and test cases into sprint planning, teams can proactively build AI systems that are compliant by design. This session will provide actionable insights </w:t>
      </w:r>
      <w:r w:rsidRPr="4E08DEB9">
        <w:rPr>
          <w:rFonts w:ascii="Aptos" w:eastAsia="Aptos" w:hAnsi="Aptos" w:cs="Aptos"/>
        </w:rPr>
        <w:lastRenderedPageBreak/>
        <w:t>for test automation engineers, QA professionals, and developers on how to design and implement testing frameworks that not only assure the quality and reliability of GenAI but also serve as verifiable evidence of regulatory adherence, ultimately safeguarding firms against potential enforcement actions and fostering trust in AI-driven financial services.</w:t>
      </w:r>
    </w:p>
    <w:p w14:paraId="2A013440" w14:textId="70E14667" w:rsidR="00D50BF1" w:rsidRDefault="45B7F275" w:rsidP="4E08DEB9">
      <w:pPr>
        <w:spacing w:before="299" w:after="299"/>
      </w:pPr>
      <w:r w:rsidRPr="4E08DEB9">
        <w:rPr>
          <w:rFonts w:ascii="Aptos" w:eastAsia="Aptos" w:hAnsi="Aptos" w:cs="Aptos"/>
          <w:b/>
          <w:bCs/>
          <w:sz w:val="36"/>
          <w:szCs w:val="36"/>
        </w:rPr>
        <w:t>3. Topic Takeaways</w:t>
      </w:r>
    </w:p>
    <w:p w14:paraId="69C5ACE1" w14:textId="417358C0" w:rsidR="00D50BF1" w:rsidRDefault="45B7F275" w:rsidP="4E08DEB9">
      <w:pPr>
        <w:numPr>
          <w:ilvl w:val="0"/>
          <w:numId w:val="1"/>
        </w:numPr>
        <w:spacing w:before="240" w:after="240"/>
        <w:rPr>
          <w:rFonts w:ascii="Aptos" w:eastAsia="Aptos" w:hAnsi="Aptos" w:cs="Aptos"/>
        </w:rPr>
      </w:pPr>
      <w:r w:rsidRPr="4E08DEB9">
        <w:rPr>
          <w:rFonts w:ascii="Aptos" w:eastAsia="Aptos" w:hAnsi="Aptos" w:cs="Aptos"/>
          <w:b/>
          <w:bCs/>
        </w:rPr>
        <w:t>Understanding Regulatory Expectations for AI:</w:t>
      </w:r>
      <w:r w:rsidRPr="4E08DEB9">
        <w:rPr>
          <w:rFonts w:ascii="Aptos" w:eastAsia="Aptos" w:hAnsi="Aptos" w:cs="Aptos"/>
        </w:rPr>
        <w:t xml:space="preserve"> Participants will gain a clear understanding of how existing FINRA and SEC rules, such as those related to supervision (FINRA Rule 3110), communications (FINRA Rule 2210), recordkeeping (FINRA Rule 4510 series, SEC Rule 17a-4), and ethical conduct (FINRA Rule 2110/2010), apply directly to Generative AI use in finance. </w:t>
      </w:r>
    </w:p>
    <w:p w14:paraId="0E86DB59" w14:textId="20765B77" w:rsidR="00D50BF1" w:rsidRDefault="45B7F275" w:rsidP="4E08DEB9">
      <w:pPr>
        <w:numPr>
          <w:ilvl w:val="0"/>
          <w:numId w:val="1"/>
        </w:numPr>
        <w:spacing w:before="240" w:after="240"/>
        <w:rPr>
          <w:rFonts w:ascii="Aptos" w:eastAsia="Aptos" w:hAnsi="Aptos" w:cs="Aptos"/>
        </w:rPr>
      </w:pPr>
      <w:r w:rsidRPr="4E08DEB9">
        <w:rPr>
          <w:rFonts w:ascii="Aptos" w:eastAsia="Aptos" w:hAnsi="Aptos" w:cs="Aptos"/>
          <w:b/>
          <w:bCs/>
        </w:rPr>
        <w:t>Implementing Human-in-the-Loop (HITL) Testing for AI Outputs:</w:t>
      </w:r>
      <w:r w:rsidRPr="4E08DEB9">
        <w:rPr>
          <w:rFonts w:ascii="Aptos" w:eastAsia="Aptos" w:hAnsi="Aptos" w:cs="Aptos"/>
        </w:rPr>
        <w:t xml:space="preserve"> Attendees will learn practical strategies for incorporating human review and approval into the AI output validation process, particularly for customer-facing communications. This includes understanding the need for human oversight to ensure AI-generated content is fair, balanced, and not misleading, and how to set up processes for reviewing and editing AI drafts before publication. </w:t>
      </w:r>
    </w:p>
    <w:p w14:paraId="3CE5C668" w14:textId="43402476" w:rsidR="00D50BF1" w:rsidRDefault="45B7F275" w:rsidP="4E08DEB9">
      <w:pPr>
        <w:numPr>
          <w:ilvl w:val="0"/>
          <w:numId w:val="1"/>
        </w:numPr>
        <w:spacing w:before="240" w:after="240"/>
        <w:rPr>
          <w:rFonts w:ascii="Aptos" w:eastAsia="Aptos" w:hAnsi="Aptos" w:cs="Aptos"/>
        </w:rPr>
      </w:pPr>
      <w:r w:rsidRPr="4E08DEB9">
        <w:rPr>
          <w:rFonts w:ascii="Aptos" w:eastAsia="Aptos" w:hAnsi="Aptos" w:cs="Aptos"/>
          <w:b/>
          <w:bCs/>
        </w:rPr>
        <w:t>Leveraging Test Automation for Continuous AI Compliance:</w:t>
      </w:r>
      <w:r w:rsidRPr="4E08DEB9">
        <w:rPr>
          <w:rFonts w:ascii="Aptos" w:eastAsia="Aptos" w:hAnsi="Aptos" w:cs="Aptos"/>
        </w:rPr>
        <w:t xml:space="preserve"> The session will provide insights into designing and implementing automated testing frameworks to monitor AI model performance, detect data drift, and ensure ongoing compliance. This includes using automation for validating training data for biases, verifying model outputs against performance benchmarks, and ensuring adherence to privacy and security protocols throughout the AI lifecycle. </w:t>
      </w:r>
    </w:p>
    <w:p w14:paraId="29F6027F" w14:textId="15445241" w:rsidR="00D50BF1" w:rsidRDefault="45B7F275" w:rsidP="4E08DEB9">
      <w:pPr>
        <w:numPr>
          <w:ilvl w:val="0"/>
          <w:numId w:val="1"/>
        </w:numPr>
        <w:spacing w:before="240" w:after="240"/>
        <w:rPr>
          <w:rFonts w:ascii="Aptos" w:eastAsia="Aptos" w:hAnsi="Aptos" w:cs="Aptos"/>
        </w:rPr>
      </w:pPr>
      <w:r w:rsidRPr="4E08DEB9">
        <w:rPr>
          <w:rFonts w:ascii="Aptos" w:eastAsia="Aptos" w:hAnsi="Aptos" w:cs="Aptos"/>
          <w:b/>
          <w:bCs/>
        </w:rPr>
        <w:t>Establishing Traceability and Auditability in AI Systems:</w:t>
      </w:r>
      <w:r w:rsidRPr="4E08DEB9">
        <w:rPr>
          <w:rFonts w:ascii="Aptos" w:eastAsia="Aptos" w:hAnsi="Aptos" w:cs="Aptos"/>
        </w:rPr>
        <w:t xml:space="preserve"> Participants will discover how to build traceability from regulatory requirements to test cases and evidence, and how to maintain detailed audit trails of AI model lifecycles. This includes documenting model training, deployment approvals, and changes, drawing parallels to established frameworks like FDA's 21 CFR Part 11 to ensure the integrity and reliability of AI-generated records. </w:t>
      </w:r>
    </w:p>
    <w:p w14:paraId="0BC5B56D" w14:textId="2B08AEA2" w:rsidR="00D50BF1" w:rsidRDefault="45B7F275" w:rsidP="4E08DEB9">
      <w:pPr>
        <w:numPr>
          <w:ilvl w:val="0"/>
          <w:numId w:val="1"/>
        </w:numPr>
        <w:spacing w:before="240" w:after="240"/>
        <w:rPr>
          <w:rFonts w:ascii="Aptos" w:eastAsia="Aptos" w:hAnsi="Aptos" w:cs="Aptos"/>
        </w:rPr>
      </w:pPr>
      <w:r w:rsidRPr="4E08DEB9">
        <w:rPr>
          <w:rFonts w:ascii="Aptos" w:eastAsia="Aptos" w:hAnsi="Aptos" w:cs="Aptos"/>
          <w:b/>
          <w:bCs/>
        </w:rPr>
        <w:t>Integrating Compliance into Agile AI Development:</w:t>
      </w:r>
      <w:r w:rsidRPr="4E08DEB9">
        <w:rPr>
          <w:rFonts w:ascii="Aptos" w:eastAsia="Aptos" w:hAnsi="Aptos" w:cs="Aptos"/>
        </w:rPr>
        <w:t xml:space="preserve"> The presentation will demonstrate how to embed regulatory compliance as a core component of Agile development methodologies for AI. This involves treating compliance requirements as explicit "user stories" or Non-Functional Requirements (NFRs), creating specific </w:t>
      </w:r>
      <w:r w:rsidRPr="4E08DEB9">
        <w:rPr>
          <w:rFonts w:ascii="Aptos" w:eastAsia="Aptos" w:hAnsi="Aptos" w:cs="Aptos"/>
        </w:rPr>
        <w:lastRenderedPageBreak/>
        <w:t xml:space="preserve">test cases for these requirements, and integrating compliance sign-offs into release planning and sprint reviews. </w:t>
      </w:r>
    </w:p>
    <w:p w14:paraId="0BCA8D84" w14:textId="3ACD675E" w:rsidR="00D50BF1" w:rsidRDefault="45B7F275" w:rsidP="4E08DEB9">
      <w:pPr>
        <w:numPr>
          <w:ilvl w:val="0"/>
          <w:numId w:val="1"/>
        </w:numPr>
        <w:spacing w:before="240" w:after="240"/>
        <w:rPr>
          <w:rFonts w:ascii="Aptos" w:eastAsia="Aptos" w:hAnsi="Aptos" w:cs="Aptos"/>
        </w:rPr>
      </w:pPr>
      <w:r w:rsidRPr="4E08DEB9">
        <w:rPr>
          <w:rFonts w:ascii="Aptos" w:eastAsia="Aptos" w:hAnsi="Aptos" w:cs="Aptos"/>
          <w:b/>
          <w:bCs/>
        </w:rPr>
        <w:t>Addressing Data Privacy and Bias in AI Training:</w:t>
      </w:r>
      <w:r w:rsidRPr="4E08DEB9">
        <w:rPr>
          <w:rFonts w:ascii="Aptos" w:eastAsia="Aptos" w:hAnsi="Aptos" w:cs="Aptos"/>
        </w:rPr>
        <w:t xml:space="preserve"> Attendees will learn the critical importance of data governance in AI, including strategies for ensuring data quality, integrity, and appropriate use. This involves understanding how to review and curate training data to mitigate bias, protect personally identifiable information (PII) in accordance with SEC Regulation S-P and the Red Flags Rule, and implement cybersecurity policies for third-party AI solutions. </w:t>
      </w:r>
    </w:p>
    <w:p w14:paraId="58B4F6E0" w14:textId="7854CCF2" w:rsidR="00D50BF1" w:rsidRDefault="45B7F275" w:rsidP="4E08DEB9">
      <w:pPr>
        <w:spacing w:before="299" w:after="299"/>
      </w:pPr>
      <w:r w:rsidRPr="4E08DEB9">
        <w:rPr>
          <w:rFonts w:ascii="Aptos" w:eastAsia="Aptos" w:hAnsi="Aptos" w:cs="Aptos"/>
          <w:b/>
          <w:bCs/>
          <w:sz w:val="36"/>
          <w:szCs w:val="36"/>
        </w:rPr>
        <w:t>4. Outline</w:t>
      </w:r>
    </w:p>
    <w:p w14:paraId="485E2013" w14:textId="1D3DE2C0" w:rsidR="00D50BF1" w:rsidRDefault="45B7F275" w:rsidP="4E08DEB9">
      <w:pPr>
        <w:spacing w:before="240" w:after="240"/>
      </w:pPr>
      <w:r w:rsidRPr="4E08DEB9">
        <w:rPr>
          <w:rFonts w:ascii="Aptos" w:eastAsia="Aptos" w:hAnsi="Aptos" w:cs="Aptos"/>
          <w:b/>
          <w:bCs/>
        </w:rPr>
        <w:t>I. Introduction: The Regulatory Imperative for AI in Finance (10 min)</w:t>
      </w:r>
      <w:r w:rsidRPr="4E08DEB9">
        <w:rPr>
          <w:rFonts w:ascii="Aptos" w:eastAsia="Aptos" w:hAnsi="Aptos" w:cs="Aptos"/>
        </w:rPr>
        <w:t xml:space="preserve"> A. Generative AI's transformative potential and associated risks in financial services. </w:t>
      </w:r>
    </w:p>
    <w:p w14:paraId="2E4F1535" w14:textId="2EF9FF11" w:rsidR="00D50BF1" w:rsidRDefault="45B7F275" w:rsidP="4E08DEB9">
      <w:pPr>
        <w:spacing w:before="240" w:after="240"/>
      </w:pPr>
      <w:r w:rsidRPr="4E08DEB9">
        <w:rPr>
          <w:rFonts w:ascii="Aptos" w:eastAsia="Aptos" w:hAnsi="Aptos" w:cs="Aptos"/>
        </w:rPr>
        <w:t xml:space="preserve">B. FINRA and SEC's "technology-neutral" approach: existing rules apply to AI. </w:t>
      </w:r>
    </w:p>
    <w:p w14:paraId="14929AF3" w14:textId="04BB4F54" w:rsidR="00D50BF1" w:rsidRDefault="45B7F275" w:rsidP="4E08DEB9">
      <w:pPr>
        <w:spacing w:before="240" w:after="240"/>
      </w:pPr>
      <w:r w:rsidRPr="4E08DEB9">
        <w:rPr>
          <w:rFonts w:ascii="Aptos" w:eastAsia="Aptos" w:hAnsi="Aptos" w:cs="Aptos"/>
        </w:rPr>
        <w:t xml:space="preserve">C. Core regulatory obligations in the AI context: supervision, communications, recordkeeping, ethical conduct. </w:t>
      </w:r>
    </w:p>
    <w:p w14:paraId="083A93ED" w14:textId="55F1A5D0" w:rsidR="00D50BF1" w:rsidRDefault="45B7F275" w:rsidP="4E08DEB9">
      <w:pPr>
        <w:spacing w:before="240" w:after="240"/>
      </w:pPr>
      <w:r w:rsidRPr="4E08DEB9">
        <w:rPr>
          <w:rFonts w:ascii="Aptos" w:eastAsia="Aptos" w:hAnsi="Aptos" w:cs="Aptos"/>
        </w:rPr>
        <w:t xml:space="preserve">D. The heightened need for robust controls and why testing is paramount. </w:t>
      </w:r>
    </w:p>
    <w:p w14:paraId="1C6B3BA2" w14:textId="3F8EA641" w:rsidR="00D50BF1" w:rsidRDefault="45B7F275" w:rsidP="4E08DEB9">
      <w:pPr>
        <w:spacing w:before="240" w:after="240"/>
      </w:pPr>
      <w:r w:rsidRPr="4E08DEB9">
        <w:rPr>
          <w:rFonts w:ascii="Aptos" w:eastAsia="Aptos" w:hAnsi="Aptos" w:cs="Aptos"/>
          <w:b/>
          <w:bCs/>
        </w:rPr>
        <w:t>II. Regulatory Landscape and Key Compliance Areas for AI (15 min)</w:t>
      </w:r>
      <w:r w:rsidRPr="4E08DEB9">
        <w:rPr>
          <w:rFonts w:ascii="Aptos" w:eastAsia="Aptos" w:hAnsi="Aptos" w:cs="Aptos"/>
        </w:rPr>
        <w:t xml:space="preserve"> A. </w:t>
      </w:r>
      <w:r w:rsidRPr="4E08DEB9">
        <w:rPr>
          <w:rFonts w:ascii="Aptos" w:eastAsia="Aptos" w:hAnsi="Aptos" w:cs="Aptos"/>
          <w:b/>
          <w:bCs/>
        </w:rPr>
        <w:t>Supervision, Governance, and Internal Policies (FINRA Rule 3110):</w:t>
      </w:r>
      <w:r w:rsidRPr="4E08DEB9">
        <w:rPr>
          <w:rFonts w:ascii="Aptos" w:eastAsia="Aptos" w:hAnsi="Aptos" w:cs="Aptos"/>
        </w:rPr>
        <w:t xml:space="preserve"> 1. Governing AI models as rigorously as human employees or conventional technology. </w:t>
      </w:r>
    </w:p>
    <w:p w14:paraId="3276DCE2" w14:textId="0E8AAA60" w:rsidR="00D50BF1" w:rsidRDefault="45B7F275" w:rsidP="4E08DEB9">
      <w:pPr>
        <w:spacing w:before="240" w:after="240"/>
      </w:pPr>
      <w:r w:rsidRPr="4E08DEB9">
        <w:rPr>
          <w:rFonts w:ascii="Aptos" w:eastAsia="Aptos" w:hAnsi="Aptos" w:cs="Aptos"/>
        </w:rPr>
        <w:t xml:space="preserve">2. Establishing enterprise-level AI governance programs (inventory, risk classification, oversight). </w:t>
      </w:r>
    </w:p>
    <w:p w14:paraId="4A74C1FE" w14:textId="44AFE6AB" w:rsidR="00D50BF1" w:rsidRDefault="45B7F275" w:rsidP="4E08DEB9">
      <w:pPr>
        <w:spacing w:before="240" w:after="240"/>
      </w:pPr>
      <w:r w:rsidRPr="4E08DEB9">
        <w:rPr>
          <w:rFonts w:ascii="Aptos" w:eastAsia="Aptos" w:hAnsi="Aptos" w:cs="Aptos"/>
        </w:rPr>
        <w:t xml:space="preserve">3. Defining "AI" internally and vendor management for third-party solutions. </w:t>
      </w:r>
    </w:p>
    <w:p w14:paraId="3A02A614" w14:textId="6E204F46" w:rsidR="00D50BF1" w:rsidRDefault="45B7F275" w:rsidP="4E08DEB9">
      <w:pPr>
        <w:spacing w:before="240" w:after="240"/>
      </w:pPr>
      <w:r w:rsidRPr="4E08DEB9">
        <w:rPr>
          <w:rFonts w:ascii="Aptos" w:eastAsia="Aptos" w:hAnsi="Aptos" w:cs="Aptos"/>
        </w:rPr>
        <w:t xml:space="preserve">B. </w:t>
      </w:r>
      <w:r w:rsidRPr="4E08DEB9">
        <w:rPr>
          <w:rFonts w:ascii="Aptos" w:eastAsia="Aptos" w:hAnsi="Aptos" w:cs="Aptos"/>
          <w:b/>
          <w:bCs/>
        </w:rPr>
        <w:t>Data Preparation and Privacy Controls (SEC Reg S-P, Reg S-ID):</w:t>
      </w:r>
      <w:r w:rsidRPr="4E08DEB9">
        <w:rPr>
          <w:rFonts w:ascii="Aptos" w:eastAsia="Aptos" w:hAnsi="Aptos" w:cs="Aptos"/>
        </w:rPr>
        <w:t xml:space="preserve"> 1. Importance of data governance for AI applications. </w:t>
      </w:r>
    </w:p>
    <w:p w14:paraId="62CF0D81" w14:textId="5C59BF2E" w:rsidR="00D50BF1" w:rsidRDefault="45B7F275" w:rsidP="4E08DEB9">
      <w:pPr>
        <w:spacing w:before="240" w:after="240"/>
      </w:pPr>
      <w:r w:rsidRPr="4E08DEB9">
        <w:rPr>
          <w:rFonts w:ascii="Aptos" w:eastAsia="Aptos" w:hAnsi="Aptos" w:cs="Aptos"/>
        </w:rPr>
        <w:t xml:space="preserve">2. Addressing biased or unrepresentative training data and data quality. </w:t>
      </w:r>
    </w:p>
    <w:p w14:paraId="4F4EBA5C" w14:textId="19B35540" w:rsidR="00D50BF1" w:rsidRDefault="45B7F275" w:rsidP="4E08DEB9">
      <w:pPr>
        <w:spacing w:before="240" w:after="240"/>
      </w:pPr>
      <w:r w:rsidRPr="4E08DEB9">
        <w:rPr>
          <w:rFonts w:ascii="Aptos" w:eastAsia="Aptos" w:hAnsi="Aptos" w:cs="Aptos"/>
        </w:rPr>
        <w:t xml:space="preserve">3. Protecting customer PII: anonymization, encryption, consent. </w:t>
      </w:r>
    </w:p>
    <w:p w14:paraId="7083E67E" w14:textId="5FB4FA1B" w:rsidR="00D50BF1" w:rsidRDefault="45B7F275" w:rsidP="4E08DEB9">
      <w:pPr>
        <w:spacing w:before="240" w:after="240"/>
      </w:pPr>
      <w:r w:rsidRPr="4E08DEB9">
        <w:rPr>
          <w:rFonts w:ascii="Aptos" w:eastAsia="Aptos" w:hAnsi="Aptos" w:cs="Aptos"/>
        </w:rPr>
        <w:t xml:space="preserve">4. Preventing unauthorized access and data leakage; cybersecurity policies. </w:t>
      </w:r>
    </w:p>
    <w:p w14:paraId="58314B39" w14:textId="77777777" w:rsidR="00733054" w:rsidRDefault="45B7F275" w:rsidP="4E08DEB9">
      <w:pPr>
        <w:spacing w:before="240" w:after="240"/>
        <w:rPr>
          <w:rFonts w:ascii="Aptos" w:eastAsia="Aptos" w:hAnsi="Aptos" w:cs="Aptos"/>
        </w:rPr>
      </w:pPr>
      <w:r w:rsidRPr="4E08DEB9">
        <w:rPr>
          <w:rFonts w:ascii="Aptos" w:eastAsia="Aptos" w:hAnsi="Aptos" w:cs="Aptos"/>
        </w:rPr>
        <w:t xml:space="preserve">C. </w:t>
      </w:r>
      <w:r w:rsidRPr="4E08DEB9">
        <w:rPr>
          <w:rFonts w:ascii="Aptos" w:eastAsia="Aptos" w:hAnsi="Aptos" w:cs="Aptos"/>
          <w:b/>
          <w:bCs/>
        </w:rPr>
        <w:t>Model Training, Testing Rigor, and Explainability:</w:t>
      </w:r>
      <w:r w:rsidRPr="4E08DEB9">
        <w:rPr>
          <w:rFonts w:ascii="Aptos" w:eastAsia="Aptos" w:hAnsi="Aptos" w:cs="Aptos"/>
        </w:rPr>
        <w:t xml:space="preserve"> </w:t>
      </w:r>
    </w:p>
    <w:p w14:paraId="3F15FE1A" w14:textId="193D1A93" w:rsidR="00D50BF1" w:rsidRDefault="45B7F275" w:rsidP="4E08DEB9">
      <w:pPr>
        <w:spacing w:before="240" w:after="240"/>
      </w:pPr>
      <w:r w:rsidRPr="4E08DEB9">
        <w:rPr>
          <w:rFonts w:ascii="Aptos" w:eastAsia="Aptos" w:hAnsi="Aptos" w:cs="Aptos"/>
        </w:rPr>
        <w:lastRenderedPageBreak/>
        <w:t xml:space="preserve">1. Comprehensive model risk management framework. </w:t>
      </w:r>
    </w:p>
    <w:p w14:paraId="4A65A7AB" w14:textId="32AC8A0A" w:rsidR="00D50BF1" w:rsidRDefault="45B7F275" w:rsidP="4E08DEB9">
      <w:pPr>
        <w:spacing w:before="240" w:after="240"/>
      </w:pPr>
      <w:r w:rsidRPr="4E08DEB9">
        <w:rPr>
          <w:rFonts w:ascii="Aptos" w:eastAsia="Aptos" w:hAnsi="Aptos" w:cs="Aptos"/>
        </w:rPr>
        <w:t xml:space="preserve">2. Rigorous testing and validation processes for AI models. </w:t>
      </w:r>
    </w:p>
    <w:p w14:paraId="2116ABBD" w14:textId="46E8F66E" w:rsidR="00D50BF1" w:rsidRDefault="45B7F275" w:rsidP="4E08DEB9">
      <w:pPr>
        <w:spacing w:before="240" w:after="240"/>
      </w:pPr>
      <w:r w:rsidRPr="4E08DEB9">
        <w:rPr>
          <w:rFonts w:ascii="Aptos" w:eastAsia="Aptos" w:hAnsi="Aptos" w:cs="Aptos"/>
        </w:rPr>
        <w:t xml:space="preserve">3. The "black box" problem and the demand for AI explainability. </w:t>
      </w:r>
    </w:p>
    <w:p w14:paraId="5185A356" w14:textId="42122789" w:rsidR="00D50BF1" w:rsidRDefault="45B7F275" w:rsidP="4E08DEB9">
      <w:pPr>
        <w:spacing w:before="240" w:after="240"/>
      </w:pPr>
      <w:r w:rsidRPr="4E08DEB9">
        <w:rPr>
          <w:rFonts w:ascii="Aptos" w:eastAsia="Aptos" w:hAnsi="Aptos" w:cs="Aptos"/>
        </w:rPr>
        <w:t xml:space="preserve">4. Techniques for explainability (documentation, sensitivity testing). </w:t>
      </w:r>
    </w:p>
    <w:p w14:paraId="4E0A1F47" w14:textId="77777777" w:rsidR="00154D5A" w:rsidRDefault="45B7F275" w:rsidP="4E08DEB9">
      <w:pPr>
        <w:spacing w:before="240" w:after="240"/>
        <w:rPr>
          <w:rFonts w:ascii="Aptos" w:eastAsia="Aptos" w:hAnsi="Aptos" w:cs="Aptos"/>
          <w:b/>
          <w:bCs/>
        </w:rPr>
      </w:pPr>
      <w:r w:rsidRPr="4E08DEB9">
        <w:rPr>
          <w:rFonts w:ascii="Aptos" w:eastAsia="Aptos" w:hAnsi="Aptos" w:cs="Aptos"/>
          <w:b/>
          <w:bCs/>
        </w:rPr>
        <w:t>III. Testing Strategies for AI Compliance: Human-in-the-Loop &amp; Automation (25 min)</w:t>
      </w:r>
    </w:p>
    <w:p w14:paraId="14BB7F78" w14:textId="755ED53C" w:rsidR="00154D5A" w:rsidRDefault="45B7F275" w:rsidP="4E08DEB9">
      <w:pPr>
        <w:spacing w:before="240" w:after="240"/>
        <w:rPr>
          <w:rFonts w:ascii="Aptos" w:eastAsia="Aptos" w:hAnsi="Aptos" w:cs="Aptos"/>
          <w:b/>
          <w:bCs/>
        </w:rPr>
      </w:pPr>
      <w:r w:rsidRPr="4E08DEB9">
        <w:rPr>
          <w:rFonts w:ascii="Aptos" w:eastAsia="Aptos" w:hAnsi="Aptos" w:cs="Aptos"/>
        </w:rPr>
        <w:t xml:space="preserve"> A. </w:t>
      </w:r>
      <w:r w:rsidRPr="4E08DEB9">
        <w:rPr>
          <w:rFonts w:ascii="Aptos" w:eastAsia="Aptos" w:hAnsi="Aptos" w:cs="Aptos"/>
          <w:b/>
          <w:bCs/>
        </w:rPr>
        <w:t>AI Output Validation and Communication Compliance (FINRA Rule 2210):</w:t>
      </w:r>
    </w:p>
    <w:p w14:paraId="2FD3E139" w14:textId="7815CFAB" w:rsidR="00D50BF1" w:rsidRDefault="45B7F275" w:rsidP="4E08DEB9">
      <w:pPr>
        <w:spacing w:before="240" w:after="240"/>
      </w:pPr>
      <w:r w:rsidRPr="4E08DEB9">
        <w:rPr>
          <w:rFonts w:ascii="Aptos" w:eastAsia="Aptos" w:hAnsi="Aptos" w:cs="Aptos"/>
        </w:rPr>
        <w:t xml:space="preserve"> 1. Firms' full responsibility for AI-generated communications. </w:t>
      </w:r>
    </w:p>
    <w:p w14:paraId="06028195" w14:textId="539DCA7B" w:rsidR="00D50BF1" w:rsidRDefault="45B7F275" w:rsidP="4E08DEB9">
      <w:pPr>
        <w:spacing w:before="240" w:after="240"/>
      </w:pPr>
      <w:r w:rsidRPr="4E08DEB9">
        <w:rPr>
          <w:rFonts w:ascii="Aptos" w:eastAsia="Aptos" w:hAnsi="Aptos" w:cs="Aptos"/>
        </w:rPr>
        <w:t xml:space="preserve">2. Application of content standards (no false/exaggerated claims, material omissions). </w:t>
      </w:r>
    </w:p>
    <w:p w14:paraId="645DC90E" w14:textId="6F94C5FD" w:rsidR="00D50BF1" w:rsidRDefault="45B7F275" w:rsidP="4E08DEB9">
      <w:pPr>
        <w:spacing w:before="240" w:after="240"/>
      </w:pPr>
      <w:r w:rsidRPr="4E08DEB9">
        <w:rPr>
          <w:rFonts w:ascii="Aptos" w:eastAsia="Aptos" w:hAnsi="Aptos" w:cs="Aptos"/>
        </w:rPr>
        <w:t xml:space="preserve">3. </w:t>
      </w:r>
      <w:r w:rsidRPr="4E08DEB9">
        <w:rPr>
          <w:rFonts w:ascii="Aptos" w:eastAsia="Aptos" w:hAnsi="Aptos" w:cs="Aptos"/>
          <w:b/>
          <w:bCs/>
        </w:rPr>
        <w:t>Human-in-the-Loop (HITL) Testing:</w:t>
      </w:r>
      <w:r w:rsidRPr="4E08DEB9">
        <w:rPr>
          <w:rFonts w:ascii="Aptos" w:eastAsia="Aptos" w:hAnsi="Aptos" w:cs="Aptos"/>
        </w:rPr>
        <w:t xml:space="preserve"> a. Necessity of human review and approval for AI-driven communications. </w:t>
      </w:r>
    </w:p>
    <w:p w14:paraId="576D4B2C" w14:textId="5CE49AE1" w:rsidR="00D50BF1" w:rsidRDefault="45B7F275" w:rsidP="4E08DEB9">
      <w:pPr>
        <w:spacing w:before="240" w:after="240"/>
      </w:pPr>
      <w:r w:rsidRPr="4E08DEB9">
        <w:rPr>
          <w:rFonts w:ascii="Aptos" w:eastAsia="Aptos" w:hAnsi="Aptos" w:cs="Aptos"/>
        </w:rPr>
        <w:t xml:space="preserve">b. Policies prohibiting fully automated customer messaging. </w:t>
      </w:r>
    </w:p>
    <w:p w14:paraId="377633EE" w14:textId="514C8F46" w:rsidR="00D50BF1" w:rsidRDefault="45B7F275" w:rsidP="4E08DEB9">
      <w:pPr>
        <w:spacing w:before="240" w:after="240"/>
      </w:pPr>
      <w:r w:rsidRPr="4E08DEB9">
        <w:rPr>
          <w:rFonts w:ascii="Aptos" w:eastAsia="Aptos" w:hAnsi="Aptos" w:cs="Aptos"/>
        </w:rPr>
        <w:t xml:space="preserve">c. Supervision of AI chatbot interactions and record retention (FINRA Rule 4511, SEC Rule 17a-4). </w:t>
      </w:r>
    </w:p>
    <w:p w14:paraId="0AC31CF0" w14:textId="2C7B804A" w:rsidR="00D50BF1" w:rsidRDefault="45B7F275" w:rsidP="4E08DEB9">
      <w:pPr>
        <w:spacing w:before="240" w:after="240"/>
      </w:pPr>
      <w:r w:rsidRPr="4E08DEB9">
        <w:rPr>
          <w:rFonts w:ascii="Aptos" w:eastAsia="Aptos" w:hAnsi="Aptos" w:cs="Aptos"/>
        </w:rPr>
        <w:t xml:space="preserve">d. Classifying AI communications (correspondence vs. retail communications). </w:t>
      </w:r>
    </w:p>
    <w:p w14:paraId="3DDBB29B" w14:textId="77777777" w:rsidR="001D3992" w:rsidRDefault="45B7F275" w:rsidP="4E08DEB9">
      <w:pPr>
        <w:spacing w:before="240" w:after="240"/>
        <w:rPr>
          <w:rFonts w:ascii="Aptos" w:eastAsia="Aptos" w:hAnsi="Aptos" w:cs="Aptos"/>
        </w:rPr>
      </w:pPr>
      <w:r w:rsidRPr="4E08DEB9">
        <w:rPr>
          <w:rFonts w:ascii="Aptos" w:eastAsia="Aptos" w:hAnsi="Aptos" w:cs="Aptos"/>
        </w:rPr>
        <w:t xml:space="preserve">B. </w:t>
      </w:r>
      <w:r w:rsidRPr="4E08DEB9">
        <w:rPr>
          <w:rFonts w:ascii="Aptos" w:eastAsia="Aptos" w:hAnsi="Aptos" w:cs="Aptos"/>
          <w:b/>
          <w:bCs/>
        </w:rPr>
        <w:t>Ongoing Monitoring, Auditing, and Reporting Duties:</w:t>
      </w:r>
      <w:r w:rsidRPr="4E08DEB9">
        <w:rPr>
          <w:rFonts w:ascii="Aptos" w:eastAsia="Aptos" w:hAnsi="Aptos" w:cs="Aptos"/>
        </w:rPr>
        <w:t xml:space="preserve"> </w:t>
      </w:r>
    </w:p>
    <w:p w14:paraId="7DA2ECFA" w14:textId="44103C07" w:rsidR="00D50BF1" w:rsidRDefault="45B7F275" w:rsidP="4E08DEB9">
      <w:pPr>
        <w:spacing w:before="240" w:after="240"/>
      </w:pPr>
      <w:r w:rsidRPr="4E08DEB9">
        <w:rPr>
          <w:rFonts w:ascii="Aptos" w:eastAsia="Aptos" w:hAnsi="Aptos" w:cs="Aptos"/>
        </w:rPr>
        <w:t xml:space="preserve">1. Continuous monitoring of AI model performance (drift, accuracy, bias). </w:t>
      </w:r>
    </w:p>
    <w:p w14:paraId="077534EA" w14:textId="3ECD5A2F" w:rsidR="00D50BF1" w:rsidRDefault="45B7F275" w:rsidP="4E08DEB9">
      <w:pPr>
        <w:spacing w:before="240" w:after="240"/>
      </w:pPr>
      <w:r w:rsidRPr="4E08DEB9">
        <w:rPr>
          <w:rFonts w:ascii="Aptos" w:eastAsia="Aptos" w:hAnsi="Aptos" w:cs="Aptos"/>
        </w:rPr>
        <w:t xml:space="preserve">2. Setting performance benchmarks and alert mechanisms. </w:t>
      </w:r>
    </w:p>
    <w:p w14:paraId="0C624AA6" w14:textId="58C176D1" w:rsidR="00D50BF1" w:rsidRDefault="45B7F275" w:rsidP="4E08DEB9">
      <w:pPr>
        <w:spacing w:before="240" w:after="240"/>
      </w:pPr>
      <w:r w:rsidRPr="4E08DEB9">
        <w:rPr>
          <w:rFonts w:ascii="Aptos" w:eastAsia="Aptos" w:hAnsi="Aptos" w:cs="Aptos"/>
        </w:rPr>
        <w:t xml:space="preserve">3. Human oversight and guardrails for autonomous AI (e.g., trading algorithms). </w:t>
      </w:r>
    </w:p>
    <w:p w14:paraId="2D46B625" w14:textId="1BBAEE2B" w:rsidR="00D50BF1" w:rsidRDefault="45B7F275" w:rsidP="4E08DEB9">
      <w:pPr>
        <w:spacing w:before="240" w:after="240"/>
      </w:pPr>
      <w:r w:rsidRPr="4E08DEB9">
        <w:rPr>
          <w:rFonts w:ascii="Aptos" w:eastAsia="Aptos" w:hAnsi="Aptos" w:cs="Aptos"/>
        </w:rPr>
        <w:t xml:space="preserve">4. Reporting AI-related incidents (FINRA Rule 4530, Reg S-ID). </w:t>
      </w:r>
    </w:p>
    <w:p w14:paraId="30B45F82" w14:textId="1A77162E" w:rsidR="00D50BF1" w:rsidRDefault="45B7F275" w:rsidP="4E08DEB9">
      <w:pPr>
        <w:spacing w:before="240" w:after="240"/>
      </w:pPr>
      <w:r w:rsidRPr="4E08DEB9">
        <w:rPr>
          <w:rFonts w:ascii="Aptos" w:eastAsia="Aptos" w:hAnsi="Aptos" w:cs="Aptos"/>
        </w:rPr>
        <w:t xml:space="preserve">5. Addressing AI-driven conflicts of interest (SEC proposal). </w:t>
      </w:r>
    </w:p>
    <w:p w14:paraId="14702163" w14:textId="782613A0" w:rsidR="00D50BF1" w:rsidRDefault="45B7F275" w:rsidP="4E08DEB9">
      <w:pPr>
        <w:spacing w:before="240" w:after="240"/>
      </w:pPr>
      <w:r w:rsidRPr="4E08DEB9">
        <w:rPr>
          <w:rFonts w:ascii="Aptos" w:eastAsia="Aptos" w:hAnsi="Aptos" w:cs="Aptos"/>
        </w:rPr>
        <w:t xml:space="preserve">C. </w:t>
      </w:r>
      <w:r w:rsidRPr="4E08DEB9">
        <w:rPr>
          <w:rFonts w:ascii="Aptos" w:eastAsia="Aptos" w:hAnsi="Aptos" w:cs="Aptos"/>
          <w:b/>
          <w:bCs/>
        </w:rPr>
        <w:t>Traceability and Auditability: Lessons from FDA 21 CFR Part 11:</w:t>
      </w:r>
      <w:r w:rsidRPr="4E08DEB9">
        <w:rPr>
          <w:rFonts w:ascii="Aptos" w:eastAsia="Aptos" w:hAnsi="Aptos" w:cs="Aptos"/>
        </w:rPr>
        <w:t xml:space="preserve"> 1. Concept of ensuring accuracy, traceability, reliability, and integrity of electronic records. </w:t>
      </w:r>
    </w:p>
    <w:p w14:paraId="660E597F" w14:textId="5C98BF7C" w:rsidR="00D50BF1" w:rsidRDefault="45B7F275" w:rsidP="4E08DEB9">
      <w:pPr>
        <w:spacing w:before="240" w:after="240"/>
      </w:pPr>
      <w:r w:rsidRPr="4E08DEB9">
        <w:rPr>
          <w:rFonts w:ascii="Aptos" w:eastAsia="Aptos" w:hAnsi="Aptos" w:cs="Aptos"/>
        </w:rPr>
        <w:t xml:space="preserve">2. Maintaining detailed audit trails of AI model lifecycle (training data, approvals, changes). </w:t>
      </w:r>
    </w:p>
    <w:p w14:paraId="482F0DB5" w14:textId="3FFFBC53" w:rsidR="00D50BF1" w:rsidRDefault="45B7F275" w:rsidP="4E08DEB9">
      <w:pPr>
        <w:spacing w:before="240" w:after="240"/>
      </w:pPr>
      <w:r w:rsidRPr="4E08DEB9">
        <w:rPr>
          <w:rFonts w:ascii="Aptos" w:eastAsia="Aptos" w:hAnsi="Aptos" w:cs="Aptos"/>
        </w:rPr>
        <w:t xml:space="preserve">3. Tracing AI outputs back to model versions and inputs. </w:t>
      </w:r>
    </w:p>
    <w:p w14:paraId="7DE6E41A" w14:textId="2B61410D" w:rsidR="00D50BF1" w:rsidRDefault="45B7F275" w:rsidP="4E08DEB9">
      <w:pPr>
        <w:spacing w:before="240" w:after="240"/>
      </w:pPr>
      <w:r w:rsidRPr="4E08DEB9">
        <w:rPr>
          <w:rFonts w:ascii="Aptos" w:eastAsia="Aptos" w:hAnsi="Aptos" w:cs="Aptos"/>
        </w:rPr>
        <w:lastRenderedPageBreak/>
        <w:t xml:space="preserve">4. Accountability by identifiable individuals for AI processes. </w:t>
      </w:r>
    </w:p>
    <w:p w14:paraId="65CD2747" w14:textId="72E5587C" w:rsidR="00D50BF1" w:rsidRDefault="45B7F275" w:rsidP="4E08DEB9">
      <w:pPr>
        <w:spacing w:before="240" w:after="240"/>
      </w:pPr>
      <w:r w:rsidRPr="4E08DEB9">
        <w:rPr>
          <w:rFonts w:ascii="Aptos" w:eastAsia="Aptos" w:hAnsi="Aptos" w:cs="Aptos"/>
        </w:rPr>
        <w:t xml:space="preserve">5. Lifecycle documentation, validation, and change control procedures for AI systems. </w:t>
      </w:r>
    </w:p>
    <w:p w14:paraId="47C7BF96" w14:textId="7E7CEA04" w:rsidR="00D50BF1" w:rsidRDefault="45B7F275" w:rsidP="4E08DEB9">
      <w:pPr>
        <w:spacing w:before="240" w:after="240"/>
      </w:pPr>
      <w:r w:rsidRPr="4E08DEB9">
        <w:rPr>
          <w:rFonts w:ascii="Aptos" w:eastAsia="Aptos" w:hAnsi="Aptos" w:cs="Aptos"/>
        </w:rPr>
        <w:t xml:space="preserve">6. The intersection with SEC 17a-4/FINRA 4510 rules for recordkeeping. </w:t>
      </w:r>
    </w:p>
    <w:p w14:paraId="4E5DEAFA" w14:textId="0ACD8114" w:rsidR="00D50BF1" w:rsidRDefault="45B7F275" w:rsidP="4E08DEB9">
      <w:pPr>
        <w:spacing w:before="240" w:after="240"/>
      </w:pPr>
      <w:r w:rsidRPr="4E08DEB9">
        <w:rPr>
          <w:rFonts w:ascii="Aptos" w:eastAsia="Aptos" w:hAnsi="Aptos" w:cs="Aptos"/>
          <w:b/>
          <w:bCs/>
        </w:rPr>
        <w:t>IV. QA Controls and Agile Practices for AI Compliance (15 min)</w:t>
      </w:r>
      <w:r w:rsidRPr="4E08DEB9">
        <w:rPr>
          <w:rFonts w:ascii="Aptos" w:eastAsia="Aptos" w:hAnsi="Aptos" w:cs="Aptos"/>
        </w:rPr>
        <w:t xml:space="preserve"> A. </w:t>
      </w:r>
      <w:r w:rsidRPr="4E08DEB9">
        <w:rPr>
          <w:rFonts w:ascii="Aptos" w:eastAsia="Aptos" w:hAnsi="Aptos" w:cs="Aptos"/>
          <w:b/>
          <w:bCs/>
        </w:rPr>
        <w:t>Baking Compliance into the SDLC:</w:t>
      </w:r>
      <w:r w:rsidRPr="4E08DEB9">
        <w:rPr>
          <w:rFonts w:ascii="Aptos" w:eastAsia="Aptos" w:hAnsi="Aptos" w:cs="Aptos"/>
        </w:rPr>
        <w:t xml:space="preserve"> 1. Treating regulatory requirements as explicit "user stories" or Non-Functional Requirements (NFRs). </w:t>
      </w:r>
    </w:p>
    <w:p w14:paraId="2B2EE11C" w14:textId="152ED51F" w:rsidR="00D50BF1" w:rsidRDefault="45B7F275" w:rsidP="4E08DEB9">
      <w:pPr>
        <w:spacing w:before="240" w:after="240"/>
      </w:pPr>
      <w:r w:rsidRPr="4E08DEB9">
        <w:rPr>
          <w:rFonts w:ascii="Aptos" w:eastAsia="Aptos" w:hAnsi="Aptos" w:cs="Aptos"/>
        </w:rPr>
        <w:t xml:space="preserve">2. Creating specific test cases for compliance requirements. </w:t>
      </w:r>
    </w:p>
    <w:p w14:paraId="07056EBC" w14:textId="5DAB63F7" w:rsidR="00D50BF1" w:rsidRDefault="45B7F275" w:rsidP="4E08DEB9">
      <w:pPr>
        <w:spacing w:before="240" w:after="240"/>
      </w:pPr>
      <w:r w:rsidRPr="4E08DEB9">
        <w:rPr>
          <w:rFonts w:ascii="Aptos" w:eastAsia="Aptos" w:hAnsi="Aptos" w:cs="Aptos"/>
        </w:rPr>
        <w:t xml:space="preserve">3. Traceability from regulatory requirement → test case → evidence (e.g., using test management tools). </w:t>
      </w:r>
    </w:p>
    <w:p w14:paraId="26D38353" w14:textId="0FC7FD30" w:rsidR="00D50BF1" w:rsidRDefault="45B7F275" w:rsidP="4E08DEB9">
      <w:pPr>
        <w:spacing w:before="240" w:after="240"/>
      </w:pPr>
      <w:r w:rsidRPr="4E08DEB9">
        <w:rPr>
          <w:rFonts w:ascii="Aptos" w:eastAsia="Aptos" w:hAnsi="Aptos" w:cs="Aptos"/>
        </w:rPr>
        <w:t xml:space="preserve">B. </w:t>
      </w:r>
      <w:r w:rsidRPr="4E08DEB9">
        <w:rPr>
          <w:rFonts w:ascii="Aptos" w:eastAsia="Aptos" w:hAnsi="Aptos" w:cs="Aptos"/>
          <w:b/>
          <w:bCs/>
        </w:rPr>
        <w:t>Agile Release Planning and Compliance Sign-offs:</w:t>
      </w:r>
      <w:r w:rsidRPr="4E08DEB9">
        <w:rPr>
          <w:rFonts w:ascii="Aptos" w:eastAsia="Aptos" w:hAnsi="Aptos" w:cs="Aptos"/>
        </w:rPr>
        <w:t xml:space="preserve"> 1. Integrating compliance review into release cycles. </w:t>
      </w:r>
    </w:p>
    <w:p w14:paraId="0A5EABE9" w14:textId="66B7463C" w:rsidR="00D50BF1" w:rsidRDefault="45B7F275" w:rsidP="4E08DEB9">
      <w:pPr>
        <w:spacing w:before="240" w:after="240"/>
      </w:pPr>
      <w:r w:rsidRPr="4E08DEB9">
        <w:rPr>
          <w:rFonts w:ascii="Aptos" w:eastAsia="Aptos" w:hAnsi="Aptos" w:cs="Aptos"/>
        </w:rPr>
        <w:t xml:space="preserve">2. Prioritizing model testing and documentation in sprint planning. </w:t>
      </w:r>
    </w:p>
    <w:p w14:paraId="32825DC4" w14:textId="2061E9D6" w:rsidR="00D50BF1" w:rsidRDefault="45B7F275" w:rsidP="4E08DEB9">
      <w:pPr>
        <w:spacing w:before="240" w:after="240"/>
      </w:pPr>
      <w:r w:rsidRPr="4E08DEB9">
        <w:rPr>
          <w:rFonts w:ascii="Aptos" w:eastAsia="Aptos" w:hAnsi="Aptos" w:cs="Aptos"/>
        </w:rPr>
        <w:t xml:space="preserve">3. "Compliance Demos" and integrating regulatory criteria into "definition of done." </w:t>
      </w:r>
    </w:p>
    <w:p w14:paraId="6A72399C" w14:textId="7B1E914D" w:rsidR="00D50BF1" w:rsidRDefault="45B7F275" w:rsidP="4E08DEB9">
      <w:pPr>
        <w:spacing w:before="240" w:after="240"/>
      </w:pPr>
      <w:r w:rsidRPr="4E08DEB9">
        <w:rPr>
          <w:rFonts w:ascii="Aptos" w:eastAsia="Aptos" w:hAnsi="Aptos" w:cs="Aptos"/>
        </w:rPr>
        <w:t xml:space="preserve">C. </w:t>
      </w:r>
      <w:r w:rsidRPr="4E08DEB9">
        <w:rPr>
          <w:rFonts w:ascii="Aptos" w:eastAsia="Aptos" w:hAnsi="Aptos" w:cs="Aptos"/>
          <w:b/>
          <w:bCs/>
        </w:rPr>
        <w:t>Work Policies and Continuous QA for AI:</w:t>
      </w:r>
      <w:r w:rsidRPr="4E08DEB9">
        <w:rPr>
          <w:rFonts w:ascii="Aptos" w:eastAsia="Aptos" w:hAnsi="Aptos" w:cs="Aptos"/>
        </w:rPr>
        <w:t xml:space="preserve"> 1. Establishing clear internal policies for AI use (e.g., data restrictions, peer-review). </w:t>
      </w:r>
    </w:p>
    <w:p w14:paraId="140D45E2" w14:textId="363A1DE3" w:rsidR="00D50BF1" w:rsidRDefault="45B7F275" w:rsidP="4E08DEB9">
      <w:pPr>
        <w:spacing w:before="240" w:after="240"/>
      </w:pPr>
      <w:r w:rsidRPr="4E08DEB9">
        <w:rPr>
          <w:rFonts w:ascii="Aptos" w:eastAsia="Aptos" w:hAnsi="Aptos" w:cs="Aptos"/>
        </w:rPr>
        <w:t xml:space="preserve">2. Integrating model risk assessment checklists into workflows. </w:t>
      </w:r>
    </w:p>
    <w:p w14:paraId="5B43107E" w14:textId="44749966" w:rsidR="00D50BF1" w:rsidRDefault="45B7F275" w:rsidP="4E08DEB9">
      <w:pPr>
        <w:spacing w:before="240" w:after="240"/>
      </w:pPr>
      <w:r w:rsidRPr="4E08DEB9">
        <w:rPr>
          <w:rFonts w:ascii="Aptos" w:eastAsia="Aptos" w:hAnsi="Aptos" w:cs="Aptos"/>
        </w:rPr>
        <w:t xml:space="preserve">3. Automated tests for ongoing monitoring of AI in production (drift detection, output quality). </w:t>
      </w:r>
    </w:p>
    <w:p w14:paraId="3BA73EA3" w14:textId="450768AD" w:rsidR="00D50BF1" w:rsidRDefault="45B7F275" w:rsidP="4E08DEB9">
      <w:pPr>
        <w:spacing w:before="240" w:after="240"/>
      </w:pPr>
      <w:r w:rsidRPr="4E08DEB9">
        <w:rPr>
          <w:rFonts w:ascii="Aptos" w:eastAsia="Aptos" w:hAnsi="Aptos" w:cs="Aptos"/>
        </w:rPr>
        <w:t xml:space="preserve">4. Building a continuous compliance feedback loop. </w:t>
      </w:r>
    </w:p>
    <w:p w14:paraId="62C34173" w14:textId="39B51341" w:rsidR="00D50BF1" w:rsidRDefault="45B7F275" w:rsidP="4E08DEB9">
      <w:pPr>
        <w:spacing w:before="240" w:after="240"/>
      </w:pPr>
      <w:r w:rsidRPr="4E08DEB9">
        <w:rPr>
          <w:rFonts w:ascii="Aptos" w:eastAsia="Aptos" w:hAnsi="Aptos" w:cs="Aptos"/>
          <w:b/>
          <w:bCs/>
        </w:rPr>
        <w:t>V. Conclusion: Building a Robust AI Lifecycle Management Program (5 min)</w:t>
      </w:r>
      <w:r w:rsidRPr="4E08DEB9">
        <w:rPr>
          <w:rFonts w:ascii="Aptos" w:eastAsia="Aptos" w:hAnsi="Aptos" w:cs="Aptos"/>
        </w:rPr>
        <w:t xml:space="preserve"> A. Recap of key themes: testing rigor, traceability, monitoring, explainability, governance. </w:t>
      </w:r>
    </w:p>
    <w:p w14:paraId="374CC767" w14:textId="55D6EBFD" w:rsidR="00D50BF1" w:rsidRDefault="45B7F275" w:rsidP="4E08DEB9">
      <w:pPr>
        <w:spacing w:before="240" w:after="240"/>
      </w:pPr>
      <w:r w:rsidRPr="4E08DEB9">
        <w:rPr>
          <w:rFonts w:ascii="Aptos" w:eastAsia="Aptos" w:hAnsi="Aptos" w:cs="Aptos"/>
        </w:rPr>
        <w:t xml:space="preserve">B. Achieving innovative AI solutions while meeting regulatory expectations. </w:t>
      </w:r>
    </w:p>
    <w:p w14:paraId="41B3FE21" w14:textId="09827958" w:rsidR="00D50BF1" w:rsidRDefault="45B7F275" w:rsidP="4E08DEB9">
      <w:pPr>
        <w:spacing w:before="240" w:after="240"/>
      </w:pPr>
      <w:r w:rsidRPr="4E08DEB9">
        <w:rPr>
          <w:rFonts w:ascii="Aptos" w:eastAsia="Aptos" w:hAnsi="Aptos" w:cs="Aptos"/>
        </w:rPr>
        <w:t>C. Future-proofing organizations for evolving AI regulations.</w:t>
      </w:r>
    </w:p>
    <w:p w14:paraId="2C078E63" w14:textId="00A0B15D" w:rsidR="00D50BF1" w:rsidRDefault="00D50BF1"/>
    <w:sectPr w:rsidR="00D50B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2EE9E2"/>
    <w:multiLevelType w:val="hybridMultilevel"/>
    <w:tmpl w:val="CA269CD6"/>
    <w:lvl w:ilvl="0" w:tplc="6EE6FC34">
      <w:start w:val="1"/>
      <w:numFmt w:val="bullet"/>
      <w:lvlText w:val=""/>
      <w:lvlJc w:val="left"/>
      <w:pPr>
        <w:ind w:left="720" w:hanging="360"/>
      </w:pPr>
      <w:rPr>
        <w:rFonts w:ascii="Symbol" w:hAnsi="Symbol" w:hint="default"/>
      </w:rPr>
    </w:lvl>
    <w:lvl w:ilvl="1" w:tplc="1A6E4A70">
      <w:start w:val="1"/>
      <w:numFmt w:val="bullet"/>
      <w:lvlText w:val="o"/>
      <w:lvlJc w:val="left"/>
      <w:pPr>
        <w:ind w:left="1440" w:hanging="360"/>
      </w:pPr>
      <w:rPr>
        <w:rFonts w:ascii="Courier New" w:hAnsi="Courier New" w:hint="default"/>
      </w:rPr>
    </w:lvl>
    <w:lvl w:ilvl="2" w:tplc="03C4E4D6">
      <w:start w:val="1"/>
      <w:numFmt w:val="bullet"/>
      <w:lvlText w:val=""/>
      <w:lvlJc w:val="left"/>
      <w:pPr>
        <w:ind w:left="2160" w:hanging="360"/>
      </w:pPr>
      <w:rPr>
        <w:rFonts w:ascii="Wingdings" w:hAnsi="Wingdings" w:hint="default"/>
      </w:rPr>
    </w:lvl>
    <w:lvl w:ilvl="3" w:tplc="9D1CC9B4">
      <w:start w:val="1"/>
      <w:numFmt w:val="bullet"/>
      <w:lvlText w:val=""/>
      <w:lvlJc w:val="left"/>
      <w:pPr>
        <w:ind w:left="2880" w:hanging="360"/>
      </w:pPr>
      <w:rPr>
        <w:rFonts w:ascii="Symbol" w:hAnsi="Symbol" w:hint="default"/>
      </w:rPr>
    </w:lvl>
    <w:lvl w:ilvl="4" w:tplc="BC4AE700">
      <w:start w:val="1"/>
      <w:numFmt w:val="bullet"/>
      <w:lvlText w:val="o"/>
      <w:lvlJc w:val="left"/>
      <w:pPr>
        <w:ind w:left="3600" w:hanging="360"/>
      </w:pPr>
      <w:rPr>
        <w:rFonts w:ascii="Courier New" w:hAnsi="Courier New" w:hint="default"/>
      </w:rPr>
    </w:lvl>
    <w:lvl w:ilvl="5" w:tplc="7FA0C23E">
      <w:start w:val="1"/>
      <w:numFmt w:val="bullet"/>
      <w:lvlText w:val=""/>
      <w:lvlJc w:val="left"/>
      <w:pPr>
        <w:ind w:left="4320" w:hanging="360"/>
      </w:pPr>
      <w:rPr>
        <w:rFonts w:ascii="Wingdings" w:hAnsi="Wingdings" w:hint="default"/>
      </w:rPr>
    </w:lvl>
    <w:lvl w:ilvl="6" w:tplc="7AFA3EC0">
      <w:start w:val="1"/>
      <w:numFmt w:val="bullet"/>
      <w:lvlText w:val=""/>
      <w:lvlJc w:val="left"/>
      <w:pPr>
        <w:ind w:left="5040" w:hanging="360"/>
      </w:pPr>
      <w:rPr>
        <w:rFonts w:ascii="Symbol" w:hAnsi="Symbol" w:hint="default"/>
      </w:rPr>
    </w:lvl>
    <w:lvl w:ilvl="7" w:tplc="C8CE00D4">
      <w:start w:val="1"/>
      <w:numFmt w:val="bullet"/>
      <w:lvlText w:val="o"/>
      <w:lvlJc w:val="left"/>
      <w:pPr>
        <w:ind w:left="5760" w:hanging="360"/>
      </w:pPr>
      <w:rPr>
        <w:rFonts w:ascii="Courier New" w:hAnsi="Courier New" w:hint="default"/>
      </w:rPr>
    </w:lvl>
    <w:lvl w:ilvl="8" w:tplc="1F42A228">
      <w:start w:val="1"/>
      <w:numFmt w:val="bullet"/>
      <w:lvlText w:val=""/>
      <w:lvlJc w:val="left"/>
      <w:pPr>
        <w:ind w:left="6480" w:hanging="360"/>
      </w:pPr>
      <w:rPr>
        <w:rFonts w:ascii="Wingdings" w:hAnsi="Wingdings" w:hint="default"/>
      </w:rPr>
    </w:lvl>
  </w:abstractNum>
  <w:num w:numId="1" w16cid:durableId="1643776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F81401"/>
    <w:rsid w:val="00154D5A"/>
    <w:rsid w:val="001D3992"/>
    <w:rsid w:val="002311B9"/>
    <w:rsid w:val="005B7B94"/>
    <w:rsid w:val="00733054"/>
    <w:rsid w:val="00BE072E"/>
    <w:rsid w:val="00D43673"/>
    <w:rsid w:val="00D50BF1"/>
    <w:rsid w:val="1EE008C7"/>
    <w:rsid w:val="31B93888"/>
    <w:rsid w:val="45B7F275"/>
    <w:rsid w:val="49F81401"/>
    <w:rsid w:val="4D9A69DD"/>
    <w:rsid w:val="4E08D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81401"/>
  <w15:chartTrackingRefBased/>
  <w15:docId w15:val="{62DCFD30-F162-40C3-9B66-C44DD3A30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5</Pages>
  <Words>1336</Words>
  <Characters>8526</Characters>
  <Application>Microsoft Office Word</Application>
  <DocSecurity>0</DocSecurity>
  <Lines>138</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Gifford</dc:creator>
  <cp:keywords/>
  <dc:description/>
  <cp:lastModifiedBy>James Gifford</cp:lastModifiedBy>
  <cp:revision>1</cp:revision>
  <dcterms:created xsi:type="dcterms:W3CDTF">2025-07-23T16:12:00Z</dcterms:created>
  <dcterms:modified xsi:type="dcterms:W3CDTF">2025-10-16T05:07:00Z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d3f62330-8a70-41e8-b8de-9d671e97b294</vt:lpwstr>
  </property>
</Properties>
</file>