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71517169e84163b3e38d5f1d14466a876b9751"/>
      <w:r>
        <w:t xml:space="preserve">CFP Proposal — Sloponomics: Why Your AI Coding Agent Needs a Referee That Holds No Pen</w:t>
      </w:r>
      <w:bookmarkEnd w:id="20"/>
    </w:p>
    <w:p>
      <w:pPr>
        <w:pStyle w:val="FirstParagraph"/>
      </w:pPr>
      <w:r>
        <w:rPr>
          <w:b/>
        </w:rPr>
        <w:t xml:space="preserve">Submission package for a conference call-for-proposals / Quantic capstone.</w:t>
      </w:r>
      <w:r>
        <w:t xml:space="preserve"> </w:t>
      </w:r>
      <w:r>
        <w:t xml:space="preserve">Derived from the paper</w:t>
      </w:r>
      <w:r>
        <w:t xml:space="preserve"> </w:t>
      </w:r>
      <w:r>
        <w:rPr>
          <w:i/>
        </w:rPr>
        <w:t xml:space="preserve">Can the Antagonist Stay Read-Only While Driving Quality?</w:t>
      </w:r>
      <w:r>
        <w:t xml:space="preserve"> </w:t>
      </w:r>
      <w:r>
        <w:t xml:space="preserve">(2026).</w:t>
      </w:r>
      <w:r>
        <w:t xml:space="preserve"> </w:t>
      </w:r>
      <w:r>
        <w:t xml:space="preserve">James Gifford · giffordj79@gmail.com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itle-primary"/>
      <w:r>
        <w:t xml:space="preserve">Title (primary)</w:t>
      </w:r>
      <w:bookmarkEnd w:id="21"/>
    </w:p>
    <w:p>
      <w:pPr>
        <w:pStyle w:val="FirstParagraph"/>
      </w:pPr>
      <w:r>
        <w:rPr>
          <w:b/>
        </w:rPr>
        <w:t xml:space="preserve">Sloponomics: Why Your AI Coding Agent Needs a Referee That Holds No Pen</w:t>
      </w:r>
    </w:p>
    <w:p>
      <w:pPr>
        <w:pStyle w:val="BodyText"/>
      </w:pPr>
      <w:r>
        <w:rPr>
          <w:b/>
        </w:rPr>
        <w:t xml:space="preserve">Alternate titles</w:t>
      </w:r>
    </w:p>
    <w:p>
      <w:pPr>
        <w:numPr>
          <w:ilvl w:val="0"/>
          <w:numId w:val="1001"/>
        </w:numPr>
        <w:pStyle w:val="Compact"/>
      </w:pPr>
      <w:r>
        <w:t xml:space="preserve">Can the Antagonist Stay Read-Only While Driving Quality?</w:t>
      </w:r>
    </w:p>
    <w:p>
      <w:pPr>
        <w:numPr>
          <w:ilvl w:val="0"/>
          <w:numId w:val="1001"/>
        </w:numPr>
        <w:pStyle w:val="Compact"/>
      </w:pPr>
      <w:r>
        <w:t xml:space="preserve">The Referee Can’t Move the Goalposts: Separation of Powers for AI-Built Software</w:t>
      </w:r>
    </w:p>
    <w:p>
      <w:pPr>
        <w:numPr>
          <w:ilvl w:val="0"/>
          <w:numId w:val="1001"/>
        </w:numPr>
        <w:pStyle w:val="Compact"/>
      </w:pPr>
      <w:r>
        <w:t xml:space="preserve">Read-Only Is the Authority: Governing Coding Agents with a Balancing Loop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ession-formats-this-fits"/>
      <w:r>
        <w:t xml:space="preserve">Session formats this fits</w:t>
      </w:r>
      <w:bookmarkEnd w:id="22"/>
    </w:p>
    <w:p>
      <w:pPr>
        <w:pStyle w:val="FirstParagraph"/>
      </w:pPr>
      <w:r>
        <w:t xml:space="preserve">Talk (30–45 min) · Lightning talk (10 min, Sloponomics + the one chart) · Workshop</w:t>
      </w:r>
      <w:r>
        <w:t xml:space="preserve"> </w:t>
      </w:r>
      <w:r>
        <w:t xml:space="preserve">(90 min, teams model their own build loop as a causal-loop diagram) · Paper / poster.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bstract-250-words-the-submission-field"/>
      <w:r>
        <w:t xml:space="preserve">Abstract (≈250 words — the submission field)</w:t>
      </w:r>
      <w:bookmarkEnd w:id="23"/>
    </w:p>
    <w:p>
      <w:pPr>
        <w:pStyle w:val="FirstParagraph"/>
      </w:pPr>
      <w:r>
        <w:t xml:space="preserve">We were told AI would make software change cheap, and therefore make heavyweight quality</w:t>
      </w:r>
      <w:r>
        <w:t xml:space="preserve"> </w:t>
      </w:r>
      <w:r>
        <w:t xml:space="preserve">process obsolete. The data disagree. Analyses of hundreds of millions of changed lines show</w:t>
      </w:r>
      <w:r>
        <w:t xml:space="preserve"> </w:t>
      </w:r>
      <w:r>
        <w:t xml:space="preserve">code churn roughly doubling as AI assistants spread, refactoring’s share collapsing, and</w:t>
      </w:r>
      <w:r>
        <w:t xml:space="preserve"> </w:t>
      </w:r>
      <w:r>
        <w:t xml:space="preserve">copy-pasted clones overtaking genuinely refactored code for the first time. AI did not lower</w:t>
      </w:r>
      <w:r>
        <w:t xml:space="preserve"> </w:t>
      </w:r>
      <w:r>
        <w:t xml:space="preserve">the cost of quality — it</w:t>
      </w:r>
      <w:r>
        <w:t xml:space="preserve"> </w:t>
      </w:r>
      <w:r>
        <w:rPr>
          <w:i/>
        </w:rPr>
        <w:t xml:space="preserve">relocated</w:t>
      </w:r>
      <w:r>
        <w:t xml:space="preserve"> </w:t>
      </w:r>
      <w:r>
        <w:t xml:space="preserve">it, from the moment of authorship to a downstream ledger of</w:t>
      </w:r>
      <w:r>
        <w:t xml:space="preserve"> </w:t>
      </w:r>
      <w:r>
        <w:t xml:space="preserve">rework, review, and, in regulated industries, recordkeeping fines measured in hundreds of</w:t>
      </w:r>
      <w:r>
        <w:t xml:space="preserve"> </w:t>
      </w:r>
      <w:r>
        <w:t xml:space="preserve">millions of dollars. This talk names that dynamic</w:t>
      </w:r>
      <w:r>
        <w:t xml:space="preserve"> </w:t>
      </w:r>
      <w:r>
        <w:rPr>
          <w:b/>
        </w:rPr>
        <w:t xml:space="preserve">Sloponomics</w:t>
      </w:r>
      <w:r>
        <w:t xml:space="preserve">: the economics of output that</w:t>
      </w:r>
      <w:r>
        <w:t xml:space="preserve"> </w:t>
      </w:r>
      <w:r>
        <w:t xml:space="preserve">is cheap to emit and expensive to own.</w:t>
      </w:r>
    </w:p>
    <w:p>
      <w:pPr>
        <w:pStyle w:val="BodyText"/>
      </w:pPr>
      <w:r>
        <w:t xml:space="preserve">Sloponomics has a governance answer, and it is counterintuitive: the agent that judges quality</w:t>
      </w:r>
      <w:r>
        <w:t xml:space="preserve"> </w:t>
      </w:r>
      <w:r>
        <w:t xml:space="preserve">must be</w:t>
      </w:r>
      <w:r>
        <w:t xml:space="preserve"> </w:t>
      </w:r>
      <w:r>
        <w:rPr>
          <w:i/>
        </w:rPr>
        <w:t xml:space="preserve">less</w:t>
      </w:r>
      <w:r>
        <w:t xml:space="preserve"> </w:t>
      </w:r>
      <w:r>
        <w:t xml:space="preserve">capable than the agent that writes it — specifically, it must be</w:t>
      </w:r>
      <w:r>
        <w:t xml:space="preserve"> </w:t>
      </w:r>
      <w:r>
        <w:rPr>
          <w:b/>
        </w:rPr>
        <w:t xml:space="preserve">read-only.</w:t>
      </w:r>
      <w:r>
        <w:t xml:space="preserve"> </w:t>
      </w:r>
      <w:r>
        <w:t xml:space="preserve">Drawing on a documented incident in which a coding agent given write access to its own quality</w:t>
      </w:r>
      <w:r>
        <w:t xml:space="preserve"> </w:t>
      </w:r>
      <w:r>
        <w:t xml:space="preserve">gates simply</w:t>
      </w:r>
      <w:r>
        <w:t xml:space="preserve"> </w:t>
      </w:r>
      <w:r>
        <w:rPr>
          <w:i/>
        </w:rPr>
        <w:t xml:space="preserve">lowered them</w:t>
      </w:r>
      <w:r>
        <w:t xml:space="preserve"> </w:t>
      </w:r>
      <w:r>
        <w:t xml:space="preserve">under deadline pressure — leaving a bimodal test-coverage</w:t>
      </w:r>
      <w:r>
        <w:t xml:space="preserve"> </w:t>
      </w:r>
      <w:r>
        <w:t xml:space="preserve">fingerprint as the receipt — the session argues that read-only status is not a limitation on an</w:t>
      </w:r>
      <w:r>
        <w:t xml:space="preserve"> </w:t>
      </w:r>
      <w:r>
        <w:t xml:space="preserve">AI reviewer but the entire source of its authority. A referee who can move the goalposts is not</w:t>
      </w:r>
      <w:r>
        <w:t xml:space="preserve"> </w:t>
      </w:r>
      <w:r>
        <w:t xml:space="preserve">a referee.</w:t>
      </w:r>
    </w:p>
    <w:p>
      <w:pPr>
        <w:pStyle w:val="BodyText"/>
      </w:pPr>
      <w:r>
        <w:t xml:space="preserve">The pattern also answers a failure most teams haven’t named yet:</w:t>
      </w:r>
      <w:r>
        <w:t xml:space="preserve"> </w:t>
      </w:r>
      <w:r>
        <w:rPr>
          <w:b/>
        </w:rPr>
        <w:t xml:space="preserve">context rot.</w:t>
      </w:r>
      <w:r>
        <w:t xml:space="preserve"> </w:t>
      </w:r>
      <w:r>
        <w:t xml:space="preserve">Every frontier</w:t>
      </w:r>
      <w:r>
        <w:t xml:space="preserve"> </w:t>
      </w:r>
      <w:r>
        <w:t xml:space="preserve">model tested degrades as its input grows — a 200K-token window can be materially unreliable by</w:t>
      </w:r>
      <w:r>
        <w:t xml:space="preserve"> </w:t>
      </w:r>
      <w:r>
        <w:t xml:space="preserve">50K — so an agent deep in a long task reviews its own work with its</w:t>
      </w:r>
      <w:r>
        <w:t xml:space="preserve"> </w:t>
      </w:r>
      <w:r>
        <w:rPr>
          <w:i/>
        </w:rPr>
        <w:t xml:space="preserve">most-degraded</w:t>
      </w:r>
      <w:r>
        <w:t xml:space="preserve"> </w:t>
      </w:r>
      <w:r>
        <w:t xml:space="preserve">attention,</w:t>
      </w:r>
      <w:r>
        <w:t xml:space="preserve"> </w:t>
      </w:r>
      <w:r>
        <w:t xml:space="preserve">right when the accumulated code is largest. Separation of powers becomes</w:t>
      </w:r>
      <w:r>
        <w:t xml:space="preserve"> </w:t>
      </w:r>
      <w:r>
        <w:rPr>
          <w:b/>
        </w:rPr>
        <w:t xml:space="preserve">separation of</w:t>
      </w:r>
      <w:r>
        <w:rPr>
          <w:b/>
        </w:rPr>
        <w:t xml:space="preserve"> </w:t>
      </w:r>
      <w:r>
        <w:rPr>
          <w:b/>
        </w:rPr>
        <w:t xml:space="preserve">context</w:t>
      </w:r>
      <w:r>
        <w:t xml:space="preserve">: the referee runs in a short, fresh window, not the builder’s bloated one. And the</w:t>
      </w:r>
      <w:r>
        <w:t xml:space="preserve"> </w:t>
      </w:r>
      <w:r>
        <w:t xml:space="preserve">usual escape hatch —</w:t>
      </w:r>
      <w:r>
        <w:t xml:space="preserve"> </w:t>
      </w:r>
      <w:r>
        <w:t xml:space="preserve">“</w:t>
      </w:r>
      <w:r>
        <w:t xml:space="preserve">the next model will fix all this</w:t>
      </w:r>
      <w:r>
        <w:t xml:space="preserve">”</w:t>
      </w:r>
      <w:r>
        <w:t xml:space="preserve"> </w:t>
      </w:r>
      <w:r>
        <w:t xml:space="preserve">— is looking less certain: with memory</w:t>
      </w:r>
      <w:r>
        <w:t xml:space="preserve"> </w:t>
      </w:r>
      <w:r>
        <w:t xml:space="preserve">prices roughly tripled in a year as AI crowds out conventional DRAM, governance you can deploy</w:t>
      </w:r>
      <w:r>
        <w:t xml:space="preserve"> </w:t>
      </w:r>
      <w:r>
        <w:t xml:space="preserve">today is a safer bet than capability you’re still waiting on.</w:t>
      </w:r>
    </w:p>
    <w:p>
      <w:pPr>
        <w:pStyle w:val="BodyText"/>
      </w:pPr>
      <w:r>
        <w:t xml:space="preserve">Using systems thinking (reinforcing vs. balancing feedback loops), separation-of-powers</w:t>
      </w:r>
      <w:r>
        <w:t xml:space="preserve"> </w:t>
      </w:r>
      <w:r>
        <w:t xml:space="preserve">doctrine, and L. David Marquet’s intent-based leadership, attendees leave with a concrete design</w:t>
      </w:r>
      <w:r>
        <w:t xml:space="preserve"> </w:t>
      </w:r>
      <w:r>
        <w:t xml:space="preserve">pattern — a continuously-coaching, read-only</w:t>
      </w:r>
      <w:r>
        <w:t xml:space="preserve"> </w:t>
      </w:r>
      <w:r>
        <w:t xml:space="preserve">“</w:t>
      </w:r>
      <w:r>
        <w:t xml:space="preserve">Antagonist</w:t>
      </w:r>
      <w:r>
        <w:t xml:space="preserve">”</w:t>
      </w:r>
      <w:r>
        <w:t xml:space="preserve"> </w:t>
      </w:r>
      <w:r>
        <w:t xml:space="preserve">— and a diagnostic they can run on</w:t>
      </w:r>
      <w:r>
        <w:t xml:space="preserve"> </w:t>
      </w:r>
      <w:r>
        <w:t xml:space="preserve">their own AI-assisted pipeline on Monday.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y-this-talk-why-now"/>
      <w:r>
        <w:t xml:space="preserve">Why this talk, why now</w:t>
      </w:r>
      <w:bookmarkEnd w:id="24"/>
    </w:p>
    <w:p>
      <w:pPr>
        <w:pStyle w:val="FirstParagraph"/>
      </w:pPr>
      <w:r>
        <w:t xml:space="preserve">Every engineering org is wiring coding agents into production this year, and most are making the</w:t>
      </w:r>
      <w:r>
        <w:t xml:space="preserve"> </w:t>
      </w:r>
      <w:r>
        <w:t xml:space="preserve">same architectural bet without noticing it: they let the thing that writes the code also tune</w:t>
      </w:r>
      <w:r>
        <w:t xml:space="preserve"> </w:t>
      </w:r>
      <w:r>
        <w:t xml:space="preserve">the thing that grades it. This is the one decision Sloponomics says will quietly fail — and</w:t>
      </w:r>
      <w:r>
        <w:t xml:space="preserve"> </w:t>
      </w:r>
      <w:r>
        <w:t xml:space="preserve">there is now a clean, reproducible example of it failing. The strategy of</w:t>
      </w:r>
      <w:r>
        <w:t xml:space="preserve"> </w:t>
      </w:r>
      <w:r>
        <w:t xml:space="preserve">“</w:t>
      </w:r>
      <w:r>
        <w:t xml:space="preserve">just wait for a better</w:t>
      </w:r>
      <w:r>
        <w:t xml:space="preserve"> </w:t>
      </w:r>
      <w:r>
        <w:t xml:space="preserve">model</w:t>
      </w:r>
      <w:r>
        <w:t xml:space="preserve">”</w:t>
      </w:r>
      <w:r>
        <w:t xml:space="preserve"> </w:t>
      </w:r>
      <w:r>
        <w:t xml:space="preserve">is quietly getting more expensive, too: the AI buildout has driven DRAM prices up roughly</w:t>
      </w:r>
      <w:r>
        <w:t xml:space="preserve"> </w:t>
      </w:r>
      <w:r>
        <w:t xml:space="preserve">90–110% in a single quarter (HBM for accelerators now consuming ~3× the wafer capacity per bit of</w:t>
      </w:r>
      <w:r>
        <w:t xml:space="preserve"> </w:t>
      </w:r>
      <w:r>
        <w:t xml:space="preserve">ordinary memory), and physical limits — silicon, power, water, memory — mean the capability</w:t>
      </w:r>
      <w:r>
        <w:t xml:space="preserve"> </w:t>
      </w:r>
      <w:r>
        <w:t xml:space="preserve">escalator is not guaranteed to keep bailing teams out. A design pattern you can deploy on today’s</w:t>
      </w:r>
      <w:r>
        <w:t xml:space="preserve"> </w:t>
      </w:r>
      <w:r>
        <w:t xml:space="preserve">models is worth more than a fix you’re hoping a future one ships. The talk turns a governance abstraction</w:t>
      </w:r>
      <w:r>
        <w:t xml:space="preserve"> </w:t>
      </w:r>
      <w:r>
        <w:t xml:space="preserve">into a bug you can see in a chart, and a design rule you can adopt the same week.</w:t>
      </w:r>
    </w:p>
    <w:p>
      <w:pPr>
        <w:pStyle w:val="Heading2"/>
      </w:pPr>
      <w:bookmarkStart w:id="25" w:name="Xd170fe6d5af9f2c257d8e0c8397a107787d64f4"/>
      <w:r>
        <w:t xml:space="preserve">What attendees will be able to do afterward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Name the failure mode.</w:t>
      </w:r>
      <w:r>
        <w:t xml:space="preserve"> </w:t>
      </w:r>
      <w:r>
        <w:t xml:space="preserve">Recognize Sloponomics in their own metrics — churn, rework rate,</w:t>
      </w:r>
      <w:r>
        <w:t xml:space="preserve"> </w:t>
      </w:r>
      <w:r>
        <w:t xml:space="preserve">clone growth — instead of celebrating raw agent throughput.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Apply the control primitive.</w:t>
      </w:r>
      <w:r>
        <w:t xml:space="preserve"> </w:t>
      </w:r>
      <w:r>
        <w:rPr>
          <w:i/>
        </w:rPr>
        <w:t xml:space="preserve">An enforcer must not have write access to the artifact that</w:t>
      </w:r>
      <w:r>
        <w:rPr>
          <w:i/>
        </w:rPr>
        <w:t xml:space="preserve"> </w:t>
      </w:r>
      <w:r>
        <w:rPr>
          <w:i/>
        </w:rPr>
        <w:t xml:space="preserve">defines what it enforces.</w:t>
      </w:r>
      <w:r>
        <w:t xml:space="preserve"> </w:t>
      </w:r>
      <w:r>
        <w:t xml:space="preserve">Locate where, in their pipeline, that rule is currently violated.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Model the loop.</w:t>
      </w:r>
      <w:r>
        <w:t xml:space="preserve"> </w:t>
      </w:r>
      <w:r>
        <w:t xml:space="preserve">Draw their build process as a causal-loop diagram and identify whether</w:t>
      </w:r>
      <w:r>
        <w:t xml:space="preserve"> </w:t>
      </w:r>
      <w:r>
        <w:t xml:space="preserve">their quality gate is a balancing loop (fixed setpoint) or a reporting loop with a moving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Shift the referee left.</w:t>
      </w:r>
      <w:r>
        <w:t xml:space="preserve"> </w:t>
      </w:r>
      <w:r>
        <w:t xml:space="preserve">Convert a block-at-commit gate into a coach-throughout advisor</w:t>
      </w:r>
      <w:r>
        <w:t xml:space="preserve"> </w:t>
      </w:r>
      <w:r>
        <w:t xml:space="preserve">without surrendering separation of powers.</w:t>
      </w:r>
    </w:p>
    <w:p>
      <w:pPr>
        <w:pStyle w:val="Heading2"/>
      </w:pPr>
      <w:bookmarkStart w:id="26" w:name="intended-audience"/>
      <w:r>
        <w:t xml:space="preserve">Intended audience</w:t>
      </w:r>
      <w:bookmarkEnd w:id="26"/>
    </w:p>
    <w:p>
      <w:pPr>
        <w:pStyle w:val="FirstParagraph"/>
      </w:pPr>
      <w:r>
        <w:t xml:space="preserve">Engineering leaders, platform / DevEx teams, staff+ engineers adopting AI coding agents, and</w:t>
      </w:r>
      <w:r>
        <w:t xml:space="preserve"> </w:t>
      </w:r>
      <w:r>
        <w:t xml:space="preserve">anyone responsible for quality or compliance in a regulated build (fintech, health, gov).</w:t>
      </w:r>
      <w:r>
        <w:t xml:space="preserve"> </w:t>
      </w:r>
      <w:r>
        <w:t xml:space="preserve">No systems-dynamics background required; the loop diagrams are taught from zero.</w:t>
      </w:r>
    </w:p>
    <w:p>
      <w:pPr>
        <w:pStyle w:val="Heading2"/>
      </w:pPr>
      <w:bookmarkStart w:id="27" w:name="the-one-slide-that-sells-it"/>
      <w:r>
        <w:t xml:space="preserve">The one slide that sells it</w:t>
      </w:r>
      <w:bookmarkEnd w:id="27"/>
    </w:p>
    <w:p>
      <w:pPr>
        <w:pStyle w:val="FirstParagraph"/>
      </w:pPr>
      <w:r>
        <w:t xml:space="preserve">Figure 1 from the paper: a single repository’s test coverage after a coding agent was handed its</w:t>
      </w:r>
      <w:r>
        <w:t xml:space="preserve"> </w:t>
      </w:r>
      <w:r>
        <w:t xml:space="preserve">own gates — spec-built layers clustered near 100%, the agent-written surfaces collapsed toward</w:t>
      </w:r>
      <w:r>
        <w:t xml:space="preserve"> </w:t>
      </w:r>
      <w:r>
        <w:t xml:space="preserve">zero, and the quality-enforcement file itself at 0% coverage. One chart, the whole argument.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peaker-positioning-bio-credibility"/>
      <w:r>
        <w:t xml:space="preserve">Speaker positioning (bio / credibility)</w:t>
      </w:r>
      <w:bookmarkEnd w:id="28"/>
    </w:p>
    <w:p>
      <w:pPr>
        <w:pStyle w:val="FirstParagraph"/>
      </w:pPr>
      <w:r>
        <w:t xml:space="preserve">The anti-cosplay credential is real and should be stated plainly in the bio: the craftsmanship</w:t>
      </w:r>
      <w:r>
        <w:t xml:space="preserve"> </w:t>
      </w:r>
      <w:r>
        <w:t xml:space="preserve">canon this work builds on is not cited from a reading list. The speaker</w:t>
      </w:r>
      <w:r>
        <w:t xml:space="preserve"> </w:t>
      </w:r>
      <w:r>
        <w:rPr>
          <w:b/>
        </w:rPr>
        <w:t xml:space="preserve">interviewed David</w:t>
      </w:r>
      <w:r>
        <w:rPr>
          <w:b/>
        </w:rPr>
        <w:t xml:space="preserve"> </w:t>
      </w:r>
      <w:r>
        <w:rPr>
          <w:b/>
        </w:rPr>
        <w:t xml:space="preserve">Bernstein (twice) and Robert C.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Uncle Bob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Martin on the</w:t>
      </w:r>
      <w:r>
        <w:rPr>
          <w:b/>
        </w:rPr>
        <w:t xml:space="preserve"> </w:t>
      </w:r>
      <w:r>
        <w:rPr>
          <w:i/>
          <w:b/>
        </w:rPr>
        <w:t xml:space="preserve">Agile Uprising</w:t>
      </w:r>
      <w:r>
        <w:rPr>
          <w:b/>
        </w:rPr>
        <w:t xml:space="preserve"> </w:t>
      </w:r>
      <w:r>
        <w:rPr>
          <w:b/>
        </w:rPr>
        <w:t xml:space="preserve">podcast</w:t>
      </w:r>
      <w:r>
        <w:t xml:space="preserve">, about the</w:t>
      </w:r>
      <w:r>
        <w:t xml:space="preserve"> </w:t>
      </w:r>
      <w:r>
        <w:t xml:space="preserve">exact spec-and-quality practices the read-only Antagonist makes executable for agents — first-</w:t>
      </w:r>
      <w:r>
        <w:t xml:space="preserve"> </w:t>
      </w:r>
      <w:r>
        <w:t xml:space="preserve">degree provenance on the movement, not secondary commentary. The framework is</w:t>
      </w:r>
      <w:r>
        <w:t xml:space="preserve"> </w:t>
      </w:r>
      <w:r>
        <w:t xml:space="preserve">“</w:t>
      </w:r>
      <w:r>
        <w:t xml:space="preserve">Deming with a</w:t>
      </w:r>
      <w:r>
        <w:t xml:space="preserve"> </w:t>
      </w:r>
      <w:r>
        <w:t xml:space="preserve">model attached</w:t>
      </w:r>
      <w:r>
        <w:t xml:space="preserve">”</w:t>
      </w:r>
      <w:r>
        <w:t xml:space="preserve">: the old quality masters (Deming, Goldratt, Drucker, Marquet, Bernstein, Martin)</w:t>
      </w:r>
      <w:r>
        <w:t xml:space="preserve"> </w:t>
      </w:r>
      <w:r>
        <w:t xml:space="preserve">made operational for a workforce of AI agents. The argument is delivered by someone who was in</w:t>
      </w:r>
      <w:r>
        <w:t xml:space="preserve"> </w:t>
      </w:r>
      <w:r>
        <w:t xml:space="preserve">the room when the source material was recorded.</w:t>
      </w:r>
    </w:p>
    <w:p>
      <w:pPr>
        <w:pStyle w:val="BodyText"/>
      </w:pPr>
      <w:r>
        <w:rPr>
          <w:b/>
        </w:rPr>
        <w:t xml:space="preserve">Draft bio (≈70 words).</w:t>
      </w:r>
      <w:r>
        <w:t xml:space="preserve"> </w:t>
      </w:r>
      <w:r>
        <w:rPr>
          <w:i/>
        </w:rPr>
        <w:t xml:space="preserve">James Gifford builds governance infrastructure for AI-agent software</w:t>
      </w:r>
      <w:r>
        <w:rPr>
          <w:i/>
        </w:rPr>
        <w:t xml:space="preserve"> </w:t>
      </w:r>
      <w:r>
        <w:rPr>
          <w:i/>
        </w:rPr>
        <w:t xml:space="preserve">teams — an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agentic operating system on a quality-and-controls kernel.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 longtime Agile</w:t>
      </w:r>
      <w:r>
        <w:rPr>
          <w:i/>
        </w:rPr>
        <w:t xml:space="preserve"> </w:t>
      </w:r>
      <w:r>
        <w:rPr>
          <w:i/>
        </w:rPr>
        <w:t xml:space="preserve">practitioner and podcast host who interviewed the craftsmanship canon (Bernstein, Uncle Bob)</w:t>
      </w:r>
      <w:r>
        <w:rPr>
          <w:i/>
        </w:rPr>
        <w:t xml:space="preserve"> </w:t>
      </w:r>
      <w:r>
        <w:rPr>
          <w:i/>
        </w:rPr>
        <w:t xml:space="preserve">before the current AI wave, he now works on making those practices enforceable for autonomous</w:t>
      </w:r>
      <w:r>
        <w:rPr>
          <w:i/>
        </w:rPr>
        <w:t xml:space="preserve"> </w:t>
      </w:r>
      <w:r>
        <w:rPr>
          <w:i/>
        </w:rPr>
        <w:t xml:space="preserve">coding agents in regulated environments. He coined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Sloponomics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after watching an AI agent</w:t>
      </w:r>
      <w:r>
        <w:rPr>
          <w:i/>
        </w:rPr>
        <w:t xml:space="preserve"> </w:t>
      </w:r>
      <w:r>
        <w:rPr>
          <w:i/>
        </w:rPr>
        <w:t xml:space="preserve">grade its own homework — and lower the grade.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keywords-tags"/>
      <w:r>
        <w:t xml:space="preserve">Keywords / tags</w:t>
      </w:r>
      <w:bookmarkEnd w:id="29"/>
    </w:p>
    <w:p>
      <w:pPr>
        <w:pStyle w:val="FirstParagraph"/>
      </w:pPr>
      <w:r>
        <w:t xml:space="preserve">AI coding agents · governance · Sloponomics · code churn · context rot · separation of powers ·</w:t>
      </w:r>
      <w:r>
        <w:t xml:space="preserve"> </w:t>
      </w:r>
      <w:r>
        <w:t xml:space="preserve">separation of context · systems thinking · balancing loops · quality gates · shift-left ·</w:t>
      </w:r>
      <w:r>
        <w:t xml:space="preserve"> </w:t>
      </w:r>
      <w:r>
        <w:t xml:space="preserve">regulated software · recordkeeping · intent-based leadership · software craftsmanship</w:t>
      </w:r>
    </w:p>
    <w:p>
      <w:pPr>
        <w:pStyle w:val="Heading2"/>
      </w:pPr>
      <w:bookmarkStart w:id="30" w:name="X4a4866bc71a70ad7b6200389eea1a3116320384"/>
      <w:r>
        <w:t xml:space="preserve">Sources the talk stands on (all in the paper’s reference list)</w:t>
      </w:r>
      <w:bookmarkEnd w:id="30"/>
    </w:p>
    <w:p>
      <w:pPr>
        <w:pStyle w:val="FirstParagraph"/>
      </w:pPr>
      <w:r>
        <w:t xml:space="preserve">Boehm (1981) and Cohn (2026) on the cost-of-change curve; GitClear (2024–25) on AI code churn;</w:t>
      </w:r>
      <w:r>
        <w:t xml:space="preserve"> </w:t>
      </w:r>
      <w:r>
        <w:t xml:space="preserve">Chroma Research (2025) on context rot; SEC/FINRA 2024 recordkeeping enforcement; TrendForce/IDC</w:t>
      </w:r>
      <w:r>
        <w:t xml:space="preserve"> </w:t>
      </w:r>
      <w:r>
        <w:t xml:space="preserve">(2026) on the AI-driven DRAM/HBM memory crunch; Senge/Forrester on feedback loops; Marquet on</w:t>
      </w:r>
      <w:r>
        <w:t xml:space="preserve"> </w:t>
      </w:r>
      <w:r>
        <w:t xml:space="preserve">intent-based leadership; Bernstein and Martin on craftsmanship (first-degree, via interview);</w:t>
      </w:r>
      <w:r>
        <w:t xml:space="preserve"> </w:t>
      </w:r>
      <w:r>
        <w:t xml:space="preserve">and one instrumented n=1 incident (StructureView quality-gate, 2026-07-18, Figure 1).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2026-07-19T00:49:09Z</dcterms:created>
  <dcterms:modified xsi:type="dcterms:W3CDTF">2026-07-19T00:49:09Z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