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794B" w14:textId="77777777" w:rsidR="008F46B8" w:rsidRPr="00510A42" w:rsidRDefault="008F46B8" w:rsidP="008F46B8">
      <w:pPr>
        <w:suppressAutoHyphens w:val="0"/>
        <w:rPr>
          <w:rFonts w:asciiTheme="majorHAnsi" w:eastAsiaTheme="majorEastAsia" w:hAnsiTheme="majorHAnsi" w:cstheme="majorBidi"/>
          <w:color w:val="2F5496" w:themeColor="accent1" w:themeShade="BF"/>
          <w:sz w:val="32"/>
          <w:szCs w:val="32"/>
          <w:lang w:eastAsia="en-US"/>
        </w:rPr>
      </w:pPr>
      <w:r w:rsidRPr="00510A42">
        <w:rPr>
          <w:rFonts w:asciiTheme="majorHAnsi" w:eastAsiaTheme="majorEastAsia" w:hAnsiTheme="majorHAnsi" w:cstheme="majorBidi"/>
          <w:color w:val="2F5496" w:themeColor="accent1" w:themeShade="BF"/>
          <w:sz w:val="32"/>
          <w:szCs w:val="32"/>
          <w:lang w:eastAsia="en-US"/>
        </w:rPr>
        <w:t>Study location</w:t>
      </w:r>
    </w:p>
    <w:p w14:paraId="50D882FA" w14:textId="499078FB" w:rsidR="008F46B8" w:rsidRPr="00C62FEB" w:rsidRDefault="008F46B8" w:rsidP="008F46B8">
      <w:pPr>
        <w:suppressAutoHyphens w:val="0"/>
        <w:rPr>
          <w:rFonts w:ascii="Times New Roman" w:eastAsia="Times New Roman" w:hAnsi="Times New Roman" w:cs="Times New Roman"/>
          <w:iCs/>
          <w:lang w:eastAsia="en-US"/>
        </w:rPr>
      </w:pPr>
      <w:r w:rsidRPr="00442A5E">
        <w:rPr>
          <w:rFonts w:ascii="Times New Roman" w:eastAsia="Times New Roman" w:hAnsi="Times New Roman" w:cs="Times New Roman"/>
          <w:lang w:eastAsia="en-US"/>
        </w:rPr>
        <w:t xml:space="preserve">Flooding for the fish growth experiment took place in the Colusa Basin on 9,943 acres owned by Reclamation District 108 (RD 108) near Knights Landing, CA. Sampling was conducted in the RD108 canal system and in the Sacramento River at the Rough and Ready pumping facility (approximately river mile 100), and in the </w:t>
      </w:r>
      <w:proofErr w:type="gramStart"/>
      <w:r w:rsidRPr="00442A5E">
        <w:rPr>
          <w:rFonts w:ascii="Times New Roman" w:eastAsia="Times New Roman" w:hAnsi="Times New Roman" w:cs="Times New Roman"/>
          <w:lang w:eastAsia="en-US"/>
        </w:rPr>
        <w:t>River</w:t>
      </w:r>
      <w:proofErr w:type="gramEnd"/>
      <w:r w:rsidRPr="00442A5E">
        <w:rPr>
          <w:rFonts w:ascii="Times New Roman" w:eastAsia="Times New Roman" w:hAnsi="Times New Roman" w:cs="Times New Roman"/>
          <w:lang w:eastAsia="en-US"/>
        </w:rPr>
        <w:t xml:space="preserve"> up- and downstream of the pump discharge location</w:t>
      </w:r>
      <w:r w:rsidRPr="00442A5E">
        <w:rPr>
          <w:rFonts w:ascii="Times New Roman" w:eastAsia="Times New Roman" w:hAnsi="Times New Roman" w:cs="Times New Roman"/>
          <w:iCs/>
          <w:lang w:eastAsia="en-US"/>
        </w:rPr>
        <w:t>.</w:t>
      </w:r>
    </w:p>
    <w:p w14:paraId="1D258006" w14:textId="6850B693" w:rsidR="008F46B8" w:rsidRPr="00442A5E" w:rsidRDefault="008F46B8" w:rsidP="008F46B8">
      <w:pPr>
        <w:suppressAutoHyphens w:val="0"/>
        <w:rPr>
          <w:rFonts w:ascii="Times New Roman" w:eastAsia="Times New Roman" w:hAnsi="Times New Roman" w:cs="Times New Roman"/>
          <w:lang w:eastAsia="en-US"/>
        </w:rPr>
      </w:pPr>
    </w:p>
    <w:p w14:paraId="5D26C35F" w14:textId="77777777" w:rsidR="00C62FEB" w:rsidRDefault="008F46B8" w:rsidP="00C62FEB">
      <w:pPr>
        <w:suppressAutoHyphens w:val="0"/>
        <w:rPr>
          <w:rFonts w:ascii="Times New Roman" w:eastAsia="Times New Roman" w:hAnsi="Times New Roman" w:cs="Times New Roman"/>
          <w:lang w:eastAsia="en-US"/>
        </w:rPr>
      </w:pPr>
      <w:r w:rsidRPr="00C62FEB">
        <w:rPr>
          <w:rFonts w:ascii="Times New Roman" w:eastAsia="Times New Roman" w:hAnsi="Times New Roman" w:cs="Times New Roman"/>
          <w:lang w:eastAsia="en-US"/>
        </w:rPr>
        <w:t>Study location in western Sacramento Valley just north of Knights Landing; The 9,943 acres of Reclamation District 108 and participating farm fields inundated and drained as part of the experiment are shaded in blue, water drains via gravity from fields through canals to the Rough and Ready pumping station (blue star), where it is pumped into the Sacramento River (flowing from north to south).  Yellow circles denote zooplankton sample sites. Yellow triangles denote fish cage with zooplankton sample site. Water icons denote agricultural drain/tributary confluences with the river system that were monitored.</w:t>
      </w:r>
      <w:r w:rsidR="00C62FEB">
        <w:rPr>
          <w:rFonts w:ascii="Times New Roman" w:eastAsia="Times New Roman" w:hAnsi="Times New Roman" w:cs="Times New Roman"/>
          <w:lang w:eastAsia="en-US"/>
        </w:rPr>
        <w:t xml:space="preserve"> </w:t>
      </w:r>
    </w:p>
    <w:p w14:paraId="3B4D1CD2" w14:textId="77777777" w:rsidR="00C62FEB" w:rsidRDefault="00C62FEB" w:rsidP="00C62FEB">
      <w:pPr>
        <w:suppressAutoHyphens w:val="0"/>
        <w:rPr>
          <w:rFonts w:ascii="Times New Roman" w:eastAsia="Times New Roman" w:hAnsi="Times New Roman" w:cs="Times New Roman"/>
          <w:lang w:eastAsia="en-US"/>
        </w:rPr>
      </w:pPr>
    </w:p>
    <w:p w14:paraId="2F642031" w14:textId="33220601" w:rsidR="00C62FEB" w:rsidRPr="00442A5E" w:rsidRDefault="00C62FEB" w:rsidP="00C62FEB">
      <w:pPr>
        <w:suppressAutoHyphens w:val="0"/>
        <w:rPr>
          <w:rFonts w:ascii="Times New Roman" w:eastAsia="Times New Roman" w:hAnsi="Times New Roman" w:cs="Times New Roman"/>
          <w:iCs/>
          <w:lang w:eastAsia="en-US"/>
        </w:rPr>
      </w:pPr>
      <w:r>
        <w:rPr>
          <w:rFonts w:ascii="Times New Roman" w:eastAsia="Times New Roman" w:hAnsi="Times New Roman" w:cs="Times New Roman"/>
          <w:iCs/>
          <w:lang w:eastAsia="en-US"/>
        </w:rPr>
        <w:t>See Fig</w:t>
      </w:r>
      <w:r>
        <w:rPr>
          <w:rFonts w:ascii="Times New Roman" w:eastAsia="Times New Roman" w:hAnsi="Times New Roman" w:cs="Times New Roman"/>
          <w:iCs/>
          <w:lang w:eastAsia="en-US"/>
        </w:rPr>
        <w:t xml:space="preserve">: </w:t>
      </w:r>
      <w:hyperlink r:id="rId7" w:tgtFrame="_blank" w:history="1">
        <w:r w:rsidRPr="00C62FEB">
          <w:rPr>
            <w:rStyle w:val="Hyperlink"/>
            <w:rFonts w:ascii="Times New Roman" w:eastAsia="Times New Roman" w:hAnsi="Times New Roman" w:cs="Times New Roman"/>
            <w:iCs/>
            <w:lang w:eastAsia="en-US"/>
          </w:rPr>
          <w:t>https://cvpia-data-stewardship.s3.us-west-1.amazonaws.com/figures-for-edi/site_locations_22.png</w:t>
        </w:r>
      </w:hyperlink>
    </w:p>
    <w:p w14:paraId="42AD196E" w14:textId="2F33BF0F" w:rsidR="008F46B8" w:rsidRPr="00C62FEB" w:rsidRDefault="008F46B8" w:rsidP="008F46B8">
      <w:pPr>
        <w:suppressAutoHyphens w:val="0"/>
        <w:rPr>
          <w:rFonts w:ascii="Times New Roman" w:eastAsia="Times New Roman" w:hAnsi="Times New Roman" w:cs="Times New Roman"/>
          <w:lang w:eastAsia="en-US"/>
        </w:rPr>
      </w:pPr>
    </w:p>
    <w:p w14:paraId="05B57418" w14:textId="77777777" w:rsidR="008F46B8" w:rsidRPr="00442A5E" w:rsidRDefault="008F46B8" w:rsidP="008F46B8">
      <w:pPr>
        <w:suppressAutoHyphens w:val="0"/>
        <w:rPr>
          <w:rFonts w:ascii="Times New Roman" w:eastAsia="Times New Roman" w:hAnsi="Times New Roman" w:cs="Times New Roman"/>
          <w:lang w:eastAsia="en-US"/>
        </w:rPr>
      </w:pPr>
    </w:p>
    <w:p w14:paraId="1D337C1C" w14:textId="77777777" w:rsidR="008F46B8" w:rsidRPr="00442A5E" w:rsidRDefault="008F46B8" w:rsidP="008F46B8">
      <w:pPr>
        <w:suppressAutoHyphens w:val="0"/>
        <w:rPr>
          <w:rFonts w:ascii="Times New Roman" w:eastAsia="Times New Roman" w:hAnsi="Times New Roman" w:cs="Times New Roman"/>
          <w:i/>
          <w:lang w:eastAsia="en-US"/>
        </w:rPr>
      </w:pPr>
      <w:r w:rsidRPr="00510A42">
        <w:rPr>
          <w:rFonts w:asciiTheme="majorHAnsi" w:eastAsiaTheme="majorEastAsia" w:hAnsiTheme="majorHAnsi" w:cstheme="majorBidi"/>
          <w:color w:val="2F5496" w:themeColor="accent1" w:themeShade="BF"/>
          <w:sz w:val="32"/>
          <w:szCs w:val="32"/>
          <w:lang w:eastAsia="en-US"/>
        </w:rPr>
        <w:t xml:space="preserve">Water management – two flood/drain cycles </w:t>
      </w:r>
    </w:p>
    <w:p w14:paraId="5B2D0B46"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t xml:space="preserve">Starting on November 8, 2021, 12,059 acre-feet of water was used to flood the 9,943 participating managed floodplain acres. </w:t>
      </w:r>
      <w:r w:rsidRPr="00442A5E">
        <w:rPr>
          <w:rFonts w:ascii="Times New Roman" w:eastAsia="Times New Roman" w:hAnsi="Times New Roman" w:cs="Times New Roman"/>
          <w:color w:val="000000"/>
          <w:lang w:eastAsia="en-US"/>
        </w:rPr>
        <w:t xml:space="preserve">Resource managers achieved multiple flood/drain cycles on most of the acreage enrolled in the Fish Food program this year. </w:t>
      </w:r>
      <w:r w:rsidRPr="00442A5E">
        <w:rPr>
          <w:rFonts w:ascii="Times New Roman" w:eastAsia="Times New Roman" w:hAnsi="Times New Roman" w:cs="Times New Roman"/>
          <w:color w:val="000000"/>
          <w:w w:val="105"/>
          <w:lang w:eastAsia="en-US"/>
        </w:rPr>
        <w:t xml:space="preserve">After fields were </w:t>
      </w:r>
      <w:proofErr w:type="gramStart"/>
      <w:r w:rsidRPr="00442A5E">
        <w:rPr>
          <w:rFonts w:ascii="Times New Roman" w:eastAsia="Times New Roman" w:hAnsi="Times New Roman" w:cs="Times New Roman"/>
          <w:color w:val="000000"/>
          <w:w w:val="105"/>
          <w:lang w:eastAsia="en-US"/>
        </w:rPr>
        <w:t>drained</w:t>
      </w:r>
      <w:proofErr w:type="gramEnd"/>
      <w:r w:rsidRPr="00442A5E">
        <w:rPr>
          <w:rFonts w:ascii="Times New Roman" w:eastAsia="Times New Roman" w:hAnsi="Times New Roman" w:cs="Times New Roman"/>
          <w:color w:val="000000"/>
          <w:w w:val="105"/>
          <w:lang w:eastAsia="en-US"/>
        </w:rPr>
        <w:t xml:space="preserve"> they were immediately refilled and remained inundated for at least an additional 3 weeks to allow invertebrate food webs to rapidly return to pre-drain densities before being drained again. 8,784</w:t>
      </w:r>
      <w:r w:rsidRPr="00442A5E">
        <w:rPr>
          <w:rFonts w:ascii="Times New Roman" w:eastAsia="Times New Roman" w:hAnsi="Times New Roman" w:cs="Times New Roman"/>
          <w:lang w:eastAsia="en-US"/>
        </w:rPr>
        <w:t xml:space="preserve"> acres was drained starting January 3, 2022 and re-flooded by January 31, 2022. The second, complete drainage began February 7, 2027 and ended March 7, 2022. Approximately one-quarter of the flooded acreage was drained each week. The Rough and Ready pumping facility can operate over a range of export discharge rates between 80-955 cubic feet per second (</w:t>
      </w:r>
      <w:proofErr w:type="spellStart"/>
      <w:r w:rsidRPr="00442A5E">
        <w:rPr>
          <w:rFonts w:ascii="Times New Roman" w:eastAsia="Times New Roman" w:hAnsi="Times New Roman" w:cs="Times New Roman"/>
          <w:lang w:eastAsia="en-US"/>
        </w:rPr>
        <w:t>cfs</w:t>
      </w:r>
      <w:proofErr w:type="spellEnd"/>
      <w:r w:rsidRPr="00442A5E">
        <w:rPr>
          <w:rFonts w:ascii="Times New Roman" w:eastAsia="Times New Roman" w:hAnsi="Times New Roman" w:cs="Times New Roman"/>
          <w:lang w:eastAsia="en-US"/>
        </w:rPr>
        <w:t xml:space="preserve">). For baseline conditions, a single 80cfs pump can be used. For higher discharge rates the facility has five 175cfs pumps that can be run individually or together in various combinations. </w:t>
      </w:r>
    </w:p>
    <w:p w14:paraId="6A1652BF" w14:textId="77777777" w:rsidR="008F46B8" w:rsidRPr="00442A5E" w:rsidRDefault="008F46B8" w:rsidP="008F46B8">
      <w:pPr>
        <w:suppressAutoHyphens w:val="0"/>
        <w:rPr>
          <w:rFonts w:ascii="Times New Roman" w:eastAsia="Times New Roman" w:hAnsi="Times New Roman" w:cs="Times New Roman"/>
          <w:i/>
          <w:lang w:eastAsia="en-US"/>
        </w:rPr>
      </w:pPr>
    </w:p>
    <w:p w14:paraId="75714CD0" w14:textId="77777777" w:rsidR="008F46B8" w:rsidRPr="00510A42" w:rsidRDefault="008F46B8" w:rsidP="008F46B8">
      <w:pPr>
        <w:suppressAutoHyphens w:val="0"/>
        <w:rPr>
          <w:rFonts w:asciiTheme="majorHAnsi" w:eastAsiaTheme="majorEastAsia" w:hAnsiTheme="majorHAnsi" w:cstheme="majorBidi"/>
          <w:color w:val="2F5496" w:themeColor="accent1" w:themeShade="BF"/>
          <w:sz w:val="32"/>
          <w:szCs w:val="32"/>
          <w:lang w:eastAsia="en-US"/>
        </w:rPr>
      </w:pPr>
      <w:r w:rsidRPr="00510A42">
        <w:rPr>
          <w:rFonts w:asciiTheme="majorHAnsi" w:eastAsiaTheme="majorEastAsia" w:hAnsiTheme="majorHAnsi" w:cstheme="majorBidi"/>
          <w:color w:val="2F5496" w:themeColor="accent1" w:themeShade="BF"/>
          <w:sz w:val="32"/>
          <w:szCs w:val="32"/>
          <w:lang w:eastAsia="en-US"/>
        </w:rPr>
        <w:t xml:space="preserve">Sampling dates and locations </w:t>
      </w:r>
    </w:p>
    <w:p w14:paraId="169CC931"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t xml:space="preserve">Weekly sampling at all sites in the Rough and Ready canal and Sacramento River began November 8, 2021 and continued through March 28, 2022. </w:t>
      </w:r>
    </w:p>
    <w:p w14:paraId="17DF1992" w14:textId="77777777" w:rsidR="008F46B8" w:rsidRPr="00442A5E" w:rsidRDefault="008F46B8" w:rsidP="008F46B8">
      <w:pPr>
        <w:suppressAutoHyphens w:val="0"/>
        <w:rPr>
          <w:rFonts w:ascii="Times New Roman" w:eastAsia="Times New Roman" w:hAnsi="Times New Roman" w:cs="Times New Roman"/>
          <w:lang w:eastAsia="en-US"/>
        </w:rPr>
      </w:pPr>
    </w:p>
    <w:p w14:paraId="64E4B56D"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t xml:space="preserve">Site locations (Fig. 2, Table 1) include: the drainage canal at the export pumps (RRCAN), Sacramento River upstream of the pump discharge (RRSAC1), Sacramento River upstream at Tyndall Landing (TLSAC), Sacramento River upstream at the Wilkins Slough CDEC station (WLKSAC), two Sacramento River locations at the pump outfall (RRSAC2A and RRSAC2C), Sacramento River one mile downstream of the pumps (RRSAC4), Sacramento River two miles downstream of the pumps (RRSAC5), Sacramento River three miles downstream of the pumps (RRSAC6), Sacramento River four miles downstream of the pumps (RRSAC7), and Sacramento River six miles downstream of the pumps (RRSAC8). Two cage locations were selected at the pump outfall site in the Sacramento River in order to protect against damaged or lost cages at a </w:t>
      </w:r>
      <w:r w:rsidRPr="00442A5E">
        <w:rPr>
          <w:rFonts w:ascii="Times New Roman" w:eastAsia="Times New Roman" w:hAnsi="Times New Roman" w:cs="Times New Roman"/>
          <w:lang w:eastAsia="en-US"/>
        </w:rPr>
        <w:lastRenderedPageBreak/>
        <w:t>location that 1) is a popular public fishing spot where potential vandalism was a concern, 2) is located on an outside bend in the river prone to debris accumulation, and 3) where a turbulent upstream eddy forms when the pumps are discharging, making tethering cages particularly challenging. The second location selected this year was different than in 2019 because the dramatic difference in river flow changed the dynamics in the eddy. The second location (RRSAC2C), immediately downstream of the export pumps and within the tail of the eddy, was added to create redundancy and alleviate some of these concerns.</w:t>
      </w:r>
    </w:p>
    <w:p w14:paraId="09CA40F2" w14:textId="77777777" w:rsidR="00C62FEB" w:rsidRDefault="00C62FEB" w:rsidP="008F46B8">
      <w:pPr>
        <w:suppressAutoHyphens w:val="0"/>
        <w:rPr>
          <w:rFonts w:ascii="Times New Roman" w:eastAsia="Times New Roman" w:hAnsi="Times New Roman" w:cs="Times New Roman"/>
          <w:iCs/>
          <w:lang w:eastAsia="en-US"/>
        </w:rPr>
      </w:pPr>
    </w:p>
    <w:p w14:paraId="3AB1AB49" w14:textId="0C15BF8E" w:rsidR="0069635E" w:rsidRDefault="00C62FEB" w:rsidP="0069635E">
      <w:pPr>
        <w:suppressAutoHyphens w:val="0"/>
        <w:rPr>
          <w:rFonts w:ascii="Times New Roman" w:eastAsia="Times New Roman" w:hAnsi="Times New Roman" w:cs="Times New Roman"/>
          <w:iCs/>
          <w:lang w:eastAsia="en-US"/>
        </w:rPr>
      </w:pPr>
      <w:r>
        <w:rPr>
          <w:rFonts w:ascii="Times New Roman" w:eastAsia="Times New Roman" w:hAnsi="Times New Roman" w:cs="Times New Roman"/>
          <w:iCs/>
          <w:lang w:eastAsia="en-US"/>
        </w:rPr>
        <w:t xml:space="preserve">See Table: </w:t>
      </w:r>
      <w:hyperlink r:id="rId8" w:tgtFrame="_blank" w:history="1">
        <w:r w:rsidRPr="00C62FEB">
          <w:rPr>
            <w:rStyle w:val="Hyperlink"/>
            <w:rFonts w:ascii="Times New Roman" w:eastAsia="Times New Roman" w:hAnsi="Times New Roman" w:cs="Times New Roman"/>
            <w:iCs/>
            <w:lang w:eastAsia="en-US"/>
          </w:rPr>
          <w:t>https://cvpia-data-stewardship.s3.us-west-1.amazonaws.com/figures-for-edi/methods_table_22.png</w:t>
        </w:r>
      </w:hyperlink>
      <w:r w:rsidR="0069635E">
        <w:rPr>
          <w:rFonts w:ascii="Times New Roman" w:eastAsia="Times New Roman" w:hAnsi="Times New Roman" w:cs="Times New Roman"/>
          <w:iCs/>
          <w:lang w:eastAsia="en-US"/>
        </w:rPr>
        <w:t xml:space="preserve">. </w:t>
      </w:r>
      <w:r w:rsidR="0069635E" w:rsidRPr="00C62FEB">
        <w:rPr>
          <w:rFonts w:ascii="Times New Roman" w:eastAsia="Times New Roman" w:hAnsi="Times New Roman" w:cs="Times New Roman"/>
          <w:iCs/>
          <w:lang w:eastAsia="en-US"/>
        </w:rPr>
        <w:t xml:space="preserve">Site codes with an * next to the code are identical to those sampled in the 2019 Fish Food program. Site codes with an </w:t>
      </w:r>
      <w:r w:rsidR="0069635E" w:rsidRPr="00C62FEB">
        <w:rPr>
          <w:rFonts w:ascii="Times New Roman" w:eastAsia="Times New Roman" w:hAnsi="Times New Roman" w:cs="Times New Roman"/>
          <w:iCs/>
          <w:vertAlign w:val="superscript"/>
          <w:lang w:eastAsia="en-US"/>
        </w:rPr>
        <w:t>x</w:t>
      </w:r>
      <w:r w:rsidR="0069635E" w:rsidRPr="00C62FEB">
        <w:rPr>
          <w:rFonts w:ascii="Times New Roman" w:eastAsia="Times New Roman" w:hAnsi="Times New Roman" w:cs="Times New Roman"/>
          <w:iCs/>
          <w:lang w:eastAsia="en-US"/>
        </w:rPr>
        <w:t xml:space="preserve"> next to the code are identical to those sampled in the 2021 Fish Food program. </w:t>
      </w:r>
    </w:p>
    <w:p w14:paraId="67457B6B" w14:textId="4D04E72F" w:rsidR="008F46B8" w:rsidRPr="00C62FEB" w:rsidRDefault="008F46B8" w:rsidP="008F46B8">
      <w:pPr>
        <w:suppressAutoHyphens w:val="0"/>
        <w:rPr>
          <w:rFonts w:ascii="Times New Roman" w:eastAsia="Times New Roman" w:hAnsi="Times New Roman" w:cs="Times New Roman"/>
          <w:iCs/>
          <w:lang w:eastAsia="en-US"/>
        </w:rPr>
      </w:pPr>
    </w:p>
    <w:p w14:paraId="6F9C9322" w14:textId="77777777" w:rsidR="008F46B8" w:rsidRPr="00442A5E" w:rsidRDefault="008F46B8" w:rsidP="008F46B8">
      <w:pPr>
        <w:suppressAutoHyphens w:val="0"/>
        <w:rPr>
          <w:rFonts w:ascii="Times New Roman" w:eastAsia="Times New Roman" w:hAnsi="Times New Roman" w:cs="Times New Roman"/>
          <w:i/>
          <w:lang w:eastAsia="en-US"/>
        </w:rPr>
      </w:pPr>
    </w:p>
    <w:p w14:paraId="64C56254" w14:textId="77777777" w:rsidR="008F46B8" w:rsidRPr="00510A42" w:rsidRDefault="008F46B8" w:rsidP="008F46B8">
      <w:pPr>
        <w:suppressAutoHyphens w:val="0"/>
        <w:rPr>
          <w:rFonts w:asciiTheme="majorHAnsi" w:eastAsiaTheme="majorEastAsia" w:hAnsiTheme="majorHAnsi" w:cstheme="majorBidi"/>
          <w:color w:val="2F5496" w:themeColor="accent1" w:themeShade="BF"/>
          <w:sz w:val="32"/>
          <w:szCs w:val="32"/>
          <w:lang w:eastAsia="en-US"/>
        </w:rPr>
      </w:pPr>
      <w:r w:rsidRPr="00510A42">
        <w:rPr>
          <w:rFonts w:asciiTheme="majorHAnsi" w:eastAsiaTheme="majorEastAsia" w:hAnsiTheme="majorHAnsi" w:cstheme="majorBidi"/>
          <w:color w:val="2F5496" w:themeColor="accent1" w:themeShade="BF"/>
          <w:sz w:val="32"/>
          <w:szCs w:val="32"/>
          <w:lang w:eastAsia="en-US"/>
        </w:rPr>
        <w:t>Water quality and zooplankton sampling</w:t>
      </w:r>
    </w:p>
    <w:p w14:paraId="035A2EC6" w14:textId="77777777" w:rsidR="008F46B8" w:rsidRPr="00442A5E" w:rsidRDefault="008F46B8" w:rsidP="008F46B8">
      <w:pPr>
        <w:suppressAutoHyphens w:val="0"/>
        <w:rPr>
          <w:rFonts w:ascii="Times New Roman" w:eastAsia="Times New Roman" w:hAnsi="Times New Roman" w:cs="Times New Roman"/>
          <w:noProof/>
          <w:lang w:eastAsia="en-US"/>
        </w:rPr>
      </w:pPr>
      <w:r w:rsidRPr="00442A5E">
        <w:rPr>
          <w:rFonts w:ascii="Times New Roman" w:eastAsia="Times New Roman" w:hAnsi="Times New Roman" w:cs="Times New Roman"/>
          <w:lang w:eastAsia="en-US"/>
        </w:rPr>
        <w:t xml:space="preserve">At each sample location, water quality data was collected with a </w:t>
      </w:r>
      <w:r w:rsidRPr="00442A5E">
        <w:rPr>
          <w:rFonts w:ascii="Times New Roman" w:eastAsia="Times New Roman" w:hAnsi="Times New Roman" w:cs="Times New Roman"/>
          <w:noProof/>
          <w:lang w:eastAsia="en-US"/>
        </w:rPr>
        <w:t>YSI Exo2 multi-parameter sonde.  Water quality parameters collected were: temperature (degrees C), dissolved oxygen (mg/L), turbidity (NTU), chlorophyl-a fluorescence (µg/L), electrical conductivity (µg/cm), salinity (PSU), and pH. Onset HOBO</w:t>
      </w:r>
      <w:r w:rsidRPr="00442A5E" w:rsidDel="00895DE6">
        <w:rPr>
          <w:rFonts w:ascii="Times New Roman" w:eastAsia="Times New Roman" w:hAnsi="Times New Roman" w:cs="Times New Roman"/>
          <w:noProof/>
          <w:lang w:eastAsia="en-US"/>
        </w:rPr>
        <w:t xml:space="preserve"> </w:t>
      </w:r>
      <w:r w:rsidRPr="00442A5E">
        <w:rPr>
          <w:rFonts w:ascii="Times New Roman" w:eastAsia="Times New Roman" w:hAnsi="Times New Roman" w:cs="Times New Roman"/>
          <w:noProof/>
          <w:lang w:eastAsia="en-US"/>
        </w:rPr>
        <w:t>dissolved oxygen and temperature data loggers were deployed at all locations collecting continuous data at 15-minute intervals. Two oxygen loggers had battery failures during the experiment and their data could not be retrieved, from sites RRSAC1 and RRSAC4.</w:t>
      </w:r>
    </w:p>
    <w:p w14:paraId="35C117E1" w14:textId="77777777" w:rsidR="008F46B8" w:rsidRPr="00442A5E" w:rsidRDefault="008F46B8" w:rsidP="008F46B8">
      <w:pPr>
        <w:suppressAutoHyphens w:val="0"/>
        <w:rPr>
          <w:rFonts w:ascii="Times New Roman" w:eastAsia="Times New Roman" w:hAnsi="Times New Roman" w:cs="Times New Roman"/>
          <w:noProof/>
          <w:lang w:eastAsia="en-US"/>
        </w:rPr>
      </w:pPr>
    </w:p>
    <w:p w14:paraId="4BBDE42F" w14:textId="77777777" w:rsidR="008F46B8" w:rsidRPr="00442A5E" w:rsidRDefault="008F46B8" w:rsidP="008F46B8">
      <w:pPr>
        <w:suppressAutoHyphens w:val="0"/>
        <w:rPr>
          <w:rFonts w:ascii="Times New Roman" w:eastAsia="Times New Roman" w:hAnsi="Times New Roman" w:cs="Times New Roman"/>
          <w:noProof/>
          <w:lang w:eastAsia="en-US"/>
        </w:rPr>
      </w:pPr>
      <w:r w:rsidRPr="00442A5E">
        <w:rPr>
          <w:rFonts w:ascii="Times New Roman" w:eastAsia="Times New Roman" w:hAnsi="Times New Roman" w:cs="Times New Roman"/>
          <w:noProof/>
          <w:lang w:eastAsia="en-US"/>
        </w:rPr>
        <w:t>All sites were sampled for zooplankton diversity and abundance using net tows. A 30-cm diameter x 150 µm mesh zooplankton net fitted with a flowmeter was thrown five meters and retrieved through the water column four times orthogonal to water flow, accounting for drift. Flow meter data was recorded to quantify the volume of water sampled. All zooplankton samples were preserved in 95% ethanol. Zooplankton were identified to the lowest taxonomic level possible and counted using a dissecting microscope at 8x magnification. Dry carbon biomass conversions either taken from the literature (Dumont 1975) or measured empirically by the Kimmerer Laboratory at San Francisco State’s Romber Tiburon Center were applied to zooplankton species counts to estimate zooplankton biomass.</w:t>
      </w:r>
    </w:p>
    <w:p w14:paraId="4EE7C9EC" w14:textId="77777777" w:rsidR="008F46B8" w:rsidRPr="00442A5E" w:rsidRDefault="008F46B8" w:rsidP="008F46B8">
      <w:pPr>
        <w:suppressAutoHyphens w:val="0"/>
        <w:rPr>
          <w:rFonts w:ascii="Times New Roman" w:eastAsia="Times New Roman" w:hAnsi="Times New Roman" w:cs="Times New Roman"/>
          <w:lang w:eastAsia="en-US"/>
        </w:rPr>
      </w:pPr>
    </w:p>
    <w:p w14:paraId="2D3A3D53" w14:textId="77777777" w:rsidR="008F46B8" w:rsidRPr="00510A42" w:rsidRDefault="008F46B8" w:rsidP="008F46B8">
      <w:pPr>
        <w:suppressAutoHyphens w:val="0"/>
        <w:rPr>
          <w:rFonts w:asciiTheme="majorHAnsi" w:eastAsiaTheme="majorEastAsia" w:hAnsiTheme="majorHAnsi" w:cstheme="majorBidi"/>
          <w:color w:val="2F5496" w:themeColor="accent1" w:themeShade="BF"/>
          <w:sz w:val="32"/>
          <w:szCs w:val="32"/>
          <w:lang w:eastAsia="en-US"/>
        </w:rPr>
      </w:pPr>
      <w:r w:rsidRPr="00510A42">
        <w:rPr>
          <w:rFonts w:asciiTheme="majorHAnsi" w:eastAsiaTheme="majorEastAsia" w:hAnsiTheme="majorHAnsi" w:cstheme="majorBidi"/>
          <w:color w:val="2F5496" w:themeColor="accent1" w:themeShade="BF"/>
          <w:sz w:val="32"/>
          <w:szCs w:val="32"/>
          <w:lang w:eastAsia="en-US"/>
        </w:rPr>
        <w:t>Fish growth</w:t>
      </w:r>
    </w:p>
    <w:p w14:paraId="2E4F63C8"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t xml:space="preserve">Three fish growth enclosures were deployed at each site, each containing 5 PIT-tagged Coleman Hatchery-origin juvenile Chinook salmon. Fish enclosures were built with 1-inch PVC, measured 2-feet wide by 4-feet long by 2-feet deep, and encased in ¼-inch black plastic square mesh with a re-sealable access door on the top panel. Fish enclosures were equipped with three bullet-shaped crab floats and tethered to shore. Each week, fish were caught out of their enclosures, scanned for PIT identification, measured for fork length in millimeters, and weighed for mass in grams on an OHAUS Scout Pro portable electronic balance with 0.01g precision.  If there was fish mortality, “placebo fish” were added to an enclosure to maintain fish density at 5 fish per enclosure. Placebo fish were of identical origin to enclosure fish and were maintained at the UC Davis Center for Aquatic Biology and Aquaculture for the duration of the experiment. </w:t>
      </w:r>
    </w:p>
    <w:p w14:paraId="36B3C633" w14:textId="77777777" w:rsidR="008F46B8" w:rsidRPr="00442A5E" w:rsidRDefault="008F46B8" w:rsidP="008F46B8">
      <w:pPr>
        <w:suppressAutoHyphens w:val="0"/>
        <w:rPr>
          <w:rFonts w:ascii="Times New Roman" w:eastAsia="Times New Roman" w:hAnsi="Times New Roman" w:cs="Times New Roman"/>
          <w:lang w:eastAsia="en-US"/>
        </w:rPr>
      </w:pPr>
    </w:p>
    <w:p w14:paraId="29C76480"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lastRenderedPageBreak/>
        <w:t>Fish growth data was analyzed in rate of change metrics for fork length and weight. Rate of change (</w:t>
      </w:r>
      <w:r w:rsidRPr="00442A5E">
        <w:rPr>
          <w:rFonts w:ascii="Times New Roman" w:eastAsia="Times New Roman" w:hAnsi="Times New Roman" w:cs="Times New Roman"/>
          <w:i/>
          <w:lang w:eastAsia="en-US"/>
        </w:rPr>
        <w:t>i.e.</w:t>
      </w:r>
      <w:r w:rsidRPr="00442A5E">
        <w:rPr>
          <w:rFonts w:ascii="Times New Roman" w:eastAsia="Times New Roman" w:hAnsi="Times New Roman" w:cs="Times New Roman"/>
          <w:lang w:eastAsia="en-US"/>
        </w:rPr>
        <w:t xml:space="preserve">, growth rate) was used to eliminate magnitude of change differences from smaller or larger starting points. Only fish that were originally placed in cages and survived the duration of the experiment, </w:t>
      </w:r>
      <w:proofErr w:type="gramStart"/>
      <w:r w:rsidRPr="00442A5E">
        <w:rPr>
          <w:rFonts w:ascii="Times New Roman" w:eastAsia="Times New Roman" w:hAnsi="Times New Roman" w:cs="Times New Roman"/>
          <w:lang w:eastAsia="en-US"/>
        </w:rPr>
        <w:t>i.e.</w:t>
      </w:r>
      <w:proofErr w:type="gramEnd"/>
      <w:r w:rsidRPr="00442A5E">
        <w:rPr>
          <w:rFonts w:ascii="Times New Roman" w:eastAsia="Times New Roman" w:hAnsi="Times New Roman" w:cs="Times New Roman"/>
          <w:lang w:eastAsia="en-US"/>
        </w:rPr>
        <w:t xml:space="preserve"> not placebo fish, were used for growth metric data.</w:t>
      </w:r>
    </w:p>
    <w:p w14:paraId="61675166" w14:textId="77777777" w:rsidR="008F46B8" w:rsidRPr="00442A5E" w:rsidRDefault="008F46B8" w:rsidP="008F46B8">
      <w:pPr>
        <w:suppressAutoHyphens w:val="0"/>
        <w:rPr>
          <w:rFonts w:ascii="Times New Roman" w:eastAsia="Times New Roman" w:hAnsi="Times New Roman" w:cs="Times New Roman"/>
          <w:lang w:eastAsia="en-US"/>
        </w:rPr>
      </w:pPr>
    </w:p>
    <w:p w14:paraId="53AA9A28" w14:textId="77777777" w:rsidR="008F46B8" w:rsidRPr="00510A42" w:rsidRDefault="008F46B8" w:rsidP="008F46B8">
      <w:pPr>
        <w:suppressAutoHyphens w:val="0"/>
        <w:rPr>
          <w:rFonts w:asciiTheme="majorHAnsi" w:eastAsiaTheme="majorEastAsia" w:hAnsiTheme="majorHAnsi" w:cstheme="majorBidi"/>
          <w:color w:val="2F5496" w:themeColor="accent1" w:themeShade="BF"/>
          <w:sz w:val="32"/>
          <w:szCs w:val="32"/>
          <w:lang w:eastAsia="en-US"/>
        </w:rPr>
      </w:pPr>
      <w:r w:rsidRPr="00510A42">
        <w:rPr>
          <w:rFonts w:asciiTheme="majorHAnsi" w:eastAsiaTheme="majorEastAsia" w:hAnsiTheme="majorHAnsi" w:cstheme="majorBidi"/>
          <w:color w:val="2F5496" w:themeColor="accent1" w:themeShade="BF"/>
          <w:sz w:val="32"/>
          <w:szCs w:val="32"/>
          <w:lang w:eastAsia="en-US"/>
        </w:rPr>
        <w:t>Data analysis</w:t>
      </w:r>
    </w:p>
    <w:p w14:paraId="52E8E425"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color w:val="000000"/>
          <w:lang w:eastAsia="en-US"/>
        </w:rPr>
        <w:t>Water quality and zooplankton sampling occurred throughout the multiple cycles however fish from the hatchery only became large enough to tag in early February and were therefore only placed in cages during the second drain cycle. For this reason, analysis of zooplankton and fish data are grouped differently with respect to drainage timing. The fish data were grouped into distinct "before", "during", and "after" drainage event bins. The zooplankton data bins were also named with respect to their coincidence with drainage events, but in only two bins: "during" and "before/after" - including all samples collected before the first drain event started, after the second drain event ended, and between the end of the first event and the start of the second event.</w:t>
      </w:r>
    </w:p>
    <w:p w14:paraId="4B8543B2" w14:textId="77777777" w:rsidR="008F46B8" w:rsidRPr="00442A5E" w:rsidRDefault="008F46B8" w:rsidP="008F46B8">
      <w:pPr>
        <w:suppressAutoHyphens w:val="0"/>
        <w:rPr>
          <w:rFonts w:ascii="Times New Roman" w:eastAsia="Times New Roman" w:hAnsi="Times New Roman" w:cs="Times New Roman"/>
          <w:lang w:eastAsia="en-US"/>
        </w:rPr>
      </w:pPr>
    </w:p>
    <w:p w14:paraId="5282DEDA"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t xml:space="preserve">Fork length is the most commonly used metric for salmonid size and is useful for comparing to other data. However, high food-density environments fish typically put on more mass relative to length.  Weight metrics are also bi-directional, </w:t>
      </w:r>
      <w:proofErr w:type="gramStart"/>
      <w:r w:rsidRPr="00442A5E">
        <w:rPr>
          <w:rFonts w:ascii="Times New Roman" w:eastAsia="Times New Roman" w:hAnsi="Times New Roman" w:cs="Times New Roman"/>
          <w:lang w:eastAsia="en-US"/>
        </w:rPr>
        <w:t>e.g.</w:t>
      </w:r>
      <w:proofErr w:type="gramEnd"/>
      <w:r w:rsidRPr="00442A5E">
        <w:rPr>
          <w:rFonts w:ascii="Times New Roman" w:eastAsia="Times New Roman" w:hAnsi="Times New Roman" w:cs="Times New Roman"/>
          <w:lang w:eastAsia="en-US"/>
        </w:rPr>
        <w:t xml:space="preserve"> in contrast to length, weight can record negative growth in response to poor foraging conditions. Overall, we feel that weight is a more descriptive bioenergetic metric of fish growth and performance in response to biophysical habitat conditions.  For these reasons, while we will report both fork length and weight data, we will primarily focus on weight as the response variable in our food web and bioenergetic analyses.</w:t>
      </w:r>
    </w:p>
    <w:p w14:paraId="01AC2D36" w14:textId="77777777" w:rsidR="008F46B8" w:rsidRPr="00442A5E" w:rsidRDefault="008F46B8" w:rsidP="008F46B8">
      <w:pPr>
        <w:suppressAutoHyphens w:val="0"/>
        <w:rPr>
          <w:rFonts w:ascii="Times New Roman" w:eastAsia="Times New Roman" w:hAnsi="Times New Roman" w:cs="Times New Roman"/>
          <w:lang w:eastAsia="en-US"/>
        </w:rPr>
      </w:pPr>
    </w:p>
    <w:p w14:paraId="454F2631" w14:textId="77777777" w:rsidR="008F46B8" w:rsidRPr="00442A5E" w:rsidRDefault="008F46B8" w:rsidP="008F46B8">
      <w:pPr>
        <w:suppressAutoHyphens w:val="0"/>
        <w:rPr>
          <w:rFonts w:ascii="Times New Roman" w:eastAsia="Times New Roman" w:hAnsi="Times New Roman" w:cs="Times New Roman"/>
          <w:lang w:eastAsia="en-US"/>
        </w:rPr>
      </w:pPr>
      <w:r w:rsidRPr="00442A5E">
        <w:rPr>
          <w:rFonts w:ascii="Times New Roman" w:eastAsia="Times New Roman" w:hAnsi="Times New Roman" w:cs="Times New Roman"/>
          <w:lang w:eastAsia="en-US"/>
        </w:rPr>
        <w:t>Raw data for temperature, oxygen, zooplankton biomass, and fish growth were plotted over time for a visual assessment of ecosystem effects throughout the experiment. Statistical significance of zooplankton biomass and fish growth results was determined by pairwise ANOVA and Tukey multiple comparison of means testing. Because only one integrated zooplankton sample was collected at each site per week, statistical tests on zooplankton data was done comparing sites during periods of export (n=9) with periods of no export (i.e., “before/after”; n=13) over the entire season in a single test. Because the primary question of this study is focused on effects on in-river fish and ecosystem response as a result of the management action, data from the canal site are displayed on data visualizations but not included in statistical analyses to avoid extraneous sources of variability for both fish and zooplankton analyses.</w:t>
      </w:r>
    </w:p>
    <w:p w14:paraId="0878FAC7" w14:textId="77777777" w:rsidR="008F46B8" w:rsidRPr="001956DD" w:rsidRDefault="008F46B8" w:rsidP="008F46B8">
      <w:pPr>
        <w:suppressAutoHyphens w:val="0"/>
        <w:rPr>
          <w:rFonts w:ascii="Times New Roman" w:eastAsia="Calibri" w:hAnsi="Times New Roman" w:cs="Times New Roman"/>
          <w:b/>
          <w:szCs w:val="22"/>
          <w:lang w:eastAsia="en-US"/>
        </w:rPr>
      </w:pPr>
    </w:p>
    <w:p w14:paraId="243947A9" w14:textId="77777777" w:rsidR="008F46B8" w:rsidRPr="000544BD" w:rsidRDefault="008F46B8" w:rsidP="008F46B8">
      <w:pPr>
        <w:suppressAutoHyphens w:val="0"/>
        <w:rPr>
          <w:rFonts w:ascii="Times New Roman" w:eastAsia="Calibri" w:hAnsi="Times New Roman" w:cs="Times New Roman"/>
          <w:noProof/>
          <w:szCs w:val="22"/>
          <w:lang w:eastAsia="en-US"/>
        </w:rPr>
      </w:pPr>
    </w:p>
    <w:p w14:paraId="6E27AA90" w14:textId="77777777" w:rsidR="00387B46" w:rsidRPr="008F46B8" w:rsidRDefault="00387B46" w:rsidP="008F46B8"/>
    <w:sectPr w:rsidR="00387B46" w:rsidRPr="008F46B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67"/>
    <w:rsid w:val="000544BD"/>
    <w:rsid w:val="001956DD"/>
    <w:rsid w:val="002C4AB3"/>
    <w:rsid w:val="00387B46"/>
    <w:rsid w:val="00484D8D"/>
    <w:rsid w:val="00510A42"/>
    <w:rsid w:val="0069635E"/>
    <w:rsid w:val="00711499"/>
    <w:rsid w:val="008024EA"/>
    <w:rsid w:val="00844234"/>
    <w:rsid w:val="008F46B8"/>
    <w:rsid w:val="00956CC8"/>
    <w:rsid w:val="00A56D8E"/>
    <w:rsid w:val="00BC59D8"/>
    <w:rsid w:val="00C22796"/>
    <w:rsid w:val="00C452B6"/>
    <w:rsid w:val="00C62FEB"/>
    <w:rsid w:val="00CA5367"/>
    <w:rsid w:val="00D3066D"/>
    <w:rsid w:val="00F758D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6F65"/>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956DD"/>
    <w:rPr>
      <w:sz w:val="16"/>
      <w:szCs w:val="16"/>
    </w:rPr>
  </w:style>
  <w:style w:type="paragraph" w:styleId="CommentText">
    <w:name w:val="annotation text"/>
    <w:basedOn w:val="Normal"/>
    <w:link w:val="CommentTextChar"/>
    <w:uiPriority w:val="99"/>
    <w:semiHidden/>
    <w:unhideWhenUsed/>
    <w:rsid w:val="001956DD"/>
    <w:pPr>
      <w:suppressAutoHyphens w:val="0"/>
    </w:pPr>
    <w:rPr>
      <w:rFonts w:ascii="Times New Roman" w:eastAsia="Calibri" w:hAnsi="Times New Roman"/>
      <w:sz w:val="20"/>
      <w:szCs w:val="20"/>
      <w:lang w:eastAsia="en-US"/>
    </w:rPr>
  </w:style>
  <w:style w:type="character" w:customStyle="1" w:styleId="CommentTextChar">
    <w:name w:val="Comment Text Char"/>
    <w:basedOn w:val="DefaultParagraphFont"/>
    <w:link w:val="CommentText"/>
    <w:uiPriority w:val="99"/>
    <w:semiHidden/>
    <w:rsid w:val="001956DD"/>
    <w:rPr>
      <w:rFonts w:ascii="Times New Roman" w:eastAsia="Calibri" w:hAnsi="Times New Roman"/>
      <w:szCs w:val="20"/>
      <w:lang w:eastAsia="en-US"/>
    </w:rPr>
  </w:style>
  <w:style w:type="paragraph" w:styleId="BalloonText">
    <w:name w:val="Balloon Text"/>
    <w:basedOn w:val="Normal"/>
    <w:link w:val="BalloonTextChar"/>
    <w:uiPriority w:val="99"/>
    <w:semiHidden/>
    <w:unhideWhenUsed/>
    <w:rsid w:val="00195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6DD"/>
    <w:rPr>
      <w:rFonts w:ascii="Segoe UI" w:hAnsi="Segoe UI" w:cs="Segoe UI"/>
      <w:sz w:val="18"/>
      <w:szCs w:val="18"/>
    </w:rPr>
  </w:style>
  <w:style w:type="character" w:styleId="Hyperlink">
    <w:name w:val="Hyperlink"/>
    <w:basedOn w:val="DefaultParagraphFont"/>
    <w:uiPriority w:val="99"/>
    <w:unhideWhenUsed/>
    <w:rsid w:val="00C62FEB"/>
    <w:rPr>
      <w:color w:val="0563C1" w:themeColor="hyperlink"/>
      <w:u w:val="single"/>
    </w:rPr>
  </w:style>
  <w:style w:type="character" w:styleId="UnresolvedMention">
    <w:name w:val="Unresolved Mention"/>
    <w:basedOn w:val="DefaultParagraphFont"/>
    <w:uiPriority w:val="99"/>
    <w:rsid w:val="00C62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vpia-data-stewardship.s3.us-west-1.amazonaws.com/figures-for-edi/methods_table_22.png" TargetMode="External"/><Relationship Id="rId3" Type="http://schemas.openxmlformats.org/officeDocument/2006/relationships/customXml" Target="../customXml/item3.xml"/><Relationship Id="rId7" Type="http://schemas.openxmlformats.org/officeDocument/2006/relationships/hyperlink" Target="https://cvpia-data-stewardship.s3.us-west-1.amazonaws.com/figures-for-edi/site_locations_22.p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fa5ac6-dace-4312-a89c-18ab83d90b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E2CCA7697F144B5F50FAAD9DD3957" ma:contentTypeVersion="9" ma:contentTypeDescription="Create a new document." ma:contentTypeScope="" ma:versionID="6bcdbdb5375a40ac48549c40c54d7c7e">
  <xsd:schema xmlns:xsd="http://www.w3.org/2001/XMLSchema" xmlns:xs="http://www.w3.org/2001/XMLSchema" xmlns:p="http://schemas.microsoft.com/office/2006/metadata/properties" xmlns:ns3="52fa5ac6-dace-4312-a89c-18ab83d90b01" targetNamespace="http://schemas.microsoft.com/office/2006/metadata/properties" ma:root="true" ma:fieldsID="54ec8c2098743e35d80bd6eb52507748" ns3:_="">
    <xsd:import namespace="52fa5ac6-dace-4312-a89c-18ab83d90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a5ac6-dace-4312-a89c-18ab83d90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7D354-A76D-485C-A2DB-8908553578FE}">
  <ds:schemaRefs>
    <ds:schemaRef ds:uri="http://schemas.microsoft.com/office/2006/metadata/properties"/>
    <ds:schemaRef ds:uri="http://schemas.microsoft.com/office/infopath/2007/PartnerControls"/>
    <ds:schemaRef ds:uri="52fa5ac6-dace-4312-a89c-18ab83d90b01"/>
  </ds:schemaRefs>
</ds:datastoreItem>
</file>

<file path=customXml/itemProps2.xml><?xml version="1.0" encoding="utf-8"?>
<ds:datastoreItem xmlns:ds="http://schemas.openxmlformats.org/officeDocument/2006/customXml" ds:itemID="{D13C40C0-8A26-4136-8E72-D524DD1CF878}">
  <ds:schemaRefs>
    <ds:schemaRef ds:uri="http://schemas.microsoft.com/sharepoint/v3/contenttype/forms"/>
  </ds:schemaRefs>
</ds:datastoreItem>
</file>

<file path=customXml/itemProps3.xml><?xml version="1.0" encoding="utf-8"?>
<ds:datastoreItem xmlns:ds="http://schemas.openxmlformats.org/officeDocument/2006/customXml" ds:itemID="{0CD57D8A-46E9-4D52-8C86-BCEABF661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a5ac6-dace-4312-a89c-18ab83d90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Flow West</cp:lastModifiedBy>
  <cp:revision>5</cp:revision>
  <dcterms:created xsi:type="dcterms:W3CDTF">2023-06-20T15:36:00Z</dcterms:created>
  <dcterms:modified xsi:type="dcterms:W3CDTF">2023-08-15T22:10:00Z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0x010100B2DE2CCA7697F144B5F50FAAD9DD3957</vt:lpwstr>
  </property>
</Properties>
</file>