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68A1" w:rsidRPr="003E71AD" w:rsidRDefault="003E71AD">
      <w:pPr>
        <w:rPr>
          <w:rFonts w:ascii="Arial" w:hAnsi="Arial" w:cs="Arial"/>
          <w:sz w:val="24"/>
        </w:rPr>
      </w:pPr>
      <w:r w:rsidRPr="003E71AD">
        <w:rPr>
          <w:rFonts w:ascii="Arial" w:hAnsi="Arial" w:cs="Arial"/>
          <w:i/>
          <w:color w:val="5C6B63"/>
        </w:rPr>
        <w:t>ALIANZA ESTRATÉGICA FLOWANDO, NEXUS SOLUCIONES EMPRESARIALES Y V&amp;E</w:t>
      </w:r>
    </w:p>
    <w:p w:rsidR="003E71AD" w:rsidRDefault="003E71AD">
      <w:pPr>
        <w:pStyle w:val="Ttulo"/>
        <w:rPr>
          <w:rFonts w:ascii="Arial" w:hAnsi="Arial" w:cs="Arial"/>
          <w:b/>
          <w:color w:val="182420"/>
          <w:sz w:val="48"/>
        </w:rPr>
      </w:pPr>
      <w:r w:rsidRPr="003E71AD">
        <w:rPr>
          <w:rFonts w:ascii="Arial" w:hAnsi="Arial" w:cs="Arial"/>
          <w:b/>
          <w:color w:val="182420"/>
          <w:sz w:val="48"/>
        </w:rPr>
        <w:t xml:space="preserve">Modelo de negocio unificado </w:t>
      </w:r>
    </w:p>
    <w:p w:rsidR="00AD68A1" w:rsidRPr="003E71AD" w:rsidRDefault="003E71AD">
      <w:pPr>
        <w:pStyle w:val="Ttulo"/>
        <w:rPr>
          <w:rFonts w:ascii="Arial" w:hAnsi="Arial" w:cs="Arial"/>
          <w:b/>
          <w:sz w:val="56"/>
        </w:rPr>
      </w:pPr>
      <w:proofErr w:type="spellStart"/>
      <w:r w:rsidRPr="003E71AD">
        <w:rPr>
          <w:rFonts w:ascii="Arial" w:hAnsi="Arial" w:cs="Arial"/>
          <w:b/>
          <w:color w:val="182420"/>
          <w:sz w:val="48"/>
        </w:rPr>
        <w:t>Espiral</w:t>
      </w:r>
      <w:proofErr w:type="spellEnd"/>
      <w:r w:rsidRPr="003E71AD">
        <w:rPr>
          <w:rFonts w:ascii="Arial" w:hAnsi="Arial" w:cs="Arial"/>
          <w:b/>
          <w:color w:val="182420"/>
          <w:sz w:val="48"/>
        </w:rPr>
        <w:t xml:space="preserve"> </w:t>
      </w:r>
      <w:proofErr w:type="spellStart"/>
      <w:r w:rsidRPr="003E71AD">
        <w:rPr>
          <w:rFonts w:ascii="Arial" w:hAnsi="Arial" w:cs="Arial"/>
          <w:b/>
          <w:color w:val="182420"/>
          <w:sz w:val="48"/>
        </w:rPr>
        <w:t>Evolutiva</w:t>
      </w:r>
      <w:proofErr w:type="spellEnd"/>
      <w:r w:rsidRPr="003E71AD">
        <w:rPr>
          <w:rFonts w:ascii="Arial" w:hAnsi="Arial" w:cs="Arial"/>
          <w:b/>
          <w:color w:val="182420"/>
          <w:sz w:val="48"/>
        </w:rPr>
        <w:t xml:space="preserve"> 360° + Nexa</w:t>
      </w:r>
    </w:p>
    <w:p w:rsidR="00AD68A1" w:rsidRPr="003E71AD" w:rsidRDefault="003E71AD">
      <w:pPr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8"/>
        </w:rPr>
        <w:t xml:space="preserve">Una sola plataforma que gestiona el desempeño y el desarrollo de las personas, y al mismo tiempo forma, comunica, reconoce y </w:t>
      </w:r>
      <w:r w:rsidRPr="003E71AD">
        <w:rPr>
          <w:rFonts w:ascii="Arial" w:hAnsi="Arial" w:cs="Arial"/>
          <w:sz w:val="28"/>
        </w:rPr>
        <w:t>cuida el cumplimiento SST — construida y comercializada para empresas familiares, pequeñas y medianas empresas en crecimiento.</w:t>
      </w:r>
    </w:p>
    <w:p w:rsidR="00AD68A1" w:rsidRPr="003E71AD" w:rsidRDefault="003E71AD">
      <w:pPr>
        <w:rPr>
          <w:rFonts w:ascii="Arial" w:hAnsi="Arial" w:cs="Arial"/>
          <w:sz w:val="24"/>
        </w:rPr>
      </w:pPr>
      <w:r w:rsidRPr="003E71AD">
        <w:rPr>
          <w:rFonts w:ascii="Arial" w:hAnsi="Arial" w:cs="Arial"/>
          <w:i/>
          <w:color w:val="5C6B63"/>
          <w:sz w:val="20"/>
        </w:rPr>
        <w:t>Medellín, Antioquia  ·  Julio 2026  ·  Formato Business Model Canvas</w:t>
      </w:r>
    </w:p>
    <w:p w:rsidR="00AD68A1" w:rsidRPr="003E71AD" w:rsidRDefault="003E71AD">
      <w:pPr>
        <w:pStyle w:val="Ttulo1"/>
        <w:rPr>
          <w:rFonts w:ascii="Arial" w:hAnsi="Arial" w:cs="Arial"/>
          <w:sz w:val="32"/>
        </w:rPr>
      </w:pPr>
      <w:r w:rsidRPr="003E71AD">
        <w:rPr>
          <w:rFonts w:ascii="Arial" w:hAnsi="Arial" w:cs="Arial"/>
          <w:color w:val="2E6B52"/>
          <w:sz w:val="32"/>
        </w:rPr>
        <w:t>1. Propuesta de valor</w:t>
      </w:r>
    </w:p>
    <w:p w:rsidR="00AD68A1" w:rsidRPr="003E71AD" w:rsidRDefault="003E71AD">
      <w:pPr>
        <w:rPr>
          <w:rFonts w:ascii="Arial" w:hAnsi="Arial" w:cs="Arial"/>
          <w:sz w:val="24"/>
        </w:rPr>
      </w:pPr>
      <w:r w:rsidRPr="003E71AD">
        <w:rPr>
          <w:rFonts w:ascii="Arial" w:hAnsi="Arial" w:cs="Arial"/>
          <w:b/>
          <w:color w:val="2E6B52"/>
          <w:sz w:val="28"/>
        </w:rPr>
        <w:t xml:space="preserve">Un solo aplicativo, una sola cuenta, </w:t>
      </w:r>
      <w:r w:rsidRPr="003E71AD">
        <w:rPr>
          <w:rFonts w:ascii="Arial" w:hAnsi="Arial" w:cs="Arial"/>
          <w:b/>
          <w:color w:val="2E6B52"/>
          <w:sz w:val="28"/>
        </w:rPr>
        <w:t>un solo panel — para medir, formar, comunicar y cuidar a la gente.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 xml:space="preserve">Une dos motores que hoy viven separados: </w:t>
      </w:r>
      <w:r w:rsidRPr="003E71AD">
        <w:rPr>
          <w:rFonts w:ascii="Arial" w:hAnsi="Arial" w:cs="Arial"/>
          <w:b/>
          <w:sz w:val="24"/>
        </w:rPr>
        <w:t>gestión del desempeño 360°</w:t>
      </w:r>
      <w:r w:rsidRPr="003E71AD">
        <w:rPr>
          <w:rFonts w:ascii="Arial" w:hAnsi="Arial" w:cs="Arial"/>
          <w:sz w:val="24"/>
        </w:rPr>
        <w:t xml:space="preserve"> (Ser-Saber-Hacer-Deber) y </w:t>
      </w:r>
      <w:r w:rsidRPr="003E71AD">
        <w:rPr>
          <w:rFonts w:ascii="Arial" w:hAnsi="Arial" w:cs="Arial"/>
          <w:b/>
          <w:sz w:val="24"/>
        </w:rPr>
        <w:t>formación, comunicación y cultura gamificada</w:t>
      </w:r>
      <w:r w:rsidRPr="003E71AD">
        <w:rPr>
          <w:rFonts w:ascii="Arial" w:hAnsi="Arial" w:cs="Arial"/>
          <w:sz w:val="24"/>
        </w:rPr>
        <w:t xml:space="preserve"> (Nexa), con cumplimiento SST integrado.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 xml:space="preserve">Convierte </w:t>
      </w:r>
      <w:r w:rsidRPr="003E71AD">
        <w:rPr>
          <w:rFonts w:ascii="Arial" w:hAnsi="Arial" w:cs="Arial"/>
          <w:sz w:val="24"/>
        </w:rPr>
        <w:t xml:space="preserve">la cultura organizacional de una </w:t>
      </w:r>
      <w:r w:rsidRPr="003E71AD">
        <w:rPr>
          <w:rFonts w:ascii="Arial" w:hAnsi="Arial" w:cs="Arial"/>
          <w:b/>
          <w:sz w:val="24"/>
        </w:rPr>
        <w:t>foto</w:t>
      </w:r>
      <w:r w:rsidRPr="003E71AD">
        <w:rPr>
          <w:rFonts w:ascii="Arial" w:hAnsi="Arial" w:cs="Arial"/>
          <w:sz w:val="24"/>
        </w:rPr>
        <w:t xml:space="preserve"> (medición semestral) en una </w:t>
      </w:r>
      <w:r w:rsidRPr="003E71AD">
        <w:rPr>
          <w:rFonts w:ascii="Arial" w:hAnsi="Arial" w:cs="Arial"/>
          <w:b/>
          <w:sz w:val="24"/>
        </w:rPr>
        <w:t>película</w:t>
      </w:r>
      <w:r w:rsidRPr="003E71AD">
        <w:rPr>
          <w:rFonts w:ascii="Arial" w:hAnsi="Arial" w:cs="Arial"/>
          <w:sz w:val="24"/>
        </w:rPr>
        <w:t>: evidencia diaria de participación, formación y reconocimiento.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Motor de eventos automático: una brecha detectada en la evaluación dispara, sin intervención manual, la ruta de forma</w:t>
      </w:r>
      <w:r w:rsidRPr="003E71AD">
        <w:rPr>
          <w:rFonts w:ascii="Arial" w:hAnsi="Arial" w:cs="Arial"/>
          <w:sz w:val="24"/>
        </w:rPr>
        <w:t>ción correspondiente.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Reemplaza al competidor real de toda PYME — WhatsApp, Excel, carteleras, evaluaciones en papel — con trazabilidad, reportes y cultura construida.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Profesionaliza la gestión de talento humano y el cumplimiento normativo sin exigir un eq</w:t>
      </w:r>
      <w:r w:rsidRPr="003E71AD">
        <w:rPr>
          <w:rFonts w:ascii="Arial" w:hAnsi="Arial" w:cs="Arial"/>
          <w:sz w:val="24"/>
        </w:rPr>
        <w:t>uipo grande ni perder la calidez que define a una empresa familiar.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Los procesos y sistemas de gestión de la empresa cliente quedan documentados y alineados con la plataforma (V&amp;E), lo que agiliza la implementación y facilita auditorías y certificaciones.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Riesgo de adopción ya reducido: metodología y aplicativo validados en un caso piloto real de 37 personas.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Precio y complejidad pensados para PYME (10–150 personas), a diferencia de competidores orientados a empresa mediana-grande.</w:t>
      </w:r>
    </w:p>
    <w:p w:rsidR="003E71AD" w:rsidRDefault="003E71AD">
      <w:pPr>
        <w:rPr>
          <w:rFonts w:ascii="Arial" w:eastAsiaTheme="majorEastAsia" w:hAnsi="Arial" w:cs="Arial"/>
          <w:b/>
          <w:bCs/>
          <w:color w:val="2E6B52"/>
          <w:sz w:val="32"/>
          <w:szCs w:val="28"/>
        </w:rPr>
      </w:pPr>
      <w:r>
        <w:rPr>
          <w:rFonts w:ascii="Arial" w:hAnsi="Arial" w:cs="Arial"/>
          <w:color w:val="2E6B52"/>
          <w:sz w:val="32"/>
        </w:rPr>
        <w:br w:type="page"/>
      </w:r>
    </w:p>
    <w:p w:rsidR="00AD68A1" w:rsidRPr="003E71AD" w:rsidRDefault="003E71AD">
      <w:pPr>
        <w:pStyle w:val="Ttulo1"/>
        <w:rPr>
          <w:rFonts w:ascii="Arial" w:hAnsi="Arial" w:cs="Arial"/>
          <w:sz w:val="32"/>
        </w:rPr>
      </w:pPr>
      <w:r w:rsidRPr="003E71AD">
        <w:rPr>
          <w:rFonts w:ascii="Arial" w:hAnsi="Arial" w:cs="Arial"/>
          <w:color w:val="2E6B52"/>
          <w:sz w:val="32"/>
        </w:rPr>
        <w:lastRenderedPageBreak/>
        <w:t>2. Segmentos de clientes</w:t>
      </w:r>
    </w:p>
    <w:p w:rsidR="00AD68A1" w:rsidRPr="003E71AD" w:rsidRDefault="003E71AD">
      <w:pPr>
        <w:rPr>
          <w:rFonts w:ascii="Arial" w:hAnsi="Arial" w:cs="Arial"/>
          <w:sz w:val="24"/>
        </w:rPr>
      </w:pPr>
      <w:r w:rsidRPr="003E71AD">
        <w:rPr>
          <w:rFonts w:ascii="Arial" w:hAnsi="Arial" w:cs="Arial"/>
          <w:i/>
          <w:color w:val="5C6B63"/>
          <w:sz w:val="20"/>
        </w:rPr>
        <w:t>EMPRESA CLIENTE Y ROLES DENTRO DE ELLA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PYME y empresas en crecimiento (≈10–150 personas) con procesos de talento humano ya iniciados pero no digitalizados.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b/>
          <w:sz w:val="24"/>
        </w:rPr>
        <w:t>Empresas familiares</w:t>
      </w:r>
      <w:r w:rsidRPr="003E71AD">
        <w:rPr>
          <w:rFonts w:ascii="Arial" w:hAnsi="Arial" w:cs="Arial"/>
          <w:sz w:val="24"/>
        </w:rPr>
        <w:t xml:space="preserve"> en profesionalización o relevo generacional, que necesitan objetivar la gestión </w:t>
      </w:r>
      <w:r w:rsidRPr="003E71AD">
        <w:rPr>
          <w:rFonts w:ascii="Arial" w:hAnsi="Arial" w:cs="Arial"/>
          <w:sz w:val="24"/>
        </w:rPr>
        <w:t>del desempeño y el desarrollo de las personas.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Empresas con SG-SST activo que hoy dependen de correo, carteleras o recordatorios manuales.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Sectores con riesgo operativo (manufactura, planta, logística) donde la formación en seguridad es crítica.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Roles dent</w:t>
      </w:r>
      <w:r w:rsidRPr="003E71AD">
        <w:rPr>
          <w:rFonts w:ascii="Arial" w:hAnsi="Arial" w:cs="Arial"/>
          <w:sz w:val="24"/>
        </w:rPr>
        <w:t>ro del cliente: Gerencia/Dirección (a menudo la familia propietaria), Talento Humano, líderes de área, colaboradores, líder SST, oficial de cumplimiento, aliados externos invitados.</w:t>
      </w:r>
    </w:p>
    <w:p w:rsidR="00AD68A1" w:rsidRPr="003E71AD" w:rsidRDefault="003E71AD">
      <w:pPr>
        <w:pStyle w:val="Ttulo1"/>
        <w:rPr>
          <w:rFonts w:ascii="Arial" w:hAnsi="Arial" w:cs="Arial"/>
          <w:sz w:val="32"/>
        </w:rPr>
      </w:pPr>
      <w:r w:rsidRPr="003E71AD">
        <w:rPr>
          <w:rFonts w:ascii="Arial" w:hAnsi="Arial" w:cs="Arial"/>
          <w:color w:val="2E6B52"/>
          <w:sz w:val="32"/>
        </w:rPr>
        <w:t>3. Canales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 xml:space="preserve">Venta consultiva conjunta Flowando, Nexus y V&amp;E, con propuesta </w:t>
      </w:r>
      <w:r w:rsidRPr="003E71AD">
        <w:rPr>
          <w:rFonts w:ascii="Arial" w:hAnsi="Arial" w:cs="Arial"/>
          <w:sz w:val="24"/>
        </w:rPr>
        <w:t>integrada y co-branding.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Fuerza comercial de V&amp;E: prospección directa y cierre de ventas para la oferta conjunta.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Digitales: web de Nexus, LinkedIn, Instagram, TikTok, email marketing, WhatsApp Business, webinars.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Comerciales: networking empresarial, event</w:t>
      </w:r>
      <w:r w:rsidRPr="003E71AD">
        <w:rPr>
          <w:rFonts w:ascii="Arial" w:hAnsi="Arial" w:cs="Arial"/>
          <w:sz w:val="24"/>
        </w:rPr>
        <w:t>os de cámaras de comercio y gremios, referidos.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Canal cruzado: la cartera de consultoría de Flowando, la red comercial de V&amp;E y la red de aliados de Nexus se refieren clientes entre sí.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 xml:space="preserve">Directorio de aliados dentro de la propia plataforma, que también </w:t>
      </w:r>
      <w:r w:rsidRPr="003E71AD">
        <w:rPr>
          <w:rFonts w:ascii="Arial" w:hAnsi="Arial" w:cs="Arial"/>
          <w:sz w:val="24"/>
        </w:rPr>
        <w:t>genera recomendación.</w:t>
      </w:r>
    </w:p>
    <w:p w:rsidR="00AD68A1" w:rsidRPr="003E71AD" w:rsidRDefault="003E71AD">
      <w:pPr>
        <w:pStyle w:val="Ttulo1"/>
        <w:rPr>
          <w:rFonts w:ascii="Arial" w:hAnsi="Arial" w:cs="Arial"/>
          <w:sz w:val="32"/>
        </w:rPr>
      </w:pPr>
      <w:r w:rsidRPr="003E71AD">
        <w:rPr>
          <w:rFonts w:ascii="Arial" w:hAnsi="Arial" w:cs="Arial"/>
          <w:color w:val="2E6B52"/>
          <w:sz w:val="32"/>
        </w:rPr>
        <w:t>4. Relación con clientes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Relación consultiva y cercana: acompañamiento estratégico en la implementación (Flowando) + soporte técnico continuo (Nexus) + estructuración de procesos y sistemas de gestión (V&amp;E).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 xml:space="preserve">Onboarding guiado y único </w:t>
      </w:r>
      <w:r w:rsidRPr="003E71AD">
        <w:rPr>
          <w:rFonts w:ascii="Arial" w:hAnsi="Arial" w:cs="Arial"/>
          <w:sz w:val="24"/>
        </w:rPr>
        <w:t>por empresa, con plantillas de apoyo para cargar organigrama y cargos.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Seguimiento activo de adopción y engagement; brief automático para cada líder antes de retroalimentar.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Comunidad y networking entre clientes y aliados externos dentro de la misma plataf</w:t>
      </w:r>
      <w:r w:rsidRPr="003E71AD">
        <w:rPr>
          <w:rFonts w:ascii="Arial" w:hAnsi="Arial" w:cs="Arial"/>
          <w:sz w:val="24"/>
        </w:rPr>
        <w:t>orma.</w:t>
      </w:r>
    </w:p>
    <w:p w:rsidR="00AD68A1" w:rsidRPr="003E71AD" w:rsidRDefault="003E71AD">
      <w:pPr>
        <w:pStyle w:val="Ttulo1"/>
        <w:rPr>
          <w:rFonts w:ascii="Arial" w:hAnsi="Arial" w:cs="Arial"/>
          <w:sz w:val="32"/>
        </w:rPr>
      </w:pPr>
      <w:r w:rsidRPr="003E71AD">
        <w:rPr>
          <w:rFonts w:ascii="Arial" w:hAnsi="Arial" w:cs="Arial"/>
          <w:color w:val="2E6B52"/>
          <w:sz w:val="32"/>
        </w:rPr>
        <w:lastRenderedPageBreak/>
        <w:t>5. Fuente de ingresos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b/>
          <w:sz w:val="24"/>
        </w:rPr>
        <w:t>Valor de implementación</w:t>
      </w:r>
      <w:r w:rsidRPr="003E71AD">
        <w:rPr>
          <w:rFonts w:ascii="Arial" w:hAnsi="Arial" w:cs="Arial"/>
          <w:sz w:val="24"/>
        </w:rPr>
        <w:t xml:space="preserve"> (pago único, por cliente): cargue de la información base de cada colaborador, instalación del aplicativo personalizado para la empresa, pruebas y capacitación inicial de uso.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b/>
          <w:sz w:val="24"/>
        </w:rPr>
        <w:t>Membresía recurrente</w:t>
      </w:r>
      <w:r w:rsidRPr="003E71AD">
        <w:rPr>
          <w:rFonts w:ascii="Arial" w:hAnsi="Arial" w:cs="Arial"/>
          <w:sz w:val="24"/>
        </w:rPr>
        <w:t xml:space="preserve"> (mensual</w:t>
      </w:r>
      <w:r w:rsidRPr="003E71AD">
        <w:rPr>
          <w:rFonts w:ascii="Arial" w:hAnsi="Arial" w:cs="Arial"/>
          <w:sz w:val="24"/>
        </w:rPr>
        <w:t>), calculada según el número de usuarios activos de la organización.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 xml:space="preserve">Precio base de inicio: </w:t>
      </w:r>
      <w:r w:rsidRPr="003E71AD">
        <w:rPr>
          <w:rFonts w:ascii="Arial" w:hAnsi="Arial" w:cs="Arial"/>
          <w:b/>
          <w:sz w:val="24"/>
        </w:rPr>
        <w:t>1 SMMLV</w:t>
      </w:r>
      <w:r w:rsidRPr="003E71AD">
        <w:rPr>
          <w:rFonts w:ascii="Arial" w:hAnsi="Arial" w:cs="Arial"/>
          <w:sz w:val="24"/>
        </w:rPr>
        <w:t>. La membresía está diseñada para cubrir los costos tecnológicos de la plataforma más una cuota de administración.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 xml:space="preserve">Rubro adicional por </w:t>
      </w:r>
      <w:r w:rsidRPr="003E71AD">
        <w:rPr>
          <w:rFonts w:ascii="Arial" w:hAnsi="Arial" w:cs="Arial"/>
          <w:b/>
          <w:sz w:val="24"/>
        </w:rPr>
        <w:t>soporte en tecnología</w:t>
      </w:r>
      <w:r w:rsidRPr="003E71AD">
        <w:rPr>
          <w:rFonts w:ascii="Arial" w:hAnsi="Arial" w:cs="Arial"/>
          <w:sz w:val="24"/>
        </w:rPr>
        <w:t>:</w:t>
      </w:r>
      <w:r w:rsidRPr="003E71AD">
        <w:rPr>
          <w:rFonts w:ascii="Arial" w:hAnsi="Arial" w:cs="Arial"/>
          <w:sz w:val="24"/>
        </w:rPr>
        <w:t xml:space="preserve"> mantenimiento, mesa de ayuda y resolución de incidencias.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 xml:space="preserve">Rubro adicional por </w:t>
      </w:r>
      <w:r w:rsidRPr="003E71AD">
        <w:rPr>
          <w:rFonts w:ascii="Arial" w:hAnsi="Arial" w:cs="Arial"/>
          <w:b/>
          <w:sz w:val="24"/>
        </w:rPr>
        <w:t>capacitación</w:t>
      </w:r>
      <w:r w:rsidRPr="003E71AD">
        <w:rPr>
          <w:rFonts w:ascii="Arial" w:hAnsi="Arial" w:cs="Arial"/>
          <w:sz w:val="24"/>
        </w:rPr>
        <w:t>: formación continua a usuarios nuevos y actualización de contenidos, más allá de la capacitación inicial incluida en la implementación.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 xml:space="preserve">Rubro adicional por </w:t>
      </w:r>
      <w:r w:rsidRPr="003E71AD">
        <w:rPr>
          <w:rFonts w:ascii="Arial" w:hAnsi="Arial" w:cs="Arial"/>
          <w:b/>
          <w:sz w:val="24"/>
        </w:rPr>
        <w:t>acompaña</w:t>
      </w:r>
      <w:r w:rsidRPr="003E71AD">
        <w:rPr>
          <w:rFonts w:ascii="Arial" w:hAnsi="Arial" w:cs="Arial"/>
          <w:b/>
          <w:sz w:val="24"/>
        </w:rPr>
        <w:t>miento en Talento Humano</w:t>
      </w:r>
      <w:r w:rsidRPr="003E71AD">
        <w:rPr>
          <w:rFonts w:ascii="Arial" w:hAnsi="Arial" w:cs="Arial"/>
          <w:sz w:val="24"/>
        </w:rPr>
        <w:t>: lectura de resultados, retroalimentación y seguimiento del PDI junto con los líderes.</w:t>
      </w:r>
    </w:p>
    <w:p w:rsidR="00AD68A1" w:rsidRPr="003E71AD" w:rsidRDefault="003E71AD">
      <w:pPr>
        <w:pStyle w:val="Ttulo1"/>
        <w:rPr>
          <w:rFonts w:ascii="Arial" w:hAnsi="Arial" w:cs="Arial"/>
          <w:sz w:val="32"/>
        </w:rPr>
      </w:pPr>
      <w:r w:rsidRPr="003E71AD">
        <w:rPr>
          <w:rFonts w:ascii="Arial" w:hAnsi="Arial" w:cs="Arial"/>
          <w:color w:val="2E6B52"/>
          <w:sz w:val="32"/>
        </w:rPr>
        <w:t>6. Recursos clave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 xml:space="preserve">Metodología propietaria </w:t>
      </w:r>
      <w:r w:rsidRPr="003E71AD">
        <w:rPr>
          <w:rFonts w:ascii="Arial" w:hAnsi="Arial" w:cs="Arial"/>
          <w:b/>
          <w:sz w:val="24"/>
        </w:rPr>
        <w:t>Ser-Saber-Hacer-Deber</w:t>
      </w:r>
      <w:r w:rsidRPr="003E71AD">
        <w:rPr>
          <w:rFonts w:ascii="Arial" w:hAnsi="Arial" w:cs="Arial"/>
          <w:sz w:val="24"/>
        </w:rPr>
        <w:t>: arquitectura de evaluadores, modelo de cálculo, instrumentos.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Plataforma SaaS N</w:t>
      </w:r>
      <w:r w:rsidRPr="003E71AD">
        <w:rPr>
          <w:rFonts w:ascii="Arial" w:hAnsi="Arial" w:cs="Arial"/>
          <w:sz w:val="24"/>
        </w:rPr>
        <w:t>exa: infraestructura multi-tenant, IA entrenada, motor de gamificación y de disparadores.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Metodologías de procesos y sistemas de gestión, y red comercial de V&amp;E.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Equipo humano: consultores de talento humano/SST, diseñadores instruccionales, producto, comer</w:t>
      </w:r>
      <w:r w:rsidRPr="003E71AD">
        <w:rPr>
          <w:rFonts w:ascii="Arial" w:hAnsi="Arial" w:cs="Arial"/>
          <w:sz w:val="24"/>
        </w:rPr>
        <w:t>cial.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Marca y contenido: catálogo de cursos, marcas Flowando y Nexa, know-how normativo.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Un solo modelo de datos compartido entre los tres frentes; red de aliados y caso piloto ya construido.</w:t>
      </w:r>
    </w:p>
    <w:p w:rsidR="00AD68A1" w:rsidRPr="003E71AD" w:rsidRDefault="003E71AD">
      <w:pPr>
        <w:pStyle w:val="Ttulo1"/>
        <w:rPr>
          <w:rFonts w:ascii="Arial" w:hAnsi="Arial" w:cs="Arial"/>
          <w:sz w:val="32"/>
        </w:rPr>
      </w:pPr>
      <w:r w:rsidRPr="003E71AD">
        <w:rPr>
          <w:rFonts w:ascii="Arial" w:hAnsi="Arial" w:cs="Arial"/>
          <w:color w:val="2E6B52"/>
          <w:sz w:val="32"/>
        </w:rPr>
        <w:t>7. Actividades clave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Diagnóstico e implementación por cliente: o</w:t>
      </w:r>
      <w:r w:rsidRPr="003E71AD">
        <w:rPr>
          <w:rFonts w:ascii="Arial" w:hAnsi="Arial" w:cs="Arial"/>
          <w:sz w:val="24"/>
        </w:rPr>
        <w:t>rganigrama, cargos, competencias, usuarios y ponderaciones del modelo.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Gestión de ciclos de evaluación 360°: apertura, cálculo en tiempo real, Informe 360° y PDI.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Desarrollo y evolución de la plataforma: motor de eventos, dashboards, apps web/móvil, IA por</w:t>
      </w:r>
      <w:r w:rsidRPr="003E71AD">
        <w:rPr>
          <w:rFonts w:ascii="Arial" w:hAnsi="Arial" w:cs="Arial"/>
          <w:sz w:val="24"/>
        </w:rPr>
        <w:t xml:space="preserve"> empresa.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Producción y actualización de contenido: microlearning, gamificación, cursos SST y normativos.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Acompañamiento consultivo a líderes: briefs de retroalimentación, seguimiento del PDI.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Diseño y documentación de procesos y sistemas de gestión del cli</w:t>
      </w:r>
      <w:r w:rsidRPr="003E71AD">
        <w:rPr>
          <w:rFonts w:ascii="Arial" w:hAnsi="Arial" w:cs="Arial"/>
          <w:sz w:val="24"/>
        </w:rPr>
        <w:t>ente, alineados a cargos, competencias y cumplimiento (V&amp;E).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Desarrollo comercial conjunto: prospección B2B, alianzas y cierre de ventas (V&amp;E).</w:t>
      </w:r>
    </w:p>
    <w:p w:rsidR="00AD68A1" w:rsidRPr="003E71AD" w:rsidRDefault="003E71AD">
      <w:pPr>
        <w:pStyle w:val="Ttulo1"/>
        <w:rPr>
          <w:rFonts w:ascii="Arial" w:hAnsi="Arial" w:cs="Arial"/>
          <w:sz w:val="32"/>
        </w:rPr>
      </w:pPr>
      <w:r w:rsidRPr="003E71AD">
        <w:rPr>
          <w:rFonts w:ascii="Arial" w:hAnsi="Arial" w:cs="Arial"/>
          <w:color w:val="2E6B52"/>
          <w:sz w:val="32"/>
        </w:rPr>
        <w:lastRenderedPageBreak/>
        <w:t>8. Socios clave</w:t>
      </w:r>
    </w:p>
    <w:p w:rsidR="00AD68A1" w:rsidRPr="003E71AD" w:rsidRDefault="003E71AD">
      <w:pPr>
        <w:rPr>
          <w:rFonts w:ascii="Arial" w:hAnsi="Arial" w:cs="Arial"/>
          <w:sz w:val="24"/>
        </w:rPr>
      </w:pPr>
      <w:r w:rsidRPr="003E71AD">
        <w:rPr>
          <w:rFonts w:ascii="Arial" w:hAnsi="Arial" w:cs="Arial"/>
          <w:i/>
          <w:color w:val="5C6B63"/>
          <w:sz w:val="20"/>
        </w:rPr>
        <w:t>LA ALIANZA Y QUIENES LA SOSTIENEN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b/>
          <w:sz w:val="24"/>
        </w:rPr>
        <w:t>Flowando, Nexus y V&amp;E</w:t>
      </w:r>
      <w:r w:rsidRPr="003E71AD">
        <w:rPr>
          <w:rFonts w:ascii="Arial" w:hAnsi="Arial" w:cs="Arial"/>
          <w:sz w:val="24"/>
        </w:rPr>
        <w:t xml:space="preserve"> son los tres socios fundacionales: metodología de talento humano (Flowando), plataforma tecnológica (Nexus) y procesos, sistemas de gestión y desarrollo comercial (V&amp;E), unidos en un solo aplicativo.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Proveedores tecnológicos: infraestructura cloud, motore</w:t>
      </w:r>
      <w:r w:rsidRPr="003E71AD">
        <w:rPr>
          <w:rFonts w:ascii="Arial" w:hAnsi="Arial" w:cs="Arial"/>
          <w:sz w:val="24"/>
        </w:rPr>
        <w:t>s de IA conversacional, herramientas de gamificación.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Expertos de contenido: especialistas en SST, abogados laborales, formadores en compliance y cultura.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Aliados institucionales: cámaras de comercio, gremios empresariales, universidades.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Partners comercia</w:t>
      </w:r>
      <w:r w:rsidRPr="003E71AD">
        <w:rPr>
          <w:rFonts w:ascii="Arial" w:hAnsi="Arial" w:cs="Arial"/>
          <w:sz w:val="24"/>
        </w:rPr>
        <w:t>les: consultoras de talento humano, firmas auditoras (SAGRILAFT/SARLAFT), ARL y aseguradoras.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Clientes piloto como socios de validación — casos reales que reducen el riesgo percibido por empresas nuevas.</w:t>
      </w:r>
    </w:p>
    <w:p w:rsidR="00AD68A1" w:rsidRPr="003E71AD" w:rsidRDefault="003E71AD">
      <w:pPr>
        <w:pStyle w:val="Ttulo1"/>
        <w:rPr>
          <w:rFonts w:ascii="Arial" w:hAnsi="Arial" w:cs="Arial"/>
          <w:sz w:val="32"/>
        </w:rPr>
      </w:pPr>
      <w:r w:rsidRPr="003E71AD">
        <w:rPr>
          <w:rFonts w:ascii="Arial" w:hAnsi="Arial" w:cs="Arial"/>
          <w:color w:val="2E6B52"/>
          <w:sz w:val="32"/>
        </w:rPr>
        <w:t>9. Estructura de costos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 xml:space="preserve">Implementación por cliente: </w:t>
      </w:r>
      <w:r w:rsidRPr="003E71AD">
        <w:rPr>
          <w:rFonts w:ascii="Arial" w:hAnsi="Arial" w:cs="Arial"/>
          <w:sz w:val="24"/>
        </w:rPr>
        <w:t>horas de consultoría, carga y estructuración de datos.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Tecnología: desarrollo y evolución de la plataforma, hosting/cloud, IA, licencias.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Operación: nómina de consultores de talento humano/SST, producto, soporte y comercial; producción de contenido.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Admini</w:t>
      </w:r>
      <w:r w:rsidRPr="003E71AD">
        <w:rPr>
          <w:rFonts w:ascii="Arial" w:hAnsi="Arial" w:cs="Arial"/>
          <w:sz w:val="24"/>
        </w:rPr>
        <w:t>stración de cuentas de cliente: gestión de membresías, facturación y renovación — cubierta por la cuota de administración incluida en cada membresía.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Consultoría de procesos y sistemas de gestión: honorarios de V&amp;E por diagnóstico, documentación y desarrol</w:t>
      </w:r>
      <w:r w:rsidRPr="003E71AD">
        <w:rPr>
          <w:rFonts w:ascii="Arial" w:hAnsi="Arial" w:cs="Arial"/>
          <w:sz w:val="24"/>
        </w:rPr>
        <w:t>lo comercial.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Marketing y desarrollo comercial conjunto: publicidad digital, eventos, generación de leads, branding compartido.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Experiencia y engagement: gamificación, diseño UX/UI, producción audiovisual.</w:t>
      </w:r>
    </w:p>
    <w:p w:rsidR="00AD68A1" w:rsidRPr="003E71AD" w:rsidRDefault="003E71AD">
      <w:pPr>
        <w:pStyle w:val="Listaconvietas"/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Alianzas y networking: convenios, eventos, comunid</w:t>
      </w:r>
      <w:r w:rsidRPr="003E71AD">
        <w:rPr>
          <w:rFonts w:ascii="Arial" w:hAnsi="Arial" w:cs="Arial"/>
          <w:sz w:val="24"/>
        </w:rPr>
        <w:t>ad; reparto entre Flowando, Nexus y V&amp;E según el modelo comercial acordado.</w:t>
      </w:r>
    </w:p>
    <w:p w:rsidR="00AD68A1" w:rsidRPr="003E71AD" w:rsidRDefault="00AD68A1">
      <w:pPr>
        <w:rPr>
          <w:rFonts w:ascii="Arial" w:hAnsi="Arial" w:cs="Arial"/>
          <w:sz w:val="24"/>
        </w:rPr>
      </w:pPr>
    </w:p>
    <w:p w:rsidR="00AD68A1" w:rsidRPr="003E71AD" w:rsidRDefault="003E71AD">
      <w:pPr>
        <w:rPr>
          <w:rFonts w:ascii="Arial" w:hAnsi="Arial" w:cs="Arial"/>
          <w:sz w:val="24"/>
        </w:rPr>
      </w:pPr>
      <w:r w:rsidRPr="003E71AD">
        <w:rPr>
          <w:rFonts w:ascii="Arial" w:hAnsi="Arial" w:cs="Arial"/>
          <w:i/>
          <w:color w:val="5C6B63"/>
          <w:sz w:val="20"/>
        </w:rPr>
        <w:t>FUNDAMENTO</w:t>
      </w:r>
    </w:p>
    <w:p w:rsidR="00AD68A1" w:rsidRPr="003E71AD" w:rsidRDefault="003E71AD">
      <w:pPr>
        <w:pStyle w:val="Ttulo1"/>
        <w:rPr>
          <w:rFonts w:ascii="Arial" w:hAnsi="Arial" w:cs="Arial"/>
          <w:sz w:val="32"/>
        </w:rPr>
      </w:pPr>
      <w:r w:rsidRPr="003E71AD">
        <w:rPr>
          <w:rFonts w:ascii="Arial" w:hAnsi="Arial" w:cs="Arial"/>
          <w:sz w:val="32"/>
        </w:rPr>
        <w:t>Cómo se reparte la alianza comercialmente</w:t>
      </w:r>
    </w:p>
    <w:p w:rsidR="00AD68A1" w:rsidRPr="003E71AD" w:rsidRDefault="003E71AD">
      <w:pPr>
        <w:rPr>
          <w:rFonts w:ascii="Arial" w:hAnsi="Arial" w:cs="Arial"/>
          <w:sz w:val="24"/>
        </w:rPr>
      </w:pPr>
      <w:r w:rsidRPr="003E71AD">
        <w:rPr>
          <w:rFonts w:ascii="Arial" w:hAnsi="Arial" w:cs="Arial"/>
          <w:b/>
          <w:color w:val="2E6B52"/>
          <w:sz w:val="20"/>
        </w:rPr>
        <w:t>OPCIÓN A</w:t>
      </w:r>
    </w:p>
    <w:p w:rsidR="00AD68A1" w:rsidRPr="003E71AD" w:rsidRDefault="003E71AD">
      <w:pPr>
        <w:rPr>
          <w:rFonts w:ascii="Arial" w:hAnsi="Arial" w:cs="Arial"/>
          <w:sz w:val="24"/>
        </w:rPr>
      </w:pPr>
      <w:r w:rsidRPr="003E71AD">
        <w:rPr>
          <w:rFonts w:ascii="Arial" w:hAnsi="Arial" w:cs="Arial"/>
          <w:b/>
          <w:sz w:val="24"/>
        </w:rPr>
        <w:t>Propuesta conjunta y co-branding.</w:t>
      </w:r>
      <w:r w:rsidRPr="003E71AD">
        <w:rPr>
          <w:rFonts w:ascii="Arial" w:hAnsi="Arial" w:cs="Arial"/>
          <w:sz w:val="24"/>
        </w:rPr>
        <w:t xml:space="preserve"> Una sola propuesta integrada al cliente, marca compartida, facturación independiente por componente: Flowando la consultoría y el diseño de evaluación, Nexus la licencia SaaS de Nexa, V&amp;E los procesos, sistemas de gestión y desarrollo comercial.</w:t>
      </w:r>
    </w:p>
    <w:p w:rsidR="00AD68A1" w:rsidRPr="003E71AD" w:rsidRDefault="003E71AD">
      <w:pPr>
        <w:rPr>
          <w:rFonts w:ascii="Arial" w:hAnsi="Arial" w:cs="Arial"/>
          <w:sz w:val="24"/>
        </w:rPr>
      </w:pPr>
      <w:r w:rsidRPr="003E71AD">
        <w:rPr>
          <w:rFonts w:ascii="Arial" w:hAnsi="Arial" w:cs="Arial"/>
          <w:b/>
          <w:color w:val="2E6B52"/>
          <w:sz w:val="20"/>
        </w:rPr>
        <w:lastRenderedPageBreak/>
        <w:t>OPCIÓN B</w:t>
      </w:r>
    </w:p>
    <w:p w:rsidR="00AD68A1" w:rsidRPr="003E71AD" w:rsidRDefault="003E71AD">
      <w:pPr>
        <w:rPr>
          <w:rFonts w:ascii="Arial" w:hAnsi="Arial" w:cs="Arial"/>
          <w:sz w:val="24"/>
        </w:rPr>
      </w:pPr>
      <w:r w:rsidRPr="003E71AD">
        <w:rPr>
          <w:rFonts w:ascii="Arial" w:hAnsi="Arial" w:cs="Arial"/>
          <w:b/>
          <w:sz w:val="24"/>
        </w:rPr>
        <w:t>Comisión cruzada.</w:t>
      </w:r>
      <w:r w:rsidRPr="003E71AD">
        <w:rPr>
          <w:rFonts w:ascii="Arial" w:hAnsi="Arial" w:cs="Arial"/>
          <w:sz w:val="24"/>
        </w:rPr>
        <w:t xml:space="preserve"> Cada una de las tres partes factura su servicio de forma independiente y reconoce una comisión a las otras por cliente referido o por venta conjunta cerrada.</w:t>
      </w:r>
    </w:p>
    <w:p w:rsidR="00AD68A1" w:rsidRPr="003E71AD" w:rsidRDefault="003E71AD">
      <w:pPr>
        <w:rPr>
          <w:rFonts w:ascii="Arial" w:hAnsi="Arial" w:cs="Arial"/>
          <w:sz w:val="24"/>
        </w:rPr>
      </w:pPr>
      <w:r w:rsidRPr="003E71AD">
        <w:rPr>
          <w:rFonts w:ascii="Arial" w:hAnsi="Arial" w:cs="Arial"/>
          <w:b/>
          <w:color w:val="2E6B52"/>
          <w:sz w:val="20"/>
        </w:rPr>
        <w:t>OPCIÓN C</w:t>
      </w:r>
    </w:p>
    <w:p w:rsidR="00AD68A1" w:rsidRPr="003E71AD" w:rsidRDefault="003E71AD">
      <w:pPr>
        <w:rPr>
          <w:rFonts w:ascii="Arial" w:hAnsi="Arial" w:cs="Arial"/>
          <w:sz w:val="24"/>
        </w:rPr>
      </w:pPr>
      <w:r w:rsidRPr="003E71AD">
        <w:rPr>
          <w:rFonts w:ascii="Arial" w:hAnsi="Arial" w:cs="Arial"/>
          <w:b/>
          <w:sz w:val="24"/>
        </w:rPr>
        <w:t>Paquete único.</w:t>
      </w:r>
      <w:r w:rsidRPr="003E71AD">
        <w:rPr>
          <w:rFonts w:ascii="Arial" w:hAnsi="Arial" w:cs="Arial"/>
          <w:sz w:val="24"/>
        </w:rPr>
        <w:t xml:space="preserve"> Un valor integral por cliente que incluye los tres compo</w:t>
      </w:r>
      <w:r w:rsidRPr="003E71AD">
        <w:rPr>
          <w:rFonts w:ascii="Arial" w:hAnsi="Arial" w:cs="Arial"/>
          <w:sz w:val="24"/>
        </w:rPr>
        <w:t>nentes, con reparto interno acordado entre Flowando, Nexus y V&amp;E, y una sola factura para el cliente.</w:t>
      </w:r>
    </w:p>
    <w:p w:rsidR="003E71AD" w:rsidRDefault="003E71AD" w:rsidP="003E71AD">
      <w:pPr>
        <w:rPr>
          <w:rFonts w:ascii="Arial" w:hAnsi="Arial" w:cs="Arial"/>
          <w:i/>
          <w:color w:val="5C6B63"/>
          <w:sz w:val="20"/>
        </w:rPr>
      </w:pPr>
      <w:r w:rsidRPr="003E71AD">
        <w:rPr>
          <w:rFonts w:ascii="Arial" w:hAnsi="Arial" w:cs="Arial"/>
          <w:i/>
          <w:color w:val="5C6B63"/>
          <w:sz w:val="20"/>
        </w:rPr>
        <w:t>ANÁLISIS</w:t>
      </w:r>
    </w:p>
    <w:p w:rsidR="00AD68A1" w:rsidRPr="003E71AD" w:rsidRDefault="003E71AD" w:rsidP="003E71AD">
      <w:pPr>
        <w:spacing w:after="120"/>
        <w:rPr>
          <w:rFonts w:ascii="Arial" w:hAnsi="Arial" w:cs="Arial"/>
          <w:b/>
          <w:sz w:val="28"/>
        </w:rPr>
      </w:pPr>
      <w:proofErr w:type="spellStart"/>
      <w:r w:rsidRPr="003E71AD">
        <w:rPr>
          <w:rFonts w:ascii="Arial" w:hAnsi="Arial" w:cs="Arial"/>
          <w:b/>
          <w:sz w:val="28"/>
        </w:rPr>
        <w:t>Por</w:t>
      </w:r>
      <w:proofErr w:type="spellEnd"/>
      <w:r w:rsidRPr="003E71AD">
        <w:rPr>
          <w:rFonts w:ascii="Arial" w:hAnsi="Arial" w:cs="Arial"/>
          <w:b/>
          <w:sz w:val="28"/>
        </w:rPr>
        <w:t xml:space="preserve"> </w:t>
      </w:r>
      <w:proofErr w:type="spellStart"/>
      <w:r w:rsidRPr="003E71AD">
        <w:rPr>
          <w:rFonts w:ascii="Arial" w:hAnsi="Arial" w:cs="Arial"/>
          <w:b/>
          <w:sz w:val="28"/>
        </w:rPr>
        <w:t>qué</w:t>
      </w:r>
      <w:proofErr w:type="spellEnd"/>
      <w:r w:rsidRPr="003E71AD">
        <w:rPr>
          <w:rFonts w:ascii="Arial" w:hAnsi="Arial" w:cs="Arial"/>
          <w:b/>
          <w:sz w:val="28"/>
        </w:rPr>
        <w:t xml:space="preserve"> </w:t>
      </w:r>
      <w:proofErr w:type="spellStart"/>
      <w:r w:rsidRPr="003E71AD">
        <w:rPr>
          <w:rFonts w:ascii="Arial" w:hAnsi="Arial" w:cs="Arial"/>
          <w:b/>
          <w:sz w:val="28"/>
        </w:rPr>
        <w:t>este</w:t>
      </w:r>
      <w:proofErr w:type="spellEnd"/>
      <w:r w:rsidRPr="003E71AD">
        <w:rPr>
          <w:rFonts w:ascii="Arial" w:hAnsi="Arial" w:cs="Arial"/>
          <w:b/>
          <w:sz w:val="28"/>
        </w:rPr>
        <w:t xml:space="preserve"> </w:t>
      </w:r>
      <w:proofErr w:type="spellStart"/>
      <w:r w:rsidRPr="003E71AD">
        <w:rPr>
          <w:rFonts w:ascii="Arial" w:hAnsi="Arial" w:cs="Arial"/>
          <w:b/>
          <w:sz w:val="28"/>
        </w:rPr>
        <w:t>modelo</w:t>
      </w:r>
      <w:proofErr w:type="spellEnd"/>
      <w:r w:rsidRPr="003E71AD">
        <w:rPr>
          <w:rFonts w:ascii="Arial" w:hAnsi="Arial" w:cs="Arial"/>
          <w:b/>
          <w:sz w:val="28"/>
        </w:rPr>
        <w:t xml:space="preserve"> encaja especialmente en empresas familiares y PYME</w:t>
      </w:r>
    </w:p>
    <w:p w:rsidR="00AD68A1" w:rsidRPr="003E71AD" w:rsidRDefault="003E71AD">
      <w:pPr>
        <w:pStyle w:val="Ttulo2"/>
        <w:rPr>
          <w:rFonts w:ascii="Arial" w:hAnsi="Arial" w:cs="Arial"/>
          <w:sz w:val="28"/>
        </w:rPr>
      </w:pPr>
      <w:r w:rsidRPr="003E71AD">
        <w:rPr>
          <w:rFonts w:ascii="Arial" w:hAnsi="Arial" w:cs="Arial"/>
          <w:color w:val="182420"/>
          <w:sz w:val="28"/>
        </w:rPr>
        <w:t>Profesionaliza sin despersonalizar</w:t>
      </w:r>
    </w:p>
    <w:p w:rsidR="00AD68A1" w:rsidRPr="003E71AD" w:rsidRDefault="003E71AD">
      <w:pPr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 xml:space="preserve">Muchas empresas familiares resisten </w:t>
      </w:r>
      <w:r w:rsidRPr="003E71AD">
        <w:rPr>
          <w:rFonts w:ascii="Arial" w:hAnsi="Arial" w:cs="Arial"/>
          <w:sz w:val="24"/>
        </w:rPr>
        <w:t>procesos "corporativos" porque los sienten fríos. La Espiral Evolutiva combina rigor (organigrama, perfiles, gestión del desempeño 360°) con la dimensión Ser — autoconocimiento y reflexión propia — que respeta la calidez relacional propia de una empresa de</w:t>
      </w:r>
      <w:r w:rsidRPr="003E71AD">
        <w:rPr>
          <w:rFonts w:ascii="Arial" w:hAnsi="Arial" w:cs="Arial"/>
          <w:sz w:val="24"/>
        </w:rPr>
        <w:t xml:space="preserve"> familia.</w:t>
      </w:r>
    </w:p>
    <w:p w:rsidR="00AD68A1" w:rsidRPr="003E71AD" w:rsidRDefault="003E71AD">
      <w:pPr>
        <w:pStyle w:val="Ttulo2"/>
        <w:rPr>
          <w:rFonts w:ascii="Arial" w:hAnsi="Arial" w:cs="Arial"/>
          <w:sz w:val="28"/>
        </w:rPr>
      </w:pPr>
      <w:r w:rsidRPr="003E71AD">
        <w:rPr>
          <w:rFonts w:ascii="Arial" w:hAnsi="Arial" w:cs="Arial"/>
          <w:color w:val="182420"/>
          <w:sz w:val="28"/>
        </w:rPr>
        <w:t>Facilita el relevo generacional</w:t>
      </w:r>
    </w:p>
    <w:p w:rsidR="00AD68A1" w:rsidRPr="003E71AD" w:rsidRDefault="003E71AD">
      <w:pPr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Un historial documentado de desempeño, competencias y PDI da una base objetiva y auditable para promociones o cambios de liderazgo, reduciendo la fricción cuando la segunda o tercera generación —o un gerente no fam</w:t>
      </w:r>
      <w:r w:rsidRPr="003E71AD">
        <w:rPr>
          <w:rFonts w:ascii="Arial" w:hAnsi="Arial" w:cs="Arial"/>
          <w:sz w:val="24"/>
        </w:rPr>
        <w:t>iliar— entra a dirigir.</w:t>
      </w:r>
    </w:p>
    <w:p w:rsidR="00AD68A1" w:rsidRPr="003E71AD" w:rsidRDefault="003E71AD">
      <w:pPr>
        <w:pStyle w:val="Ttulo2"/>
        <w:rPr>
          <w:rFonts w:ascii="Arial" w:hAnsi="Arial" w:cs="Arial"/>
          <w:sz w:val="28"/>
        </w:rPr>
      </w:pPr>
      <w:r w:rsidRPr="003E71AD">
        <w:rPr>
          <w:rFonts w:ascii="Arial" w:hAnsi="Arial" w:cs="Arial"/>
          <w:color w:val="182420"/>
          <w:sz w:val="28"/>
        </w:rPr>
        <w:t>Compliance SST sin equipo grande</w:t>
      </w:r>
    </w:p>
    <w:p w:rsidR="00AD68A1" w:rsidRPr="003E71AD" w:rsidRDefault="003E71AD">
      <w:pPr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La mayoría de PYME y empresas familiares no tienen un área de SST dedicada. La alianza empaqueta ese conocimiento experto (checklists, alertas, formación gamificada) que de otro modo exigiría contrat</w:t>
      </w:r>
      <w:r w:rsidRPr="003E71AD">
        <w:rPr>
          <w:rFonts w:ascii="Arial" w:hAnsi="Arial" w:cs="Arial"/>
          <w:sz w:val="24"/>
        </w:rPr>
        <w:t>ar especialistas.</w:t>
      </w:r>
    </w:p>
    <w:p w:rsidR="00AD68A1" w:rsidRPr="003E71AD" w:rsidRDefault="003E71AD">
      <w:pPr>
        <w:pStyle w:val="Ttulo2"/>
        <w:rPr>
          <w:rFonts w:ascii="Arial" w:hAnsi="Arial" w:cs="Arial"/>
          <w:sz w:val="28"/>
        </w:rPr>
      </w:pPr>
      <w:r w:rsidRPr="003E71AD">
        <w:rPr>
          <w:rFonts w:ascii="Arial" w:hAnsi="Arial" w:cs="Arial"/>
          <w:color w:val="182420"/>
          <w:sz w:val="28"/>
        </w:rPr>
        <w:t>Presupuesto y ritmo de PYME</w:t>
      </w:r>
    </w:p>
    <w:p w:rsidR="00AD68A1" w:rsidRPr="003E71AD" w:rsidRDefault="003E71AD">
      <w:pPr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Precio modular — valor de implementación único (carga de información, instalación, pruebas y capacitación) + membresía mensual desde 1 SMMLV según número de usuarios — permite entrar con equipos de 15–40 person</w:t>
      </w:r>
      <w:r w:rsidRPr="003E71AD">
        <w:rPr>
          <w:rFonts w:ascii="Arial" w:hAnsi="Arial" w:cs="Arial"/>
          <w:sz w:val="24"/>
        </w:rPr>
        <w:t>as, a diferencia de competidores (Crehana, Buk) que cotizan para empresa mediana-grande.</w:t>
      </w:r>
    </w:p>
    <w:p w:rsidR="00AD68A1" w:rsidRPr="003E71AD" w:rsidRDefault="003E71AD">
      <w:pPr>
        <w:pStyle w:val="Ttulo2"/>
        <w:rPr>
          <w:rFonts w:ascii="Arial" w:hAnsi="Arial" w:cs="Arial"/>
          <w:sz w:val="28"/>
        </w:rPr>
      </w:pPr>
      <w:r w:rsidRPr="003E71AD">
        <w:rPr>
          <w:rFonts w:ascii="Arial" w:hAnsi="Arial" w:cs="Arial"/>
          <w:color w:val="182420"/>
          <w:sz w:val="28"/>
        </w:rPr>
        <w:t>Puente generacional interno</w:t>
      </w:r>
    </w:p>
    <w:p w:rsidR="00AD68A1" w:rsidRPr="003E71AD" w:rsidRDefault="003E71AD">
      <w:pPr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Gamificación, feed tipo red social e IA conversacional hablan el idioma de las nuevas generaciones en planta u oficina, mientras el brief d</w:t>
      </w:r>
      <w:r w:rsidRPr="003E71AD">
        <w:rPr>
          <w:rFonts w:ascii="Arial" w:hAnsi="Arial" w:cs="Arial"/>
          <w:sz w:val="24"/>
        </w:rPr>
        <w:t>e retroalimentación y la evaluación estructurada respetan el estilo de quienes hoy dirigen la empresa.</w:t>
      </w:r>
    </w:p>
    <w:p w:rsidR="00AD68A1" w:rsidRPr="003E71AD" w:rsidRDefault="003E71AD">
      <w:pPr>
        <w:pStyle w:val="Ttulo2"/>
        <w:rPr>
          <w:rFonts w:ascii="Arial" w:hAnsi="Arial" w:cs="Arial"/>
          <w:sz w:val="28"/>
        </w:rPr>
      </w:pPr>
      <w:r w:rsidRPr="003E71AD">
        <w:rPr>
          <w:rFonts w:ascii="Arial" w:hAnsi="Arial" w:cs="Arial"/>
          <w:color w:val="182420"/>
          <w:sz w:val="28"/>
        </w:rPr>
        <w:t>Un solo proveedor de confianza</w:t>
      </w:r>
    </w:p>
    <w:p w:rsidR="00AD68A1" w:rsidRPr="003E71AD" w:rsidRDefault="003E71AD">
      <w:pPr>
        <w:rPr>
          <w:rFonts w:ascii="Arial" w:hAnsi="Arial" w:cs="Arial"/>
          <w:sz w:val="24"/>
        </w:rPr>
      </w:pPr>
      <w:r w:rsidRPr="003E71AD">
        <w:rPr>
          <w:rFonts w:ascii="Arial" w:hAnsi="Arial" w:cs="Arial"/>
          <w:sz w:val="24"/>
        </w:rPr>
        <w:t>Las empresas familiares valoran relaciones de largo plazo sobre la fragmentación de proveedores. La alianza ofrece una sol</w:t>
      </w:r>
      <w:r w:rsidRPr="003E71AD">
        <w:rPr>
          <w:rFonts w:ascii="Arial" w:hAnsi="Arial" w:cs="Arial"/>
          <w:sz w:val="24"/>
        </w:rPr>
        <w:t>a relación consultiva que cubre talento humano, cultura, formación y cumplimiento — no cuatro contratos distintos.</w:t>
      </w:r>
    </w:p>
    <w:p w:rsidR="003E71AD" w:rsidRDefault="003E71AD" w:rsidP="003E71AD">
      <w:pPr>
        <w:rPr>
          <w:rFonts w:ascii="Arial" w:hAnsi="Arial" w:cs="Arial"/>
          <w:i/>
          <w:color w:val="5C6B63"/>
          <w:sz w:val="20"/>
        </w:rPr>
      </w:pPr>
      <w:r w:rsidRPr="003E71AD">
        <w:rPr>
          <w:rFonts w:ascii="Arial" w:hAnsi="Arial" w:cs="Arial"/>
          <w:i/>
          <w:color w:val="5C6B63"/>
          <w:sz w:val="20"/>
        </w:rPr>
        <w:lastRenderedPageBreak/>
        <w:t>CONTEXTO</w:t>
      </w:r>
    </w:p>
    <w:p w:rsidR="00AD68A1" w:rsidRPr="003E71AD" w:rsidRDefault="003E71AD" w:rsidP="003E71AD">
      <w:pPr>
        <w:rPr>
          <w:rFonts w:ascii="Arial" w:hAnsi="Arial" w:cs="Arial"/>
          <w:sz w:val="32"/>
        </w:rPr>
      </w:pPr>
      <w:r w:rsidRPr="003E71AD">
        <w:rPr>
          <w:rFonts w:ascii="Arial" w:hAnsi="Arial" w:cs="Arial"/>
          <w:sz w:val="32"/>
        </w:rPr>
        <w:t xml:space="preserve">Panorama </w:t>
      </w:r>
      <w:proofErr w:type="spellStart"/>
      <w:r w:rsidRPr="003E71AD">
        <w:rPr>
          <w:rFonts w:ascii="Arial" w:hAnsi="Arial" w:cs="Arial"/>
          <w:sz w:val="32"/>
        </w:rPr>
        <w:t>competitivo</w:t>
      </w:r>
      <w:proofErr w:type="spellEnd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D68A1" w:rsidRPr="003E71AD" w:rsidTr="00AD68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:rsidR="00AD68A1" w:rsidRPr="003E71AD" w:rsidRDefault="003E71AD">
            <w:pPr>
              <w:rPr>
                <w:rFonts w:ascii="Arial" w:hAnsi="Arial" w:cs="Arial"/>
                <w:sz w:val="24"/>
              </w:rPr>
            </w:pPr>
            <w:r w:rsidRPr="003E71AD">
              <w:rPr>
                <w:rFonts w:ascii="Arial" w:hAnsi="Arial" w:cs="Arial"/>
                <w:sz w:val="24"/>
              </w:rPr>
              <w:t>Jugador</w:t>
            </w:r>
          </w:p>
        </w:tc>
        <w:tc>
          <w:tcPr>
            <w:tcW w:w="3249" w:type="dxa"/>
          </w:tcPr>
          <w:p w:rsidR="00AD68A1" w:rsidRPr="003E71AD" w:rsidRDefault="003E71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</w:rPr>
            </w:pPr>
            <w:r w:rsidRPr="003E71AD">
              <w:rPr>
                <w:rFonts w:ascii="Arial" w:hAnsi="Arial" w:cs="Arial"/>
                <w:sz w:val="24"/>
              </w:rPr>
              <w:t>Qué hace bien</w:t>
            </w:r>
          </w:p>
        </w:tc>
        <w:tc>
          <w:tcPr>
            <w:tcW w:w="3249" w:type="dxa"/>
          </w:tcPr>
          <w:p w:rsidR="00AD68A1" w:rsidRPr="003E71AD" w:rsidRDefault="003E71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</w:rPr>
            </w:pPr>
            <w:r w:rsidRPr="003E71AD">
              <w:rPr>
                <w:rFonts w:ascii="Arial" w:hAnsi="Arial" w:cs="Arial"/>
                <w:sz w:val="24"/>
              </w:rPr>
              <w:t>Dónde falla frente a este modelo</w:t>
            </w:r>
          </w:p>
        </w:tc>
      </w:tr>
      <w:tr w:rsidR="00AD68A1" w:rsidRPr="003E71AD" w:rsidTr="00AD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:rsidR="00AD68A1" w:rsidRPr="003E71AD" w:rsidRDefault="003E71AD">
            <w:pPr>
              <w:rPr>
                <w:rFonts w:ascii="Arial" w:hAnsi="Arial" w:cs="Arial"/>
                <w:sz w:val="24"/>
              </w:rPr>
            </w:pPr>
            <w:r w:rsidRPr="003E71AD">
              <w:rPr>
                <w:rFonts w:ascii="Arial" w:hAnsi="Arial" w:cs="Arial"/>
                <w:sz w:val="24"/>
              </w:rPr>
              <w:t>Crehana for Business</w:t>
            </w:r>
            <w:r w:rsidRPr="003E71AD">
              <w:rPr>
                <w:rFonts w:ascii="Arial" w:hAnsi="Arial" w:cs="Arial"/>
                <w:i/>
                <w:sz w:val="24"/>
              </w:rPr>
              <w:t xml:space="preserve">  (LMS + gestión de talento)</w:t>
            </w:r>
          </w:p>
        </w:tc>
        <w:tc>
          <w:tcPr>
            <w:tcW w:w="3249" w:type="dxa"/>
          </w:tcPr>
          <w:p w:rsidR="00AD68A1" w:rsidRPr="003E71AD" w:rsidRDefault="003E7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</w:rPr>
            </w:pPr>
            <w:r w:rsidRPr="003E71AD">
              <w:rPr>
                <w:rFonts w:ascii="Arial" w:hAnsi="Arial" w:cs="Arial"/>
                <w:sz w:val="24"/>
              </w:rPr>
              <w:t>Catálo</w:t>
            </w:r>
            <w:r w:rsidRPr="003E71AD">
              <w:rPr>
                <w:rFonts w:ascii="Arial" w:hAnsi="Arial" w:cs="Arial"/>
                <w:sz w:val="24"/>
              </w:rPr>
              <w:t>go de +1.000 cursos, LMS propio, marca reconocida en RR.HH. LATAM.</w:t>
            </w:r>
          </w:p>
        </w:tc>
        <w:tc>
          <w:tcPr>
            <w:tcW w:w="3249" w:type="dxa"/>
          </w:tcPr>
          <w:p w:rsidR="00AD68A1" w:rsidRPr="003E71AD" w:rsidRDefault="003E7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</w:rPr>
            </w:pPr>
            <w:r w:rsidRPr="003E71AD">
              <w:rPr>
                <w:rFonts w:ascii="Arial" w:hAnsi="Arial" w:cs="Arial"/>
                <w:sz w:val="24"/>
              </w:rPr>
              <w:t>Orientado a empresa mediana-grande; precio de cotización inaccesible para PYME pequeña; sin gamificación social ni feed corporativo ni networking B2B.</w:t>
            </w:r>
          </w:p>
        </w:tc>
      </w:tr>
      <w:tr w:rsidR="00AD68A1" w:rsidRPr="003E71AD" w:rsidTr="00AD68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:rsidR="00AD68A1" w:rsidRPr="003E71AD" w:rsidRDefault="003E71AD">
            <w:pPr>
              <w:rPr>
                <w:rFonts w:ascii="Arial" w:hAnsi="Arial" w:cs="Arial"/>
                <w:sz w:val="24"/>
              </w:rPr>
            </w:pPr>
            <w:r w:rsidRPr="003E71AD">
              <w:rPr>
                <w:rFonts w:ascii="Arial" w:hAnsi="Arial" w:cs="Arial"/>
                <w:sz w:val="24"/>
              </w:rPr>
              <w:t>Buk</w:t>
            </w:r>
            <w:r w:rsidRPr="003E71AD">
              <w:rPr>
                <w:rFonts w:ascii="Arial" w:hAnsi="Arial" w:cs="Arial"/>
                <w:i/>
                <w:sz w:val="24"/>
              </w:rPr>
              <w:t xml:space="preserve">  (Riesgo alto)</w:t>
            </w:r>
          </w:p>
        </w:tc>
        <w:tc>
          <w:tcPr>
            <w:tcW w:w="3249" w:type="dxa"/>
          </w:tcPr>
          <w:p w:rsidR="00AD68A1" w:rsidRPr="003E71AD" w:rsidRDefault="003E71A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</w:rPr>
            </w:pPr>
            <w:r w:rsidRPr="003E71AD">
              <w:rPr>
                <w:rFonts w:ascii="Arial" w:hAnsi="Arial" w:cs="Arial"/>
                <w:sz w:val="24"/>
              </w:rPr>
              <w:t>Nómina, asistencia</w:t>
            </w:r>
            <w:r w:rsidRPr="003E71AD">
              <w:rPr>
                <w:rFonts w:ascii="Arial" w:hAnsi="Arial" w:cs="Arial"/>
                <w:sz w:val="24"/>
              </w:rPr>
              <w:t>, desempeño y cultura en una sola plataforma; muy fuerte en Colombia.</w:t>
            </w:r>
          </w:p>
        </w:tc>
        <w:tc>
          <w:tcPr>
            <w:tcW w:w="3249" w:type="dxa"/>
          </w:tcPr>
          <w:p w:rsidR="00AD68A1" w:rsidRPr="003E71AD" w:rsidRDefault="003E71A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</w:rPr>
            </w:pPr>
            <w:r w:rsidRPr="003E71AD">
              <w:rPr>
                <w:rFonts w:ascii="Arial" w:hAnsi="Arial" w:cs="Arial"/>
                <w:sz w:val="24"/>
              </w:rPr>
              <w:t>Es software de RR.HH., no de aprendizaje; formación es un módulo secundario, sin gamificación real ni IA conversacional; precio alto para PYME pequeña.</w:t>
            </w:r>
          </w:p>
        </w:tc>
      </w:tr>
      <w:tr w:rsidR="00AD68A1" w:rsidRPr="003E71AD" w:rsidTr="00AD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:rsidR="00AD68A1" w:rsidRPr="003E71AD" w:rsidRDefault="003E71AD">
            <w:pPr>
              <w:rPr>
                <w:rFonts w:ascii="Arial" w:hAnsi="Arial" w:cs="Arial"/>
                <w:sz w:val="24"/>
              </w:rPr>
            </w:pPr>
            <w:r w:rsidRPr="003E71AD">
              <w:rPr>
                <w:rFonts w:ascii="Arial" w:hAnsi="Arial" w:cs="Arial"/>
                <w:sz w:val="24"/>
              </w:rPr>
              <w:t>TalentLMS</w:t>
            </w:r>
            <w:r w:rsidRPr="003E71AD">
              <w:rPr>
                <w:rFonts w:ascii="Arial" w:hAnsi="Arial" w:cs="Arial"/>
                <w:i/>
                <w:sz w:val="24"/>
              </w:rPr>
              <w:t xml:space="preserve">  (LMS global)</w:t>
            </w:r>
          </w:p>
        </w:tc>
        <w:tc>
          <w:tcPr>
            <w:tcW w:w="3249" w:type="dxa"/>
          </w:tcPr>
          <w:p w:rsidR="00AD68A1" w:rsidRPr="003E71AD" w:rsidRDefault="003E7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</w:rPr>
            </w:pPr>
            <w:r w:rsidRPr="003E71AD">
              <w:rPr>
                <w:rFonts w:ascii="Arial" w:hAnsi="Arial" w:cs="Arial"/>
                <w:sz w:val="24"/>
              </w:rPr>
              <w:t>Gamificación, cursos, rutas y reportes; precio accesible frente a competidores globales.</w:t>
            </w:r>
          </w:p>
        </w:tc>
        <w:tc>
          <w:tcPr>
            <w:tcW w:w="3249" w:type="dxa"/>
          </w:tcPr>
          <w:p w:rsidR="00AD68A1" w:rsidRPr="003E71AD" w:rsidRDefault="003E7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</w:rPr>
            </w:pPr>
            <w:r w:rsidRPr="003E71AD">
              <w:rPr>
                <w:rFonts w:ascii="Arial" w:hAnsi="Arial" w:cs="Arial"/>
                <w:sz w:val="24"/>
              </w:rPr>
              <w:t>Interfaz parcialmente en inglés; sin feed corporativo, sin IA conversacional, sin networking; no construye cultura.</w:t>
            </w:r>
          </w:p>
        </w:tc>
      </w:tr>
      <w:tr w:rsidR="00AD68A1" w:rsidRPr="003E71AD" w:rsidTr="00AD68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:rsidR="00AD68A1" w:rsidRPr="003E71AD" w:rsidRDefault="003E71AD">
            <w:pPr>
              <w:rPr>
                <w:rFonts w:ascii="Arial" w:hAnsi="Arial" w:cs="Arial"/>
                <w:sz w:val="24"/>
              </w:rPr>
            </w:pPr>
            <w:r w:rsidRPr="003E71AD">
              <w:rPr>
                <w:rFonts w:ascii="Arial" w:hAnsi="Arial" w:cs="Arial"/>
                <w:sz w:val="24"/>
              </w:rPr>
              <w:t>Zalvadora</w:t>
            </w:r>
            <w:r w:rsidRPr="003E71AD">
              <w:rPr>
                <w:rFonts w:ascii="Arial" w:hAnsi="Arial" w:cs="Arial"/>
                <w:i/>
                <w:sz w:val="24"/>
              </w:rPr>
              <w:t xml:space="preserve">  (Más similar)</w:t>
            </w:r>
          </w:p>
        </w:tc>
        <w:tc>
          <w:tcPr>
            <w:tcW w:w="3249" w:type="dxa"/>
          </w:tcPr>
          <w:p w:rsidR="00AD68A1" w:rsidRPr="003E71AD" w:rsidRDefault="003E71A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</w:rPr>
            </w:pPr>
            <w:r w:rsidRPr="003E71AD">
              <w:rPr>
                <w:rFonts w:ascii="Arial" w:hAnsi="Arial" w:cs="Arial"/>
                <w:sz w:val="24"/>
              </w:rPr>
              <w:t>LMS/LXP con red social de</w:t>
            </w:r>
            <w:r w:rsidRPr="003E71AD">
              <w:rPr>
                <w:rFonts w:ascii="Arial" w:hAnsi="Arial" w:cs="Arial"/>
                <w:sz w:val="24"/>
              </w:rPr>
              <w:t xml:space="preserve"> e-learning, gamificación y microlearning vía WhatsApp, en español.</w:t>
            </w:r>
          </w:p>
        </w:tc>
        <w:tc>
          <w:tcPr>
            <w:tcW w:w="3249" w:type="dxa"/>
          </w:tcPr>
          <w:p w:rsidR="00AD68A1" w:rsidRPr="003E71AD" w:rsidRDefault="003E71A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</w:rPr>
            </w:pPr>
            <w:r w:rsidRPr="003E71AD">
              <w:rPr>
                <w:rFonts w:ascii="Arial" w:hAnsi="Arial" w:cs="Arial"/>
                <w:sz w:val="24"/>
              </w:rPr>
              <w:t>Poco conocida fuera del nicho de e-learning; sin networking empresarial ni IA conversacional; se percibe como herramienta técnica, no como ecosistema cultural ni motor de gestión del desem</w:t>
            </w:r>
            <w:r w:rsidRPr="003E71AD">
              <w:rPr>
                <w:rFonts w:ascii="Arial" w:hAnsi="Arial" w:cs="Arial"/>
                <w:sz w:val="24"/>
              </w:rPr>
              <w:t>peño 360°.</w:t>
            </w:r>
          </w:p>
        </w:tc>
      </w:tr>
      <w:tr w:rsidR="00AD68A1" w:rsidRPr="003E71AD" w:rsidTr="00AD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:rsidR="00AD68A1" w:rsidRPr="003E71AD" w:rsidRDefault="003E71AD">
            <w:pPr>
              <w:rPr>
                <w:rFonts w:ascii="Arial" w:hAnsi="Arial" w:cs="Arial"/>
                <w:sz w:val="24"/>
              </w:rPr>
            </w:pPr>
            <w:r w:rsidRPr="003E71AD">
              <w:rPr>
                <w:rFonts w:ascii="Arial" w:hAnsi="Arial" w:cs="Arial"/>
                <w:sz w:val="24"/>
              </w:rPr>
              <w:t>WhatsApp + Excel + Classroom</w:t>
            </w:r>
            <w:r w:rsidRPr="003E71AD">
              <w:rPr>
                <w:rFonts w:ascii="Arial" w:hAnsi="Arial" w:cs="Arial"/>
                <w:i/>
                <w:sz w:val="24"/>
              </w:rPr>
              <w:t xml:space="preserve">  (Competidor real)</w:t>
            </w:r>
          </w:p>
        </w:tc>
        <w:tc>
          <w:tcPr>
            <w:tcW w:w="3249" w:type="dxa"/>
          </w:tcPr>
          <w:p w:rsidR="00AD68A1" w:rsidRPr="003E71AD" w:rsidRDefault="003E7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</w:rPr>
            </w:pPr>
            <w:r w:rsidRPr="003E71AD">
              <w:rPr>
                <w:rFonts w:ascii="Arial" w:hAnsi="Arial" w:cs="Arial"/>
                <w:sz w:val="24"/>
              </w:rPr>
              <w:t>Costo cero, ya instalado, todos lo usan.</w:t>
            </w:r>
          </w:p>
        </w:tc>
        <w:tc>
          <w:tcPr>
            <w:tcW w:w="3249" w:type="dxa"/>
          </w:tcPr>
          <w:p w:rsidR="00AD68A1" w:rsidRPr="003E71AD" w:rsidRDefault="003E7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</w:rPr>
            </w:pPr>
            <w:r w:rsidRPr="003E71AD">
              <w:rPr>
                <w:rFonts w:ascii="Arial" w:hAnsi="Arial" w:cs="Arial"/>
                <w:sz w:val="24"/>
              </w:rPr>
              <w:t>Sin trazabilidad, sin reportes, sin gamificación, sin cultura construida — la inercia es el verdadero rival a vencer, no los LMS.</w:t>
            </w:r>
          </w:p>
        </w:tc>
      </w:tr>
    </w:tbl>
    <w:p w:rsidR="00AD68A1" w:rsidRPr="003E71AD" w:rsidRDefault="00AD68A1">
      <w:pPr>
        <w:rPr>
          <w:rFonts w:ascii="Arial" w:hAnsi="Arial" w:cs="Arial"/>
          <w:sz w:val="24"/>
        </w:rPr>
      </w:pPr>
    </w:p>
    <w:p w:rsidR="00AD68A1" w:rsidRPr="003E71AD" w:rsidRDefault="003E71AD">
      <w:pPr>
        <w:rPr>
          <w:rFonts w:ascii="Arial" w:hAnsi="Arial" w:cs="Arial"/>
          <w:sz w:val="24"/>
        </w:rPr>
      </w:pPr>
      <w:r w:rsidRPr="003E71AD">
        <w:rPr>
          <w:rFonts w:ascii="Arial" w:hAnsi="Arial" w:cs="Arial"/>
          <w:b/>
          <w:sz w:val="24"/>
        </w:rPr>
        <w:t xml:space="preserve">La ventana de entrada: </w:t>
      </w:r>
      <w:r w:rsidRPr="003E71AD">
        <w:rPr>
          <w:rFonts w:ascii="Arial" w:hAnsi="Arial" w:cs="Arial"/>
          <w:sz w:val="24"/>
        </w:rPr>
        <w:t>ningún jugador actual combina gestión del desempeño 360° + formación gamificada + cultura organizacional + comunidad empresarial, 100% en español y diseñado para PYME de 10–150 personas. Crehana y Buk apuntan a empresa mediana-grande; TalentLMS es frío y e</w:t>
      </w:r>
      <w:r w:rsidRPr="003E71AD">
        <w:rPr>
          <w:rFonts w:ascii="Arial" w:hAnsi="Arial" w:cs="Arial"/>
          <w:sz w:val="24"/>
        </w:rPr>
        <w:t>n inglés; Zalvadora es técnica, no evaluativa ni cultural. Este modelo ocupa ese espacio vacío.</w:t>
      </w:r>
    </w:p>
    <w:p w:rsidR="00AD68A1" w:rsidRPr="003E71AD" w:rsidRDefault="003E71AD">
      <w:pPr>
        <w:rPr>
          <w:rFonts w:ascii="Arial" w:hAnsi="Arial" w:cs="Arial"/>
          <w:sz w:val="24"/>
        </w:rPr>
      </w:pPr>
      <w:proofErr w:type="spellStart"/>
      <w:r w:rsidRPr="003E71AD">
        <w:rPr>
          <w:rFonts w:ascii="Arial" w:hAnsi="Arial" w:cs="Arial"/>
          <w:color w:val="5C6B63"/>
          <w:sz w:val="20"/>
        </w:rPr>
        <w:t>Alianza</w:t>
      </w:r>
      <w:proofErr w:type="spellEnd"/>
      <w:r w:rsidRPr="003E71AD">
        <w:rPr>
          <w:rFonts w:ascii="Arial" w:hAnsi="Arial" w:cs="Arial"/>
          <w:color w:val="5C6B63"/>
          <w:sz w:val="20"/>
        </w:rPr>
        <w:t xml:space="preserve"> Flowando, Nexus Soluciones Empresariales y V&amp;E — Espiral </w:t>
      </w:r>
      <w:proofErr w:type="spellStart"/>
      <w:r w:rsidRPr="003E71AD">
        <w:rPr>
          <w:rFonts w:ascii="Arial" w:hAnsi="Arial" w:cs="Arial"/>
          <w:color w:val="5C6B63"/>
          <w:sz w:val="20"/>
        </w:rPr>
        <w:t>Evolutiva</w:t>
      </w:r>
      <w:proofErr w:type="spellEnd"/>
      <w:r w:rsidRPr="003E71AD">
        <w:rPr>
          <w:rFonts w:ascii="Arial" w:hAnsi="Arial" w:cs="Arial"/>
          <w:color w:val="5C6B63"/>
          <w:sz w:val="20"/>
        </w:rPr>
        <w:t xml:space="preserve"> 360° + </w:t>
      </w:r>
      <w:proofErr w:type="spellStart"/>
      <w:r w:rsidRPr="003E71AD">
        <w:rPr>
          <w:rFonts w:ascii="Arial" w:hAnsi="Arial" w:cs="Arial"/>
          <w:color w:val="5C6B63"/>
          <w:sz w:val="20"/>
        </w:rPr>
        <w:t>Nexa</w:t>
      </w:r>
      <w:proofErr w:type="spellEnd"/>
      <w:r>
        <w:rPr>
          <w:rFonts w:ascii="Arial" w:hAnsi="Arial" w:cs="Arial"/>
          <w:color w:val="5C6B63"/>
          <w:sz w:val="20"/>
        </w:rPr>
        <w:t>.</w:t>
      </w:r>
      <w:bookmarkStart w:id="0" w:name="_GoBack"/>
      <w:bookmarkEnd w:id="0"/>
      <w:r>
        <w:rPr>
          <w:rFonts w:ascii="Arial" w:hAnsi="Arial" w:cs="Arial"/>
          <w:color w:val="5C6B63"/>
          <w:sz w:val="20"/>
        </w:rPr>
        <w:t xml:space="preserve"> </w:t>
      </w:r>
      <w:proofErr w:type="spellStart"/>
      <w:r w:rsidRPr="003E71AD">
        <w:rPr>
          <w:rFonts w:ascii="Arial" w:hAnsi="Arial" w:cs="Arial"/>
          <w:color w:val="5C6B63"/>
          <w:sz w:val="20"/>
        </w:rPr>
        <w:t>Basado</w:t>
      </w:r>
      <w:proofErr w:type="spellEnd"/>
      <w:r w:rsidRPr="003E71AD">
        <w:rPr>
          <w:rFonts w:ascii="Arial" w:hAnsi="Arial" w:cs="Arial"/>
          <w:color w:val="5C6B63"/>
          <w:sz w:val="20"/>
        </w:rPr>
        <w:t xml:space="preserve"> </w:t>
      </w:r>
      <w:proofErr w:type="spellStart"/>
      <w:r w:rsidRPr="003E71AD">
        <w:rPr>
          <w:rFonts w:ascii="Arial" w:hAnsi="Arial" w:cs="Arial"/>
          <w:color w:val="5C6B63"/>
          <w:sz w:val="20"/>
        </w:rPr>
        <w:t>en</w:t>
      </w:r>
      <w:proofErr w:type="spellEnd"/>
      <w:r w:rsidRPr="003E71AD">
        <w:rPr>
          <w:rFonts w:ascii="Arial" w:hAnsi="Arial" w:cs="Arial"/>
          <w:color w:val="5C6B63"/>
          <w:sz w:val="20"/>
        </w:rPr>
        <w:t xml:space="preserve"> la Propuesta de Alianza, la Especificación Funcional del Aplic</w:t>
      </w:r>
      <w:r w:rsidRPr="003E71AD">
        <w:rPr>
          <w:rFonts w:ascii="Arial" w:hAnsi="Arial" w:cs="Arial"/>
          <w:color w:val="5C6B63"/>
          <w:sz w:val="20"/>
        </w:rPr>
        <w:t>ativo, el Modelo Canvas de Nexa y el mapa de competencia — julio 2026</w:t>
      </w:r>
    </w:p>
    <w:sectPr w:rsidR="00AD68A1" w:rsidRPr="003E71AD" w:rsidSect="003E71AD">
      <w:pgSz w:w="12240" w:h="15840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1AD"/>
    <w:rsid w:val="00AA1D8D"/>
    <w:rsid w:val="00AD68A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21E27A"/>
  <w14:defaultImageDpi w14:val="300"/>
  <w15:docId w15:val="{C9E48AE0-3686-455F-8F06-7E2B0B86D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1824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B116DD-2CDE-400E-923C-FDB87B8F8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1839</Words>
  <Characters>10118</Characters>
  <Application>Microsoft Office Word</Application>
  <DocSecurity>0</DocSecurity>
  <Lines>84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2026-07-25T01:30:00Z</dcterms:modified>
  <cp:category/>
</cp:coreProperties>
</file>