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7C3AED"/>
          <w:sz w:val="44"/>
          <w:szCs w:val="44"/>
        </w:rPr>
        <w:t xml:space="preserve">Plan de Capacitación 2026</w:t>
      </w:r>
    </w:p>
    <w:p>
      <w:pPr>
        <w:spacing w:after="100"/>
      </w:pPr>
      <w:r>
        <w:rPr>
          <w:b/>
          <w:bCs/>
          <w:sz w:val="30"/>
          <w:szCs w:val="30"/>
        </w:rPr>
        <w:t xml:space="preserve">Mármoles y Servicios</w:t>
      </w:r>
    </w:p>
    <w:p>
      <w:pPr>
        <w:spacing w:after="120"/>
      </w:pPr>
      <w:r>
        <w:rPr>
          <w:b w:val="false"/>
          <w:bCs w:val="false"/>
          <w:i/>
          <w:iCs/>
          <w:color w:val="6B7280"/>
          <w:sz w:val="21"/>
          <w:szCs w:val="21"/>
        </w:rPr>
        <w:t xml:space="preserve">Propuesta consolidada a partir del diagnóstico de necesidades por área, con fichas explícitas por tema y una propuesta de agrupación para reducir la carga de capacitaciones sin dejar ningún tema sin cubrir.</w:t>
      </w:r>
    </w:p>
    <w:p>
      <w:pPr>
        <w:spacing w:after="120"/>
      </w:pPr>
      <w:r>
        <w:rPr>
          <w:b w:val="false"/>
          <w:bCs w:val="false"/>
          <w:i w:val="false"/>
          <w:iCs w:val="false"/>
          <w:color w:val="6B7280"/>
          <w:sz w:val="19"/>
          <w:szCs w:val="19"/>
        </w:rPr>
        <w:t xml:space="preserve">Preparado para: Talento Humano — Mármoles y Servicios</w:t>
      </w:r>
    </w:p>
    <w:p>
      <w:pPr>
        <w:pStyle w:val="Heading1"/>
        <w:spacing w:after="200" w:before="400"/>
      </w:pPr>
      <w:r>
        <w:t xml:space="preserve">1. Contexto organizacional: por qué este plan llega en este momento</w:t>
      </w:r>
    </w:p>
    <w:p>
      <w:pPr>
        <w:spacing w:after="120"/>
      </w:pPr>
      <w:r>
        <w:rPr>
          <w:b w:val="false"/>
          <w:bCs w:val="false"/>
          <w:i w:val="false"/>
          <w:iCs w:val="false"/>
          <w:sz w:val="21"/>
          <w:szCs w:val="21"/>
        </w:rPr>
        <w:t xml:space="preserve">Mármoles y Servicios está atravesando una transición organizacional real, no solo un ajuste de procesos. Hay relevo generacional en la gerencia: una estructura de dirección que se sostuvo por muchos años da paso a un liderazgo más joven, con otra forma de tomar decisiones y de relacionarse con los equipos. En paralelo, se están estableciendo normativas y controles nuevos —formalizando procesos que antes dependían más de la costumbre o del criterio individual de cada líder— y se está apostando por más acompañamiento formacional: no capacitar una sola vez y dejarlo ahí, sino sostener el aprendizaje en el tiempo.</w:t>
      </w:r>
    </w:p>
    <w:p>
      <w:pPr>
        <w:spacing w:after="120"/>
      </w:pPr>
      <w:r>
        <w:rPr>
          <w:b w:val="false"/>
          <w:bCs w:val="false"/>
          <w:i w:val="false"/>
          <w:iCs w:val="false"/>
          <w:sz w:val="21"/>
          <w:szCs w:val="21"/>
        </w:rPr>
        <w:t xml:space="preserve">Este contexto no es un tema aislado del diagnóstico de necesidades — es la razón de fondo por la que casi todos los temas identificados (KPIs, procesos disciplinarios, control de inventarios, gestión del cambio) cobran urgencia ahora: una organización que cambia su forma de liderar necesita, al mismo tiempo, formalizar cómo mide, cómo controla y cómo acompaña a su gente. Por eso este plan no trata la gestión del cambio como un tema más de la lista, sino como el eje que atraviesa el Programa 1 (Escuela de Líderes) y el Programa 8 (sensibilización general), y como un criterio que se aplicó al proponer la modalidad de cada programa (ver sección 6, "Acompañamiento formacional").</w:t>
      </w:r>
    </w:p>
    <w:p>
      <w:pPr>
        <w:pStyle w:val="Heading1"/>
        <w:spacing w:after="200" w:before="400"/>
      </w:pPr>
      <w:r>
        <w:t xml:space="preserve">2. Cómo leer este documento</w:t>
      </w:r>
    </w:p>
    <w:p>
      <w:pPr>
        <w:spacing w:after="120"/>
      </w:pPr>
      <w:r>
        <w:rPr>
          <w:b w:val="false"/>
          <w:bCs w:val="false"/>
          <w:i w:val="false"/>
          <w:iCs w:val="false"/>
          <w:sz w:val="21"/>
          <w:szCs w:val="21"/>
        </w:rPr>
        <w:t xml:space="preserve">Este plan responde a dos preguntas: (1) ¿qué se necesita capacitar y cómo, tema por tema? y (2) ¿cómo se hace esto sin saturar la agenda del personal ni la de Talento Humano?</w:t>
      </w:r>
    </w:p>
    <w:p>
      <w:pPr>
        <w:spacing w:after="120"/>
      </w:pPr>
      <w:r>
        <w:rPr>
          <w:b w:val="false"/>
          <w:bCs w:val="false"/>
          <w:i w:val="false"/>
          <w:iCs w:val="false"/>
          <w:sz w:val="21"/>
          <w:szCs w:val="21"/>
        </w:rPr>
        <w:t xml:space="preserve">Para responder la primera, cada uno de los 18 temas identificados en el diagnóstico original tiene una ficha explícita: objetivo, contenido temático, público, modalidad/duración sugerida y prioridad. También se agregaron 3 temas transversales solicitados de forma explícita: gestión del cambio (para líderes y para el resto del personal, con dos enfoques distintos) y análisis y gestión de problemas para líderes.</w:t>
      </w:r>
    </w:p>
    <w:p>
      <w:pPr>
        <w:spacing w:after="120"/>
      </w:pPr>
      <w:r>
        <w:rPr>
          <w:b w:val="false"/>
          <w:bCs w:val="false"/>
          <w:i w:val="false"/>
          <w:iCs w:val="false"/>
          <w:sz w:val="21"/>
          <w:szCs w:val="21"/>
        </w:rPr>
        <w:t xml:space="preserve">Para responder la segunda —la inquietud de Talento Humano de "no llenarse de capacitaciones"— se identificaron los temas que, por compartir audiencia, contenido o momento del proceso, se pueden dictar juntos en un solo programa en vez de contratarlos por separado. El resultado: de 21 temas se pasa a 8 programas para agendar.</w:t>
      </w:r>
    </w:p>
    <w:p>
      <w:pPr>
        <w:pStyle w:val="Heading1"/>
        <w:spacing w:after="200" w:before="400"/>
      </w:pPr>
      <w:r>
        <w:t xml:space="preserve">3. Resumen ejecutivo: de 21 temas a 8 programas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tcBorders>
              <w:top w:val="single" w:color="D1D5DB" w:sz="2"/>
              <w:left w:val="single" w:color="D1D5DB" w:sz="2"/>
              <w:bottom w:val="single" w:color="D1D5DB" w:sz="2"/>
              <w:right w:val="single" w:color="D1D5DB" w:sz="2"/>
            </w:tcBorders>
            <w:shd w:fill="7C3AED" w:val="clear"/>
            <w:tcMar>
              <w:top w:type="dxa" w:w="80"/>
              <w:left w:type="dxa" w:w="80"/>
              <w:bottom w:type="dxa" w:w="80"/>
              <w:right w:type="dxa" w:w="80"/>
            </w:tcMar>
            <w:vAlign w:val="center"/>
          </w:tcPr>
          <w:p>
            <w:r>
              <w:rPr>
                <w:b/>
                <w:bCs/>
                <w:color w:val="FFFFFF"/>
                <w:sz w:val="18"/>
                <w:szCs w:val="18"/>
              </w:rPr>
              <w:t xml:space="preserve">Programa</w:t>
            </w:r>
          </w:p>
        </w:tc>
        <w:tc>
          <w:tcPr>
            <w:tcW w:type="pct" w:w="35%"/>
            <w:tcBorders>
              <w:top w:val="single" w:color="D1D5DB" w:sz="2"/>
              <w:left w:val="single" w:color="D1D5DB" w:sz="2"/>
              <w:bottom w:val="single" w:color="D1D5DB" w:sz="2"/>
              <w:right w:val="single" w:color="D1D5DB" w:sz="2"/>
            </w:tcBorders>
            <w:shd w:fill="7C3AED" w:val="clear"/>
            <w:tcMar>
              <w:top w:type="dxa" w:w="80"/>
              <w:left w:type="dxa" w:w="80"/>
              <w:bottom w:type="dxa" w:w="80"/>
              <w:right w:type="dxa" w:w="80"/>
            </w:tcMar>
            <w:vAlign w:val="center"/>
          </w:tcPr>
          <w:p>
            <w:r>
              <w:rPr>
                <w:b/>
                <w:bCs/>
                <w:color w:val="FFFFFF"/>
                <w:sz w:val="18"/>
                <w:szCs w:val="18"/>
              </w:rPr>
              <w:t xml:space="preserve">Temas que agrupa</w:t>
            </w:r>
          </w:p>
        </w:tc>
        <w:tc>
          <w:tcPr>
            <w:tcW w:type="pct" w:w="12%"/>
            <w:tcBorders>
              <w:top w:val="single" w:color="D1D5DB" w:sz="2"/>
              <w:left w:val="single" w:color="D1D5DB" w:sz="2"/>
              <w:bottom w:val="single" w:color="D1D5DB" w:sz="2"/>
              <w:right w:val="single" w:color="D1D5DB" w:sz="2"/>
            </w:tcBorders>
            <w:shd w:fill="7C3AED" w:val="clear"/>
            <w:tcMar>
              <w:top w:type="dxa" w:w="80"/>
              <w:left w:type="dxa" w:w="80"/>
              <w:bottom w:type="dxa" w:w="80"/>
              <w:right w:type="dxa" w:w="80"/>
            </w:tcMar>
            <w:vAlign w:val="center"/>
          </w:tcPr>
          <w:p>
            <w:r>
              <w:rPr>
                <w:b/>
                <w:bCs/>
                <w:color w:val="FFFFFF"/>
                <w:sz w:val="18"/>
                <w:szCs w:val="18"/>
              </w:rPr>
              <w:t xml:space="preserve">Ítems originales</w:t>
            </w:r>
          </w:p>
        </w:tc>
        <w:tc>
          <w:tcPr>
            <w:tcW w:type="pct" w:w="13%"/>
            <w:tcBorders>
              <w:top w:val="single" w:color="D1D5DB" w:sz="2"/>
              <w:left w:val="single" w:color="D1D5DB" w:sz="2"/>
              <w:bottom w:val="single" w:color="D1D5DB" w:sz="2"/>
              <w:right w:val="single" w:color="D1D5DB" w:sz="2"/>
            </w:tcBorders>
            <w:shd w:fill="7C3AED" w:val="clear"/>
            <w:tcMar>
              <w:top w:type="dxa" w:w="80"/>
              <w:left w:type="dxa" w:w="80"/>
              <w:bottom w:type="dxa" w:w="80"/>
              <w:right w:type="dxa" w:w="80"/>
            </w:tcMar>
            <w:vAlign w:val="center"/>
          </w:tcPr>
          <w:p>
            <w:r>
              <w:rPr>
                <w:b/>
                <w:bCs/>
                <w:color w:val="FFFFFF"/>
                <w:sz w:val="18"/>
                <w:szCs w:val="18"/>
              </w:rPr>
              <w:t xml:space="preserve">Duración estimada</w:t>
            </w:r>
          </w:p>
        </w:tc>
        <w:tc>
          <w:tcPr>
            <w:tcW w:type="pct" w:w="10%"/>
            <w:tcBorders>
              <w:top w:val="single" w:color="D1D5DB" w:sz="2"/>
              <w:left w:val="single" w:color="D1D5DB" w:sz="2"/>
              <w:bottom w:val="single" w:color="D1D5DB" w:sz="2"/>
              <w:right w:val="single" w:color="D1D5DB" w:sz="2"/>
            </w:tcBorders>
            <w:shd w:fill="7C3AED" w:val="clear"/>
            <w:tcMar>
              <w:top w:type="dxa" w:w="80"/>
              <w:left w:type="dxa" w:w="80"/>
              <w:bottom w:type="dxa" w:w="80"/>
              <w:right w:type="dxa" w:w="80"/>
            </w:tcMar>
            <w:vAlign w:val="center"/>
          </w:tcPr>
          <w:p>
            <w:r>
              <w:rPr>
                <w:b/>
                <w:bCs/>
                <w:color w:val="FFFFFF"/>
                <w:sz w:val="18"/>
                <w:szCs w:val="18"/>
              </w:rPr>
              <w:t xml:space="preserve">Prioridad</w:t>
            </w:r>
          </w:p>
        </w:tc>
      </w:tr>
      <w:tr>
        <w:tc>
          <w:tcPr>
            <w:tcW w:type="pct" w:w="3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b/>
                <w:bCs/>
                <w:sz w:val="18"/>
                <w:szCs w:val="18"/>
              </w:rPr>
              <w:t xml:space="preserve">1. Escuela de Líderes</w:t>
            </w:r>
          </w:p>
        </w:tc>
        <w:tc>
          <w:tcPr>
            <w:tcW w:type="pct" w:w="35%"/>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Liderazgo estratégico · KPIs · Gestión del cambio · Análisis y gestión de problemas</w:t>
            </w:r>
          </w:p>
        </w:tc>
        <w:tc>
          <w:tcPr>
            <w:tcW w:type="pct" w:w="12%"/>
            <w:tcBorders>
              <w:top w:val="single" w:color="D1D5DB" w:sz="2"/>
              <w:left w:val="single" w:color="D1D5DB" w:sz="2"/>
              <w:bottom w:val="single" w:color="D1D5DB" w:sz="2"/>
              <w:right w:val="single" w:color="D1D5DB" w:sz="2"/>
            </w:tcBorders>
            <w:tcMar>
              <w:top w:type="dxa" w:w="60"/>
              <w:left w:type="dxa" w:w="80"/>
              <w:bottom w:type="dxa" w:w="60"/>
              <w:right w:type="dxa" w:w="80"/>
            </w:tcMar>
          </w:tcPr>
          <w:p>
            <w:pPr>
              <w:jc w:val="center"/>
            </w:pPr>
            <w:r>
              <w:rPr>
                <w:sz w:val="18"/>
                <w:szCs w:val="18"/>
              </w:rPr>
              <w:t xml:space="preserve">4</w:t>
            </w:r>
          </w:p>
        </w:tc>
        <w:tc>
          <w:tcPr>
            <w:tcW w:type="pct" w:w="13%"/>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4 módulos (32 h)</w:t>
            </w:r>
          </w:p>
        </w:tc>
        <w:tc>
          <w:tcPr>
            <w:tcW w:type="pct" w:w="1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Alta</w:t>
            </w:r>
          </w:p>
        </w:tc>
      </w:tr>
      <w:tr>
        <w:tc>
          <w:tcPr>
            <w:tcW w:type="pct" w:w="3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b/>
                <w:bCs/>
                <w:sz w:val="18"/>
                <w:szCs w:val="18"/>
              </w:rPr>
              <w:t xml:space="preserve">2. Productividad y Transformación Digital</w:t>
            </w:r>
          </w:p>
        </w:tc>
        <w:tc>
          <w:tcPr>
            <w:tcW w:type="pct" w:w="35%"/>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Administración del tiempo · IA + Excel/Power BI/M365</w:t>
            </w:r>
          </w:p>
        </w:tc>
        <w:tc>
          <w:tcPr>
            <w:tcW w:type="pct" w:w="12%"/>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pPr>
              <w:jc w:val="center"/>
            </w:pPr>
            <w:r>
              <w:rPr>
                <w:sz w:val="18"/>
                <w:szCs w:val="18"/>
              </w:rPr>
              <w:t xml:space="preserve">3</w:t>
            </w:r>
          </w:p>
        </w:tc>
        <w:tc>
          <w:tcPr>
            <w:tcW w:type="pct" w:w="13%"/>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2 sesiones (20 h)</w:t>
            </w:r>
          </w:p>
        </w:tc>
        <w:tc>
          <w:tcPr>
            <w:tcW w:type="pct" w:w="1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Alta</w:t>
            </w:r>
          </w:p>
        </w:tc>
      </w:tr>
      <w:tr>
        <w:tc>
          <w:tcPr>
            <w:tcW w:type="pct" w:w="3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b/>
                <w:bCs/>
                <w:sz w:val="18"/>
                <w:szCs w:val="18"/>
              </w:rPr>
              <w:t xml:space="preserve">3. Gestión Humana Legal y Atracción de Talento</w:t>
            </w:r>
          </w:p>
        </w:tc>
        <w:tc>
          <w:tcPr>
            <w:tcW w:type="pct" w:w="35%"/>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Procesos disciplinarios · Selección y reclutamiento</w:t>
            </w:r>
          </w:p>
        </w:tc>
        <w:tc>
          <w:tcPr>
            <w:tcW w:type="pct" w:w="12%"/>
            <w:tcBorders>
              <w:top w:val="single" w:color="D1D5DB" w:sz="2"/>
              <w:left w:val="single" w:color="D1D5DB" w:sz="2"/>
              <w:bottom w:val="single" w:color="D1D5DB" w:sz="2"/>
              <w:right w:val="single" w:color="D1D5DB" w:sz="2"/>
            </w:tcBorders>
            <w:tcMar>
              <w:top w:type="dxa" w:w="60"/>
              <w:left w:type="dxa" w:w="80"/>
              <w:bottom w:type="dxa" w:w="60"/>
              <w:right w:type="dxa" w:w="80"/>
            </w:tcMar>
          </w:tcPr>
          <w:p>
            <w:pPr>
              <w:jc w:val="center"/>
            </w:pPr>
            <w:r>
              <w:rPr>
                <w:sz w:val="18"/>
                <w:szCs w:val="18"/>
              </w:rPr>
              <w:t xml:space="preserve">3</w:t>
            </w:r>
          </w:p>
        </w:tc>
        <w:tc>
          <w:tcPr>
            <w:tcW w:type="pct" w:w="13%"/>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2 sesiones (20 h)</w:t>
            </w:r>
          </w:p>
        </w:tc>
        <w:tc>
          <w:tcPr>
            <w:tcW w:type="pct" w:w="1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Alta</w:t>
            </w:r>
          </w:p>
        </w:tc>
      </w:tr>
      <w:tr>
        <w:tc>
          <w:tcPr>
            <w:tcW w:type="pct" w:w="3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b/>
                <w:bCs/>
                <w:sz w:val="18"/>
                <w:szCs w:val="18"/>
              </w:rPr>
              <w:t xml:space="preserve">4. Escuela Financiera y Contable</w:t>
            </w:r>
          </w:p>
        </w:tc>
        <w:tc>
          <w:tcPr>
            <w:tcW w:type="pct" w:w="35%"/>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Actualización tributaria/NIIF · Finanzas para la toma de decisiones</w:t>
            </w:r>
          </w:p>
        </w:tc>
        <w:tc>
          <w:tcPr>
            <w:tcW w:type="pct" w:w="12%"/>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pPr>
              <w:jc w:val="center"/>
            </w:pPr>
            <w:r>
              <w:rPr>
                <w:sz w:val="18"/>
                <w:szCs w:val="18"/>
              </w:rPr>
              <w:t xml:space="preserve">3</w:t>
            </w:r>
          </w:p>
        </w:tc>
        <w:tc>
          <w:tcPr>
            <w:tcW w:type="pct" w:w="13%"/>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2 programas (24 h)</w:t>
            </w:r>
          </w:p>
        </w:tc>
        <w:tc>
          <w:tcPr>
            <w:tcW w:type="pct" w:w="1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Alta / Media</w:t>
            </w:r>
          </w:p>
        </w:tc>
      </w:tr>
      <w:tr>
        <w:tc>
          <w:tcPr>
            <w:tcW w:type="pct" w:w="3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b/>
                <w:bCs/>
                <w:sz w:val="18"/>
                <w:szCs w:val="18"/>
              </w:rPr>
              <w:t xml:space="preserve">5. Excelencia en Inventarios y Logística</w:t>
            </w:r>
          </w:p>
        </w:tc>
        <w:tc>
          <w:tcPr>
            <w:tcW w:type="pct" w:w="35%"/>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Control y trazabilidad de inventarios · Layout de bodegas</w:t>
            </w:r>
          </w:p>
        </w:tc>
        <w:tc>
          <w:tcPr>
            <w:tcW w:type="pct" w:w="12%"/>
            <w:tcBorders>
              <w:top w:val="single" w:color="D1D5DB" w:sz="2"/>
              <w:left w:val="single" w:color="D1D5DB" w:sz="2"/>
              <w:bottom w:val="single" w:color="D1D5DB" w:sz="2"/>
              <w:right w:val="single" w:color="D1D5DB" w:sz="2"/>
            </w:tcBorders>
            <w:tcMar>
              <w:top w:type="dxa" w:w="60"/>
              <w:left w:type="dxa" w:w="80"/>
              <w:bottom w:type="dxa" w:w="60"/>
              <w:right w:type="dxa" w:w="80"/>
            </w:tcMar>
          </w:tcPr>
          <w:p>
            <w:pPr>
              <w:jc w:val="center"/>
            </w:pPr>
            <w:r>
              <w:rPr>
                <w:sz w:val="18"/>
                <w:szCs w:val="18"/>
              </w:rPr>
              <w:t xml:space="preserve">3</w:t>
            </w:r>
          </w:p>
        </w:tc>
        <w:tc>
          <w:tcPr>
            <w:tcW w:type="pct" w:w="13%"/>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2 programas (24 h)</w:t>
            </w:r>
          </w:p>
        </w:tc>
        <w:tc>
          <w:tcPr>
            <w:tcW w:type="pct" w:w="1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Alta / Media</w:t>
            </w:r>
          </w:p>
        </w:tc>
      </w:tr>
      <w:tr>
        <w:tc>
          <w:tcPr>
            <w:tcW w:type="pct" w:w="3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b/>
                <w:bCs/>
                <w:sz w:val="18"/>
                <w:szCs w:val="18"/>
              </w:rPr>
              <w:t xml:space="preserve">6. Producción: Eficiencia y Calidad</w:t>
            </w:r>
          </w:p>
        </w:tc>
        <w:tc>
          <w:tcPr>
            <w:tcW w:type="pct" w:w="35%"/>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Lean Manufacturing + herramientas de calidad</w:t>
            </w:r>
          </w:p>
        </w:tc>
        <w:tc>
          <w:tcPr>
            <w:tcW w:type="pct" w:w="12%"/>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pPr>
              <w:jc w:val="center"/>
            </w:pPr>
            <w:r>
              <w:rPr>
                <w:sz w:val="18"/>
                <w:szCs w:val="18"/>
              </w:rPr>
              <w:t xml:space="preserve">2</w:t>
            </w:r>
          </w:p>
        </w:tc>
        <w:tc>
          <w:tcPr>
            <w:tcW w:type="pct" w:w="13%"/>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1 programa (16 h)</w:t>
            </w:r>
          </w:p>
        </w:tc>
        <w:tc>
          <w:tcPr>
            <w:tcW w:type="pct" w:w="1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Media</w:t>
            </w:r>
          </w:p>
        </w:tc>
      </w:tr>
      <w:tr>
        <w:tc>
          <w:tcPr>
            <w:tcW w:type="pct" w:w="3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b/>
                <w:bCs/>
                <w:sz w:val="18"/>
                <w:szCs w:val="18"/>
              </w:rPr>
              <w:t xml:space="preserve">7. Ciclo Comercial</w:t>
            </w:r>
          </w:p>
        </w:tc>
        <w:tc>
          <w:tcPr>
            <w:tcW w:type="pct" w:w="35%"/>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Negociación consultiva + servicio al cliente</w:t>
            </w:r>
          </w:p>
        </w:tc>
        <w:tc>
          <w:tcPr>
            <w:tcW w:type="pct" w:w="12%"/>
            <w:tcBorders>
              <w:top w:val="single" w:color="D1D5DB" w:sz="2"/>
              <w:left w:val="single" w:color="D1D5DB" w:sz="2"/>
              <w:bottom w:val="single" w:color="D1D5DB" w:sz="2"/>
              <w:right w:val="single" w:color="D1D5DB" w:sz="2"/>
            </w:tcBorders>
            <w:tcMar>
              <w:top w:type="dxa" w:w="60"/>
              <w:left w:type="dxa" w:w="80"/>
              <w:bottom w:type="dxa" w:w="60"/>
              <w:right w:type="dxa" w:w="80"/>
            </w:tcMar>
          </w:tcPr>
          <w:p>
            <w:pPr>
              <w:jc w:val="center"/>
            </w:pPr>
            <w:r>
              <w:rPr>
                <w:sz w:val="18"/>
                <w:szCs w:val="18"/>
              </w:rPr>
              <w:t xml:space="preserve">2</w:t>
            </w:r>
          </w:p>
        </w:tc>
        <w:tc>
          <w:tcPr>
            <w:tcW w:type="pct" w:w="13%"/>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1 programa (12 h)</w:t>
            </w:r>
          </w:p>
        </w:tc>
        <w:tc>
          <w:tcPr>
            <w:tcW w:type="pct" w:w="10%"/>
            <w:tcBorders>
              <w:top w:val="single" w:color="D1D5DB" w:sz="2"/>
              <w:left w:val="single" w:color="D1D5DB" w:sz="2"/>
              <w:bottom w:val="single" w:color="D1D5DB" w:sz="2"/>
              <w:right w:val="single" w:color="D1D5DB" w:sz="2"/>
            </w:tcBorders>
            <w:tcMar>
              <w:top w:type="dxa" w:w="60"/>
              <w:left w:type="dxa" w:w="80"/>
              <w:bottom w:type="dxa" w:w="60"/>
              <w:right w:type="dxa" w:w="80"/>
            </w:tcMar>
          </w:tcPr>
          <w:p>
            <w:r>
              <w:rPr>
                <w:sz w:val="18"/>
                <w:szCs w:val="18"/>
              </w:rPr>
              <w:t xml:space="preserve">Media</w:t>
            </w:r>
          </w:p>
        </w:tc>
      </w:tr>
      <w:tr>
        <w:tc>
          <w:tcPr>
            <w:tcW w:type="pct" w:w="3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b/>
                <w:bCs/>
                <w:sz w:val="18"/>
                <w:szCs w:val="18"/>
              </w:rPr>
              <w:t xml:space="preserve">8. Gestión del cambio — sensibilización general</w:t>
            </w:r>
          </w:p>
        </w:tc>
        <w:tc>
          <w:tcPr>
            <w:tcW w:type="pct" w:w="35%"/>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Todo el personal (no líderes)</w:t>
            </w:r>
          </w:p>
        </w:tc>
        <w:tc>
          <w:tcPr>
            <w:tcW w:type="pct" w:w="12%"/>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pPr>
              <w:jc w:val="center"/>
            </w:pPr>
            <w:r>
              <w:rPr>
                <w:sz w:val="18"/>
                <w:szCs w:val="18"/>
              </w:rPr>
              <w:t xml:space="preserve">1</w:t>
            </w:r>
          </w:p>
        </w:tc>
        <w:tc>
          <w:tcPr>
            <w:tcW w:type="pct" w:w="13%"/>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1 sesión (2 h)</w:t>
            </w:r>
          </w:p>
        </w:tc>
        <w:tc>
          <w:tcPr>
            <w:tcW w:type="pct" w:w="10%"/>
            <w:tcBorders>
              <w:top w:val="single" w:color="D1D5DB" w:sz="2"/>
              <w:left w:val="single" w:color="D1D5DB" w:sz="2"/>
              <w:bottom w:val="single" w:color="D1D5DB" w:sz="2"/>
              <w:right w:val="single" w:color="D1D5DB" w:sz="2"/>
            </w:tcBorders>
            <w:shd w:fill="F3F4F6" w:val="clear"/>
            <w:tcMar>
              <w:top w:type="dxa" w:w="60"/>
              <w:left w:type="dxa" w:w="80"/>
              <w:bottom w:type="dxa" w:w="60"/>
              <w:right w:type="dxa" w:w="80"/>
            </w:tcMar>
          </w:tcPr>
          <w:p>
            <w:r>
              <w:rPr>
                <w:sz w:val="18"/>
                <w:szCs w:val="18"/>
              </w:rPr>
              <w:t xml:space="preserve">Media</w:t>
            </w:r>
          </w:p>
        </w:tc>
      </w:tr>
    </w:tbl>
    <w:p>
      <w:pPr>
        <w:spacing w:after="200"/>
      </w:pPr>
      <w:r>
        <w:rPr>
          <w:b w:val="false"/>
          <w:bCs w:val="false"/>
          <w:i w:val="false"/>
          <w:iCs w:val="false"/>
          <w:sz w:val="21"/>
          <w:szCs w:val="21"/>
        </w:rPr>
        <w:t xml:space="preserve"/>
      </w:r>
    </w:p>
    <w:p>
      <w:pPr>
        <w:spacing w:after="120"/>
      </w:pPr>
      <w:r>
        <w:rPr>
          <w:b w:val="false"/>
          <w:bCs w:val="false"/>
          <w:i/>
          <w:iCs/>
          <w:color w:val="6B7280"/>
          <w:sz w:val="18"/>
          <w:szCs w:val="18"/>
        </w:rPr>
        <w:t xml:space="preserve">Nota: "duración estimada" es una propuesta de punto de partida para cotizar con proveedores — se debe ajustar según el proveedor elegido y la disponibilidad real del personal.</w:t>
      </w:r>
    </w:p>
    <w:p>
      <w:r>
        <w:br w:type="page"/>
      </w:r>
    </w:p>
    <w:p>
      <w:pPr>
        <w:pStyle w:val="Heading1"/>
        <w:spacing w:after="200" w:before="400"/>
      </w:pPr>
      <w:r>
        <w:t xml:space="preserve">4. Fichas explícitas por tema</w:t>
      </w:r>
    </w:p>
    <w:p>
      <w:pPr>
        <w:spacing w:after="120"/>
      </w:pPr>
      <w:r>
        <w:rPr>
          <w:b w:val="false"/>
          <w:bCs w:val="false"/>
          <w:i w:val="false"/>
          <w:iCs w:val="false"/>
          <w:sz w:val="21"/>
          <w:szCs w:val="21"/>
        </w:rPr>
        <w:t xml:space="preserve">A continuación, el detalle de cada tema agrupado por el programa al que pertenece.</w:t>
      </w:r>
    </w:p>
    <w:p>
      <w:pPr>
        <w:pStyle w:val="Heading2"/>
        <w:spacing w:after="150" w:before="300"/>
      </w:pPr>
      <w:r>
        <w:t xml:space="preserve">Programa 1 — Escuela de Líderes</w:t>
      </w:r>
    </w:p>
    <w:p>
      <w:pPr>
        <w:spacing w:after="120"/>
      </w:pPr>
      <w:r>
        <w:rPr>
          <w:b w:val="false"/>
          <w:bCs w:val="false"/>
          <w:i/>
          <w:iCs/>
          <w:color w:val="6B7280"/>
          <w:sz w:val="21"/>
          <w:szCs w:val="21"/>
        </w:rPr>
        <w:t xml:space="preserve">Este programa es, en gran medida, la respuesta formativa directa al relevo generacional en la gerencia: equipa a los líderes —tanto a quienes ya vienen liderando como a quienes asumen el rol por primera vez— con herramientas comunes (medición, gestión del cambio, análisis de problemas) que no dependen de la antigüedad ni de la forma particular de liderar de cada persona, sino de un método compartido por toda la organización.</w:t>
      </w:r>
    </w:p>
    <w:p>
      <w:pPr>
        <w:spacing w:after="120" w:before="240"/>
      </w:pPr>
      <w:r>
        <w:rPr>
          <w:b/>
          <w:bCs/>
          <w:color w:val="7C3AED"/>
          <w:sz w:val="24"/>
          <w:szCs w:val="24"/>
        </w:rPr>
        <w:t xml:space="preserve">1.1. Liderazgo estratégico y gestión de equipos</w:t>
      </w:r>
    </w:p>
    <w:p>
      <w:pPr>
        <w:spacing w:after="120"/>
      </w:pPr>
      <w:r>
        <w:rPr>
          <w:b w:val="false"/>
          <w:bCs w:val="false"/>
          <w:i/>
          <w:iCs/>
          <w:color w:val="6B7280"/>
          <w:sz w:val="19"/>
          <w:szCs w:val="19"/>
        </w:rPr>
        <w:t xml:space="preserve">Proceso: Gerencia y Liderazgo   |   Necesidad detectada: Alta orientación a la operación, poca gestión de personas y alineación estratégica.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Desarrollar líderes capaces de traducir la estrategia de la empresa en acciones concretas para sus equipos.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Del rol operativo al rol de líder: qué cambia y qué se delega</w:t>
            </w:r>
          </w:p>
          <w:p>
            <w:pPr>
              <w:spacing w:after="40"/>
            </w:pPr>
            <w:r>
              <w:rPr>
                <w:sz w:val="19"/>
                <w:szCs w:val="19"/>
              </w:rPr>
              <w:t xml:space="preserve">Alineación de metas de equipo con la estrategia de la empresa</w:t>
            </w:r>
          </w:p>
          <w:p>
            <w:pPr>
              <w:spacing w:after="40"/>
            </w:pPr>
            <w:r>
              <w:rPr>
                <w:sz w:val="19"/>
                <w:szCs w:val="19"/>
              </w:rPr>
              <w:t xml:space="preserve">Comunicación efectiva y retroalimentación (conectar con el ciclo de evaluación de desempeño)</w:t>
            </w:r>
          </w:p>
          <w:p>
            <w:pPr>
              <w:spacing w:after="40"/>
            </w:pPr>
            <w:r>
              <w:rPr>
                <w:sz w:val="19"/>
                <w:szCs w:val="19"/>
              </w:rPr>
              <w:t xml:space="preserve">Plan de acción individual de liderazgo con seguimiento a 90 días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Gerentes, coordinadores y líderes de área.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vivencial, 16 horas (2 jornadas),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Módulo 1 de la "Escuela de Líderes" (bloque 1), junto con 1.2, 1.3 y 1.4. Se recomienda dictarlas como un solo programa continuo, no como 4 capacitaciones sueltas.</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1.2. Gestión por indicadores (KPIs) y toma de decisiones basada en datos</w:t>
      </w:r>
    </w:p>
    <w:p>
      <w:pPr>
        <w:spacing w:after="120"/>
      </w:pPr>
      <w:r>
        <w:rPr>
          <w:b w:val="false"/>
          <w:bCs w:val="false"/>
          <w:i/>
          <w:iCs/>
          <w:color w:val="6B7280"/>
          <w:sz w:val="19"/>
          <w:szCs w:val="19"/>
        </w:rPr>
        <w:t xml:space="preserve">Proceso: Gerencia y Liderazgo   |   Necesidad detectada: Falta de seguimiento efectivo a los indicadores de gestión.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Fortalecer la cultura de medición y seguimiento de resultados.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Qué es un buen KPI: definición, meta, frecuencia y dueño del indicador</w:t>
            </w:r>
          </w:p>
          <w:p>
            <w:pPr>
              <w:spacing w:after="40"/>
            </w:pPr>
            <w:r>
              <w:rPr>
                <w:sz w:val="19"/>
                <w:szCs w:val="19"/>
              </w:rPr>
              <w:t xml:space="preserve">Construcción de un tablero de indicadores por área (partiendo de los indicadores de equipo que ya arroja CirculoCrecimiento en /informes)</w:t>
            </w:r>
          </w:p>
          <w:p>
            <w:pPr>
              <w:spacing w:after="40"/>
            </w:pPr>
            <w:r>
              <w:rPr>
                <w:sz w:val="19"/>
                <w:szCs w:val="19"/>
              </w:rPr>
              <w:t xml:space="preserve">Reuniones de seguimiento a indicadores: ritmo, agenda y toma de decisiones</w:t>
            </w:r>
          </w:p>
          <w:p>
            <w:pPr>
              <w:spacing w:after="40"/>
            </w:pPr>
            <w:r>
              <w:rPr>
                <w:sz w:val="19"/>
                <w:szCs w:val="19"/>
              </w:rPr>
              <w:t xml:space="preserve">Práctica: cada líder construye su propio tablero de 3 a 5 KPIs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Líderes de todas las áreas.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práctico, 8 horas, presencial o virtual sincrónico.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Esta capacitación YA CUBRE la solicitud de "definición y manejo de KPIs para líderes" — no es necesario crear un tema nuevo, solo asegurar que el contenido incluya la parte de definición (no solo seguimiento). Módulo 2 de la Escuela de Líderes.</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1.3. Gestión del cambio para líderes</w:t>
      </w:r>
    </w:p>
    <w:p>
      <w:pPr>
        <w:spacing w:after="120"/>
      </w:pPr>
      <w:r>
        <w:rPr>
          <w:b w:val="false"/>
          <w:bCs w:val="false"/>
          <w:i/>
          <w:iCs/>
          <w:color w:val="6B7280"/>
          <w:sz w:val="19"/>
          <w:szCs w:val="19"/>
        </w:rPr>
        <w:t xml:space="preserve">Proceso: Gerencia y Liderazgo (solicitud explícita)   |   Necesidad detectada: La empresa está en proceso de fortalecer varios procesos a la vez (evaluación de desempeño, KPIs, nuevas herramientas); los líderes necesitan saber cómo conducir esos cambios con sus equipos.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Dotar a los líderes de herramientas para planear, comunicar y sostener cambios organizacionales con su equipo, reduciendo la resistencia y la fatiga de cambio.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Por qué las personas resisten el cambio (curva de adopción)</w:t>
            </w:r>
          </w:p>
          <w:p>
            <w:pPr>
              <w:spacing w:after="40"/>
            </w:pPr>
            <w:r>
              <w:rPr>
                <w:sz w:val="19"/>
                <w:szCs w:val="19"/>
              </w:rPr>
              <w:t xml:space="preserve">Cómo comunicar un cambio: mensaje, momento y canal</w:t>
            </w:r>
          </w:p>
          <w:p>
            <w:pPr>
              <w:spacing w:after="40"/>
            </w:pPr>
            <w:r>
              <w:rPr>
                <w:sz w:val="19"/>
                <w:szCs w:val="19"/>
              </w:rPr>
              <w:t xml:space="preserve">Gestión de la resistencia individual y grupal</w:t>
            </w:r>
          </w:p>
          <w:p>
            <w:pPr>
              <w:spacing w:after="40"/>
            </w:pPr>
            <w:r>
              <w:rPr>
                <w:sz w:val="19"/>
                <w:szCs w:val="19"/>
              </w:rPr>
              <w:t xml:space="preserve">Caso práctico aplicado a un cambio real de la empresa (ej. la implementación del nuevo modelo de evaluación de desempeño)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Gerentes, coordinadores y líderes de área.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8 horas,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Módulo 3 de la Escuela de Líderes. Se recomienda dictarlo justo antes o durante el lanzamiento de cualquier iniciativa nueva grande (por ejemplo, la puesta en marcha completa de CirculoCrecimiento), para que sirva de práctica inmediata y no quede como teoría suelta.</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1.4. Análisis y gestión de problemas</w:t>
      </w:r>
    </w:p>
    <w:p>
      <w:pPr>
        <w:spacing w:after="120"/>
      </w:pPr>
      <w:r>
        <w:rPr>
          <w:b w:val="false"/>
          <w:bCs w:val="false"/>
          <w:i/>
          <w:iCs/>
          <w:color w:val="6B7280"/>
          <w:sz w:val="19"/>
          <w:szCs w:val="19"/>
        </w:rPr>
        <w:t xml:space="preserve">Proceso: Gerencia y Liderazgo (solicitud explícita)   |   Necesidad detectada: Los líderes necesitan un método estructurado para analizar problemas recurrentes de su área y tomar decisiones, más allá de "apagar incendios".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Dar a los líderes un método sencillo y replicable para identificar la causa real de un problema, priorizarlo y hacerle seguimiento hasta su cierre.</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Diferencia entre síntoma y causa raíz</w:t>
            </w:r>
          </w:p>
          <w:p>
            <w:pPr>
              <w:spacing w:after="40"/>
            </w:pPr>
            <w:r>
              <w:rPr>
                <w:sz w:val="19"/>
                <w:szCs w:val="19"/>
              </w:rPr>
              <w:t xml:space="preserve">Herramientas simples: 5 porqués, espina de pescado, matriz de priorización</w:t>
            </w:r>
          </w:p>
          <w:p>
            <w:pPr>
              <w:spacing w:after="40"/>
            </w:pPr>
            <w:r>
              <w:rPr>
                <w:sz w:val="19"/>
                <w:szCs w:val="19"/>
              </w:rPr>
              <w:t xml:space="preserve">De la causa raíz al plan de acción con responsable y fecha</w:t>
            </w:r>
          </w:p>
          <w:p>
            <w:pPr>
              <w:spacing w:after="40"/>
            </w:pPr>
            <w:r>
              <w:rPr>
                <w:sz w:val="19"/>
                <w:szCs w:val="19"/>
              </w:rPr>
              <w:t xml:space="preserve">Ejercicio con un problema real de cada área de los participantes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Gerentes, coordinadores y líderes de área (todas las áreas, no solo Producción).</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práctico basado en casos, 8 horas,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Módulo 4 de la Escuela de Líderes. Comparte metodología y puede compartir el mismo facilitador con el ítem 6.2 "Herramientas de calidad y análisis de causa raíz" de Producción — ahí se profundiza con herramientas más técnicas para línea de producción; aquí se queda en el nivel de gestión general. Dictarlas con el mismo proveedor abarata el costo.</w:t>
            </w:r>
          </w:p>
        </w:tc>
      </w:tr>
    </w:tbl>
    <w:p>
      <w:pPr>
        <w:spacing w:after="200"/>
      </w:pPr>
      <w:r>
        <w:rPr>
          <w:b w:val="false"/>
          <w:bCs w:val="false"/>
          <w:i w:val="false"/>
          <w:iCs w:val="false"/>
          <w:sz w:val="21"/>
          <w:szCs w:val="21"/>
        </w:rPr>
        <w:t xml:space="preserve"/>
      </w:r>
    </w:p>
    <w:p>
      <w:pPr>
        <w:pStyle w:val="Heading2"/>
        <w:spacing w:after="150" w:before="300"/>
      </w:pPr>
      <w:r>
        <w:t xml:space="preserve">Programa 2 — Productividad y Transformación Digital</w:t>
      </w:r>
    </w:p>
    <w:p>
      <w:pPr>
        <w:spacing w:after="120" w:before="240"/>
      </w:pPr>
      <w:r>
        <w:rPr>
          <w:b/>
          <w:bCs/>
          <w:color w:val="7C3AED"/>
          <w:sz w:val="24"/>
          <w:szCs w:val="24"/>
        </w:rPr>
        <w:t xml:space="preserve">2.1. Administración del tiempo, priorización y delegación efectiva</w:t>
      </w:r>
    </w:p>
    <w:p>
      <w:pPr>
        <w:spacing w:after="120"/>
      </w:pPr>
      <w:r>
        <w:rPr>
          <w:b w:val="false"/>
          <w:bCs w:val="false"/>
          <w:i/>
          <w:iCs/>
          <w:color w:val="6B7280"/>
          <w:sz w:val="19"/>
          <w:szCs w:val="19"/>
        </w:rPr>
        <w:t xml:space="preserve">Proceso: Gerencia y Liderazgo   |   Necesidad detectada: Dificultad para planear, priorizar y delegar actividades.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Mejorar la productividad y el enfoque en actividades de alto impacto.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Matriz urgente/importante aplicada a la operación diaria</w:t>
            </w:r>
          </w:p>
          <w:p>
            <w:pPr>
              <w:spacing w:after="40"/>
            </w:pPr>
            <w:r>
              <w:rPr>
                <w:sz w:val="19"/>
                <w:szCs w:val="19"/>
              </w:rPr>
              <w:t xml:space="preserve">Qué delegar, a quién y cómo hacerle seguimiento sin microgestionar</w:t>
            </w:r>
          </w:p>
          <w:p>
            <w:pPr>
              <w:spacing w:after="40"/>
            </w:pPr>
            <w:r>
              <w:rPr>
                <w:sz w:val="19"/>
                <w:szCs w:val="19"/>
              </w:rPr>
              <w:t xml:space="preserve">Manejo de interrupciones y reuniones efectivas</w:t>
            </w:r>
          </w:p>
          <w:p>
            <w:pPr>
              <w:spacing w:after="40"/>
            </w:pPr>
            <w:r>
              <w:rPr>
                <w:sz w:val="19"/>
                <w:szCs w:val="19"/>
              </w:rPr>
              <w:t xml:space="preserve">Plan personal de organización semanal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Todo el personal administrativo y líderes.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4 horas, virtual sincrónico.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2 ("Productividad y Transformación Digital"), sesión 1, junto con 2.2.</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2.2. IA y automatización de oficina (incluye Excel avanzado, Power BI, Microsoft 365 e Inteligencia Artificial)</w:t>
      </w:r>
    </w:p>
    <w:p>
      <w:pPr>
        <w:spacing w:after="120"/>
      </w:pPr>
      <w:r>
        <w:rPr>
          <w:b w:val="false"/>
          <w:bCs w:val="false"/>
          <w:i/>
          <w:iCs/>
          <w:color w:val="6B7280"/>
          <w:sz w:val="19"/>
          <w:szCs w:val="19"/>
        </w:rPr>
        <w:t xml:space="preserve">Proceso: Gerencia y Liderazgo / Administrativos   |   Necesidad detectada: Desconocimiento del potencial de la IA; necesidad de optimizar procesos administrativos y aprovechar herramientas digitales.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Incrementar la productividad del personal administrativo y de los líderes mediante IA, Excel avanzado, Power BI y las herramientas de Microsoft 365, automatizando tareas repetitivas y mejorando el análisis de información.</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Excel avanzado aplicado a los reportes que ya usa cada área (tablas dinámicas, fórmulas de análisis)</w:t>
            </w:r>
          </w:p>
          <w:p>
            <w:pPr>
              <w:spacing w:after="40"/>
            </w:pPr>
            <w:r>
              <w:rPr>
                <w:sz w:val="19"/>
                <w:szCs w:val="19"/>
              </w:rPr>
              <w:t xml:space="preserve">Power BI: de la hoja de cálculo al tablero visual</w:t>
            </w:r>
          </w:p>
          <w:p>
            <w:pPr>
              <w:spacing w:after="40"/>
            </w:pPr>
            <w:r>
              <w:rPr>
                <w:sz w:val="19"/>
                <w:szCs w:val="19"/>
              </w:rPr>
              <w:t xml:space="preserve">Microsoft 365 (Teams, Forms, automatizaciones simples) para reducir tareas manuales</w:t>
            </w:r>
          </w:p>
          <w:p>
            <w:pPr>
              <w:spacing w:after="40"/>
            </w:pPr>
            <w:r>
              <w:rPr>
                <w:sz w:val="19"/>
                <w:szCs w:val="19"/>
              </w:rPr>
              <w:t xml:space="preserve">IA generativa aplicada al trabajo diario: redacción, análisis, resúmenes y apoyo a la toma de decisiones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Líderes, asistentes y personal administrativo clave.</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Curso práctico progresivo, 16 horas en 4 sesiones de 4 horas, virtual.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ESTE ES EL "AMARRE" MÁS FUERTE DE TODO EL PLAN: los ítems originales "Inteligencia Artificial aplicada al trabajo", "Excel avanzado, Power BI y automatización" y "Microsoft 365, automatización e IA" son, en la práctica, el mismo tema visto desde tres ángulos casi idénticos. Se recomienda fusionarlos en un solo programa de 4 sesiones en vez de contratar 3 capacitaciones distintas — mismo proveedor, menos fatiga de agenda, y el contenido se refuerza entre sesiones en lugar de repetirse.</w:t>
            </w:r>
          </w:p>
        </w:tc>
      </w:tr>
    </w:tbl>
    <w:p>
      <w:pPr>
        <w:spacing w:after="200"/>
      </w:pPr>
      <w:r>
        <w:rPr>
          <w:b w:val="false"/>
          <w:bCs w:val="false"/>
          <w:i w:val="false"/>
          <w:iCs w:val="false"/>
          <w:sz w:val="21"/>
          <w:szCs w:val="21"/>
        </w:rPr>
        <w:t xml:space="preserve"/>
      </w:r>
    </w:p>
    <w:p>
      <w:pPr>
        <w:pStyle w:val="Heading2"/>
        <w:spacing w:after="150" w:before="300"/>
      </w:pPr>
      <w:r>
        <w:t xml:space="preserve">Programa 3 — Gestión Humana Legal y Atracción de Talento</w:t>
      </w:r>
    </w:p>
    <w:p>
      <w:pPr>
        <w:spacing w:after="120" w:before="240"/>
      </w:pPr>
      <w:r>
        <w:rPr>
          <w:b/>
          <w:bCs/>
          <w:color w:val="7C3AED"/>
          <w:sz w:val="24"/>
          <w:szCs w:val="24"/>
        </w:rPr>
        <w:t xml:space="preserve">3.1. Procesos disciplinarios y debido proceso</w:t>
      </w:r>
    </w:p>
    <w:p>
      <w:pPr>
        <w:spacing w:after="120"/>
      </w:pPr>
      <w:r>
        <w:rPr>
          <w:b w:val="false"/>
          <w:bCs w:val="false"/>
          <w:i/>
          <w:iCs/>
          <w:color w:val="6B7280"/>
          <w:sz w:val="19"/>
          <w:szCs w:val="19"/>
        </w:rPr>
        <w:t xml:space="preserve">Proceso: Talento Humano   |   Necesidad detectada: Necesidad de fortalecer los procesos disciplinarios conforme a la legislación laboral.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Disminuir riesgos laborales y garantizar actuaciones disciplinarias adecuadas.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Marco legal del debido proceso disciplinario en Colombia</w:t>
            </w:r>
          </w:p>
          <w:p>
            <w:pPr>
              <w:spacing w:after="40"/>
            </w:pPr>
            <w:r>
              <w:rPr>
                <w:sz w:val="19"/>
                <w:szCs w:val="19"/>
              </w:rPr>
              <w:t xml:space="preserve">Documentación correcta de faltas y descargos</w:t>
            </w:r>
          </w:p>
          <w:p>
            <w:pPr>
              <w:spacing w:after="40"/>
            </w:pPr>
            <w:r>
              <w:rPr>
                <w:sz w:val="19"/>
                <w:szCs w:val="19"/>
              </w:rPr>
              <w:t xml:space="preserve">Errores comunes que generan demandas laborales</w:t>
            </w:r>
          </w:p>
          <w:p>
            <w:pPr>
              <w:spacing w:after="40"/>
            </w:pPr>
            <w:r>
              <w:rPr>
                <w:sz w:val="19"/>
                <w:szCs w:val="19"/>
              </w:rPr>
              <w:t xml:space="preserve">Simulacro de un caso disciplinario de principio a fin</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Talento Humano y líderes.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normativo, 8 horas, presencial, dictado por abogado laboralista.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3 ("Gestión Humana Legal y Atracción de Talento"), sesión 1. Se mantiene independiente de la sesión 2 por ser un tema normativo con otro tipo de experto (abogado vs. especialista en selección).</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3.2. Atracción y selección de talento (selección por competencias, entrevistas efectivas, reclutamiento y marca empleadora)</w:t>
      </w:r>
    </w:p>
    <w:p>
      <w:pPr>
        <w:spacing w:after="120"/>
      </w:pPr>
      <w:r>
        <w:rPr>
          <w:b w:val="false"/>
          <w:bCs w:val="false"/>
          <w:i/>
          <w:iCs/>
          <w:color w:val="6B7280"/>
          <w:sz w:val="19"/>
          <w:szCs w:val="19"/>
        </w:rPr>
        <w:t xml:space="preserve">Proceso: Talento Humano   |   Necesidad detectada: Dificultad para atraer personal con el perfil requerido; nuevos retos en atracción de talento.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Mejorar la calidad de contratación, reducir la rotación e incorporar herramientas modernas para atraer candidatos idóneos.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Selección por competencias: de la vacante al perfil de cargo (aprovechando los perfiles de cargo ya documentados en CirculoCrecimiento)</w:t>
            </w:r>
          </w:p>
          <w:p>
            <w:pPr>
              <w:spacing w:after="40"/>
            </w:pPr>
            <w:r>
              <w:rPr>
                <w:sz w:val="19"/>
                <w:szCs w:val="19"/>
              </w:rPr>
              <w:t xml:space="preserve">Técnicas de entrevista por competencias</w:t>
            </w:r>
          </w:p>
          <w:p>
            <w:pPr>
              <w:spacing w:after="40"/>
            </w:pPr>
            <w:r>
              <w:rPr>
                <w:sz w:val="19"/>
                <w:szCs w:val="19"/>
              </w:rPr>
              <w:t xml:space="preserve">Tendencias de reclutamiento: canales digitales y employer branding</w:t>
            </w:r>
          </w:p>
          <w:p>
            <w:pPr>
              <w:spacing w:after="40"/>
            </w:pPr>
            <w:r>
              <w:rPr>
                <w:sz w:val="19"/>
                <w:szCs w:val="19"/>
              </w:rPr>
              <w:t xml:space="preserve">Construcción de un mensaje de marca empleadora para Mármoles y Servicios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Talento Humano.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12 horas en 2 sesiones de 6 horas, presencial o virtual.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 / 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Los ítems originales "Selección de personal por competencias" (prioridad alta) y "Tendencias en reclutamiento y marca empleadora" (prioridad media) se fusionan en un solo programa de 2 módulos consecutivos, dictados por el mismo especialista en selección — son etapas del mismo proceso (atraer y luego seleccionar).</w:t>
            </w:r>
          </w:p>
        </w:tc>
      </w:tr>
    </w:tbl>
    <w:p>
      <w:pPr>
        <w:spacing w:after="200"/>
      </w:pPr>
      <w:r>
        <w:rPr>
          <w:b w:val="false"/>
          <w:bCs w:val="false"/>
          <w:i w:val="false"/>
          <w:iCs w:val="false"/>
          <w:sz w:val="21"/>
          <w:szCs w:val="21"/>
        </w:rPr>
        <w:t xml:space="preserve"/>
      </w:r>
    </w:p>
    <w:p>
      <w:pPr>
        <w:pStyle w:val="Heading2"/>
        <w:spacing w:after="150" w:before="300"/>
      </w:pPr>
      <w:r>
        <w:t xml:space="preserve">Programa 4 — Escuela Financiera y Contable</w:t>
      </w:r>
    </w:p>
    <w:p>
      <w:pPr>
        <w:spacing w:after="120" w:before="240"/>
      </w:pPr>
      <w:r>
        <w:rPr>
          <w:b/>
          <w:bCs/>
          <w:color w:val="7C3AED"/>
          <w:sz w:val="24"/>
          <w:szCs w:val="24"/>
        </w:rPr>
        <w:t xml:space="preserve">4.1. Actualización tributaria y NIIF para Pymes</w:t>
      </w:r>
    </w:p>
    <w:p>
      <w:pPr>
        <w:spacing w:after="120"/>
      </w:pPr>
      <w:r>
        <w:rPr>
          <w:b w:val="false"/>
          <w:bCs w:val="false"/>
          <w:i/>
          <w:iCs/>
          <w:color w:val="6B7280"/>
          <w:sz w:val="19"/>
          <w:szCs w:val="19"/>
        </w:rPr>
        <w:t xml:space="preserve">Proceso: Contabilidad   |   Necesidad detectada: Actualización permanente en normatividad tributaria y contable.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Garantizar el cumplimiento legal y optimizar la gestión contable.</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Cambios normativos vigentes del año</w:t>
            </w:r>
          </w:p>
          <w:p>
            <w:pPr>
              <w:spacing w:after="40"/>
            </w:pPr>
            <w:r>
              <w:rPr>
                <w:sz w:val="19"/>
                <w:szCs w:val="19"/>
              </w:rPr>
              <w:t xml:space="preserve">Aplicación práctica de NIIF para Pymes en los procesos actuales de la empresa</w:t>
            </w:r>
          </w:p>
          <w:p>
            <w:pPr>
              <w:spacing w:after="40"/>
            </w:pPr>
            <w:r>
              <w:rPr>
                <w:sz w:val="19"/>
                <w:szCs w:val="19"/>
              </w:rPr>
              <w:t xml:space="preserve">Casos frecuentes de error en la aplicación normativa</w:t>
            </w:r>
          </w:p>
          <w:p>
            <w:pPr>
              <w:spacing w:after="40"/>
            </w:pPr>
            <w:r>
              <w:rPr>
                <w:sz w:val="19"/>
                <w:szCs w:val="19"/>
              </w:rPr>
              <w:t xml:space="preserve">Sesión de preguntas y respuestas con el instructor</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Contabilidad.</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Curso de actualización, 8 horas, presencial o virtual — se recomienda repetir anualmente por cambios normativos.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Se mantiene independiente de 4.2 y 4.3 porque es un tema normativo de actualización recurrente (no una sola vez), mientras los otros dos son formación en habilidades de análisis que no caducan igual.</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4.2. Finanzas para la toma de decisiones (análisis financiero, control de costos y planeación del capital de trabajo)</w:t>
      </w:r>
    </w:p>
    <w:p>
      <w:pPr>
        <w:spacing w:after="120"/>
      </w:pPr>
      <w:r>
        <w:rPr>
          <w:b w:val="false"/>
          <w:bCs w:val="false"/>
          <w:i/>
          <w:iCs/>
          <w:color w:val="6B7280"/>
          <w:sz w:val="19"/>
          <w:szCs w:val="19"/>
        </w:rPr>
        <w:t xml:space="preserve">Proceso: Contabilidad   |   Necesidad detectada: Necesidad de mayor control financiero para la toma de decisiones; optimización del flujo de caja.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Facilitar la toma de decisiones mediante indicadores financieros y mejorar la liquidez de la empresa.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Lectura de estados financieros orientada a la toma de decisiones</w:t>
            </w:r>
          </w:p>
          <w:p>
            <w:pPr>
              <w:spacing w:after="40"/>
            </w:pPr>
            <w:r>
              <w:rPr>
                <w:sz w:val="19"/>
                <w:szCs w:val="19"/>
              </w:rPr>
              <w:t xml:space="preserve">Indicadores financieros clave y control de costos por proceso</w:t>
            </w:r>
          </w:p>
          <w:p>
            <w:pPr>
              <w:spacing w:after="40"/>
            </w:pPr>
            <w:r>
              <w:rPr>
                <w:sz w:val="19"/>
                <w:szCs w:val="19"/>
              </w:rPr>
              <w:t xml:space="preserve">Planeación de flujo de caja y administración del capital de trabajo</w:t>
            </w:r>
          </w:p>
          <w:p>
            <w:pPr>
              <w:spacing w:after="40"/>
            </w:pPr>
            <w:r>
              <w:rPr>
                <w:sz w:val="19"/>
                <w:szCs w:val="19"/>
              </w:rPr>
              <w:t xml:space="preserve">Taller aplicado con las cifras reales de la empresa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Contabilidad y Gerencia Financiera.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de 16 horas en 2 módulos (análisis financiero / flujo de caja),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Fusiona los ítems originales "Análisis financiero y control de costos" y "Planeación financiera y administración del capital de trabajo" — ambos tienen la misma audiencia y son pasos de un mismo proceso de gestión financiera; separarlos en dos contrataciones distintas sería redundante.</w:t>
            </w:r>
          </w:p>
        </w:tc>
      </w:tr>
    </w:tbl>
    <w:p>
      <w:pPr>
        <w:spacing w:after="200"/>
      </w:pPr>
      <w:r>
        <w:rPr>
          <w:b w:val="false"/>
          <w:bCs w:val="false"/>
          <w:i w:val="false"/>
          <w:iCs w:val="false"/>
          <w:sz w:val="21"/>
          <w:szCs w:val="21"/>
        </w:rPr>
        <w:t xml:space="preserve"/>
      </w:r>
    </w:p>
    <w:p>
      <w:pPr>
        <w:pStyle w:val="Heading2"/>
        <w:spacing w:after="150" w:before="300"/>
      </w:pPr>
      <w:r>
        <w:t xml:space="preserve">Programa 5 — Excelencia en Inventarios y Logística</w:t>
      </w:r>
    </w:p>
    <w:p>
      <w:pPr>
        <w:spacing w:after="120" w:before="240"/>
      </w:pPr>
      <w:r>
        <w:rPr>
          <w:b/>
          <w:bCs/>
          <w:color w:val="7C3AED"/>
          <w:sz w:val="24"/>
          <w:szCs w:val="24"/>
        </w:rPr>
        <w:t xml:space="preserve">5.1. Control y trazabilidad de inventarios (auditoría de inventarios + buenas prácticas de administración)</w:t>
      </w:r>
    </w:p>
    <w:p>
      <w:pPr>
        <w:spacing w:after="120"/>
      </w:pPr>
      <w:r>
        <w:rPr>
          <w:b w:val="false"/>
          <w:bCs w:val="false"/>
          <w:i/>
          <w:iCs/>
          <w:color w:val="6B7280"/>
          <w:sz w:val="19"/>
          <w:szCs w:val="19"/>
        </w:rPr>
        <w:t xml:space="preserve">Proceso: Logística e Inventarios   |   Necesidad detectada: Diferencias y oportunidades en el control de inventarios; necesidad de fortalecer el control de materiales.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Fortalecer la confiabilidad de los inventarios físicos y del sistema, reducir pérdidas y mejorar la trazabilidad.</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Ciclo de conteo y auditoría de inventarios: metodología y frecuencia</w:t>
            </w:r>
          </w:p>
          <w:p>
            <w:pPr>
              <w:spacing w:after="40"/>
            </w:pPr>
            <w:r>
              <w:rPr>
                <w:sz w:val="19"/>
                <w:szCs w:val="19"/>
              </w:rPr>
              <w:t xml:space="preserve">Causas comunes de diferencias entre el inventario físico y el sistema</w:t>
            </w:r>
          </w:p>
          <w:p>
            <w:pPr>
              <w:spacing w:after="40"/>
            </w:pPr>
            <w:r>
              <w:rPr>
                <w:sz w:val="19"/>
                <w:szCs w:val="19"/>
              </w:rPr>
              <w:t xml:space="preserve">Buenas prácticas de recepción, almacenamiento y despacho</w:t>
            </w:r>
          </w:p>
          <w:p>
            <w:pPr>
              <w:spacing w:after="40"/>
            </w:pPr>
            <w:r>
              <w:rPr>
                <w:sz w:val="19"/>
                <w:szCs w:val="19"/>
              </w:rPr>
              <w:t xml:space="preserve">Diseño de un plan de auditoría cíclica para implementar de inmediato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Inventarios y Logística.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de 16 horas (teoría + práctica en bodega),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Alta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Fusiona "Auditoría de inventarios y control interno" y "Buenas prácticas en administración de inventarios" — en el Excel original son, en la práctica, la misma competencia (confiabilidad y trazabilidad del inventario) vista desde dos ángulos. Se recomienda una sola contratación.</w:t>
            </w:r>
          </w:p>
        </w:tc>
      </w:tr>
    </w:tbl>
    <w:p>
      <w:pPr>
        <w:spacing w:after="200"/>
      </w:pPr>
      <w:r>
        <w:rPr>
          <w:b w:val="false"/>
          <w:bCs w:val="false"/>
          <w:i w:val="false"/>
          <w:iCs w:val="false"/>
          <w:sz w:val="21"/>
          <w:szCs w:val="21"/>
        </w:rPr>
        <w:t xml:space="preserve"/>
      </w:r>
    </w:p>
    <w:p>
      <w:pPr>
        <w:spacing w:after="120" w:before="240"/>
      </w:pPr>
      <w:r>
        <w:rPr>
          <w:b/>
          <w:bCs/>
          <w:color w:val="7C3AED"/>
          <w:sz w:val="24"/>
          <w:szCs w:val="24"/>
        </w:rPr>
        <w:t xml:space="preserve">5.2. Layout de bodegas y optimización de almacenamiento</w:t>
      </w:r>
    </w:p>
    <w:p>
      <w:pPr>
        <w:spacing w:after="120"/>
      </w:pPr>
      <w:r>
        <w:rPr>
          <w:b w:val="false"/>
          <w:bCs w:val="false"/>
          <w:i/>
          <w:iCs/>
          <w:color w:val="6B7280"/>
          <w:sz w:val="19"/>
          <w:szCs w:val="19"/>
        </w:rPr>
        <w:t xml:space="preserve">Proceso: Logística e Inventarios   |   Necesidad detectada: Oportunidades de mejora en almacenamiento.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Mejorar los tiempos de búsqueda, almacenamiento y despacho.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Principios de diseño de layout según rotación y volumen</w:t>
            </w:r>
          </w:p>
          <w:p>
            <w:pPr>
              <w:spacing w:after="40"/>
            </w:pPr>
            <w:r>
              <w:rPr>
                <w:sz w:val="19"/>
                <w:szCs w:val="19"/>
              </w:rPr>
              <w:t xml:space="preserve">Ubicaciones fijas vs. dinámicas y codificación de estanterías</w:t>
            </w:r>
          </w:p>
          <w:p>
            <w:pPr>
              <w:spacing w:after="40"/>
            </w:pPr>
            <w:r>
              <w:rPr>
                <w:sz w:val="19"/>
                <w:szCs w:val="19"/>
              </w:rPr>
              <w:t xml:space="preserve">Ergonomía y seguridad en el almacenamiento</w:t>
            </w:r>
          </w:p>
          <w:p>
            <w:pPr>
              <w:spacing w:after="40"/>
            </w:pPr>
            <w:r>
              <w:rPr>
                <w:sz w:val="19"/>
                <w:szCs w:val="19"/>
              </w:rPr>
              <w:t xml:space="preserve">Diagnóstico práctico in situ de la bodega actual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Inventarios, Producción y Logística.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Taller práctico in situ, 8 horas,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Se mantiene como capacitación separada de 5.1: es una competencia de diseño físico de espacio, distinta al control administrativo del inventario, aunque comparte audiencia y se puede programar la misma semana para aprovechar el desplazamiento del instructor.</w:t>
            </w:r>
          </w:p>
        </w:tc>
      </w:tr>
    </w:tbl>
    <w:p>
      <w:pPr>
        <w:spacing w:after="200"/>
      </w:pPr>
      <w:r>
        <w:rPr>
          <w:b w:val="false"/>
          <w:bCs w:val="false"/>
          <w:i w:val="false"/>
          <w:iCs w:val="false"/>
          <w:sz w:val="21"/>
          <w:szCs w:val="21"/>
        </w:rPr>
        <w:t xml:space="preserve"/>
      </w:r>
    </w:p>
    <w:p>
      <w:pPr>
        <w:pStyle w:val="Heading2"/>
        <w:spacing w:after="150" w:before="300"/>
      </w:pPr>
      <w:r>
        <w:t xml:space="preserve">Programa 6 — Producción: Eficiencia y Calidad</w:t>
      </w:r>
    </w:p>
    <w:p>
      <w:pPr>
        <w:spacing w:after="120" w:before="240"/>
      </w:pPr>
      <w:r>
        <w:rPr>
          <w:b/>
          <w:bCs/>
          <w:color w:val="7C3AED"/>
          <w:sz w:val="24"/>
          <w:szCs w:val="24"/>
        </w:rPr>
        <w:t xml:space="preserve">6.1. Lean Manufacturing y herramientas de calidad (mejora continua + análisis de causa raíz)</w:t>
      </w:r>
    </w:p>
    <w:p>
      <w:pPr>
        <w:spacing w:after="120"/>
      </w:pPr>
      <w:r>
        <w:rPr>
          <w:b w:val="false"/>
          <w:bCs w:val="false"/>
          <w:i/>
          <w:iCs/>
          <w:color w:val="6B7280"/>
          <w:sz w:val="19"/>
          <w:szCs w:val="19"/>
        </w:rPr>
        <w:t xml:space="preserve">Proceso: Producción   |   Necesidad detectada: Necesidad de reducir reprocesos y desperdicios; mayor control de calidad en los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Incrementar la eficiencia operacional y reducir reclamaciones y errores en los procesos de producción.</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Fundamentos de Lean Manufacturing: desperdicios y mejora continua (Kaizen)</w:t>
            </w:r>
          </w:p>
          <w:p>
            <w:pPr>
              <w:spacing w:after="40"/>
            </w:pPr>
            <w:r>
              <w:rPr>
                <w:sz w:val="19"/>
                <w:szCs w:val="19"/>
              </w:rPr>
              <w:t xml:space="preserve">Herramientas de calidad: 5 porqués, espina de pescado, control estadístico básico</w:t>
            </w:r>
          </w:p>
          <w:p>
            <w:pPr>
              <w:spacing w:after="40"/>
            </w:pPr>
            <w:r>
              <w:rPr>
                <w:sz w:val="19"/>
                <w:szCs w:val="19"/>
              </w:rPr>
              <w:t xml:space="preserve">Ejercicio de mejora continua sobre un proceso real de la planta</w:t>
            </w:r>
          </w:p>
          <w:p>
            <w:pPr>
              <w:spacing w:after="40"/>
            </w:pPr>
            <w:r>
              <w:rPr>
                <w:sz w:val="19"/>
                <w:szCs w:val="19"/>
              </w:rPr>
              <w:t xml:space="preserve">Plan de seguimiento a las mejoras identificadas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Producción.</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de 16 horas en 2 módulos, presencial en planta.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Fusiona "Lean Manufacturing y mejora continua" y "Herramientas de calidad y análisis de causa raíz" — el análisis de causa raíz ES una herramienta Lean, así que separarlas en dos capacitaciones distintas fragmenta un mismo cuerpo de conocimiento. Además, comparte metodología con el módulo 1.4 de la Escuela de Líderes ("Análisis y gestión de problemas"): se puede negociar con el mismo proveedor un descuento por dictar ambos programas.</w:t>
            </w:r>
          </w:p>
        </w:tc>
      </w:tr>
    </w:tbl>
    <w:p>
      <w:pPr>
        <w:spacing w:after="200"/>
      </w:pPr>
      <w:r>
        <w:rPr>
          <w:b w:val="false"/>
          <w:bCs w:val="false"/>
          <w:i w:val="false"/>
          <w:iCs w:val="false"/>
          <w:sz w:val="21"/>
          <w:szCs w:val="21"/>
        </w:rPr>
        <w:t xml:space="preserve"/>
      </w:r>
    </w:p>
    <w:p>
      <w:pPr>
        <w:pStyle w:val="Heading2"/>
        <w:spacing w:after="150" w:before="300"/>
      </w:pPr>
      <w:r>
        <w:t xml:space="preserve">Programa 7 — Ciclo Comercial</w:t>
      </w:r>
    </w:p>
    <w:p>
      <w:pPr>
        <w:spacing w:after="120" w:before="240"/>
      </w:pPr>
      <w:r>
        <w:rPr>
          <w:b/>
          <w:bCs/>
          <w:color w:val="7C3AED"/>
          <w:sz w:val="24"/>
          <w:szCs w:val="24"/>
        </w:rPr>
        <w:t xml:space="preserve">7.1. Ciclo comercial: de la negociación a la fidelización (negociación consultiva + servicio y experiencia del cliente)</w:t>
      </w:r>
    </w:p>
    <w:p>
      <w:pPr>
        <w:spacing w:after="120"/>
      </w:pPr>
      <w:r>
        <w:rPr>
          <w:b w:val="false"/>
          <w:bCs w:val="false"/>
          <w:i/>
          <w:iCs/>
          <w:color w:val="6B7280"/>
          <w:sz w:val="19"/>
          <w:szCs w:val="19"/>
        </w:rPr>
        <w:t xml:space="preserve">Proceso: Comercial   |   Necesidad detectada: Mejorar el cierre de negocios y negociación; mayor fidelización de clientes.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Incrementar la conversión de ventas y mejorar la satisfacción y recompra de los clientes.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Negociación consultiva: entender la necesidad antes de ofrecer</w:t>
            </w:r>
          </w:p>
          <w:p>
            <w:pPr>
              <w:spacing w:after="40"/>
            </w:pPr>
            <w:r>
              <w:rPr>
                <w:sz w:val="19"/>
                <w:szCs w:val="19"/>
              </w:rPr>
              <w:t xml:space="preserve">Manejo de objeciones frecuentes del sector</w:t>
            </w:r>
          </w:p>
          <w:p>
            <w:pPr>
              <w:spacing w:after="40"/>
            </w:pPr>
            <w:r>
              <w:rPr>
                <w:sz w:val="19"/>
                <w:szCs w:val="19"/>
              </w:rPr>
              <w:t xml:space="preserve">Servicio al cliente y experiencia post-venta</w:t>
            </w:r>
          </w:p>
          <w:p>
            <w:pPr>
              <w:spacing w:after="40"/>
            </w:pPr>
            <w:r>
              <w:rPr>
                <w:sz w:val="19"/>
                <w:szCs w:val="19"/>
              </w:rPr>
              <w:t xml:space="preserve">Simulacros de negociación y de atención a casos difíciles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Asesores comerciales y equipo de Servicio al Cliente.</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Programa de 12 horas en 2 módulos, presencial.</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Fusiona "Negociación consultiva y manejo de objeciones" y "Servicio al cliente y experiencia del cliente" — son las dos caras de la relación comercial (antes y después del cierre) y comparten la misma audiencia; se dictan mejor como un solo programa secuencial.</w:t>
            </w:r>
          </w:p>
        </w:tc>
      </w:tr>
    </w:tbl>
    <w:p>
      <w:pPr>
        <w:spacing w:after="200"/>
      </w:pPr>
      <w:r>
        <w:rPr>
          <w:b w:val="false"/>
          <w:bCs w:val="false"/>
          <w:i w:val="false"/>
          <w:iCs w:val="false"/>
          <w:sz w:val="21"/>
          <w:szCs w:val="21"/>
        </w:rPr>
        <w:t xml:space="preserve"/>
      </w:r>
    </w:p>
    <w:p>
      <w:pPr>
        <w:pStyle w:val="Heading2"/>
        <w:spacing w:after="150" w:before="300"/>
      </w:pPr>
      <w:r>
        <w:t xml:space="preserve">Programa 8 — Gestión del cambio (transversal)</w:t>
      </w:r>
    </w:p>
    <w:p>
      <w:pPr>
        <w:spacing w:after="120"/>
      </w:pPr>
      <w:r>
        <w:rPr>
          <w:b w:val="false"/>
          <w:bCs w:val="false"/>
          <w:i/>
          <w:iCs/>
          <w:color w:val="6B7280"/>
          <w:sz w:val="21"/>
          <w:szCs w:val="21"/>
        </w:rPr>
        <w:t xml:space="preserve">Este programa existe porque el cambio actual (nueva gerencia, nuevas normativas y controles) no solo lo viven los líderes — lo vive toda la organización. Sensibilizar a todo el personal reduce el riesgo de que la transición se perciba como algo impuesto desde arriba y facilita la adopción real de los nuevos controles y normativas que se están estableciendo.</w:t>
      </w:r>
    </w:p>
    <w:p>
      <w:pPr>
        <w:spacing w:after="120" w:before="240"/>
      </w:pPr>
      <w:r>
        <w:rPr>
          <w:b/>
          <w:bCs/>
          <w:color w:val="7C3AED"/>
          <w:sz w:val="24"/>
          <w:szCs w:val="24"/>
        </w:rPr>
        <w:t xml:space="preserve">8.1. Gestión del cambio para todo el personal (sensibilización)</w:t>
      </w:r>
    </w:p>
    <w:p>
      <w:pPr>
        <w:spacing w:after="120"/>
      </w:pPr>
      <w:r>
        <w:rPr>
          <w:b w:val="false"/>
          <w:bCs w:val="false"/>
          <w:i/>
          <w:iCs/>
          <w:color w:val="6B7280"/>
          <w:sz w:val="19"/>
          <w:szCs w:val="19"/>
        </w:rPr>
        <w:t xml:space="preserve">Proceso: Transversal (solicitud explícita)   |   Necesidad detectada: La empresa está fortaleciendo varios procesos a la vez; el personal que no lidera equipos también necesita entender y adoptar los cambios, no solo quien los dirige.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Objetivo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Que cada colaborador entienda por qué está cambiando algo, qué se espera de él o ella, y a quién acudir con dudas — reduciendo la resistencia natural al cambio.</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Contenido temático</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pPr>
              <w:spacing w:after="40"/>
            </w:pPr>
            <w:r>
              <w:rPr>
                <w:sz w:val="19"/>
                <w:szCs w:val="19"/>
              </w:rPr>
              <w:t xml:space="preserve">Qué está cambiando en la empresa y por qué (contexto, no teoría)</w:t>
            </w:r>
          </w:p>
          <w:p>
            <w:pPr>
              <w:spacing w:after="40"/>
            </w:pPr>
            <w:r>
              <w:rPr>
                <w:sz w:val="19"/>
                <w:szCs w:val="19"/>
              </w:rPr>
              <w:t xml:space="preserve">Qué se espera de cada persona frente al cambio</w:t>
            </w:r>
          </w:p>
          <w:p>
            <w:pPr>
              <w:spacing w:after="40"/>
            </w:pPr>
            <w:r>
              <w:rPr>
                <w:sz w:val="19"/>
                <w:szCs w:val="19"/>
              </w:rPr>
              <w:t xml:space="preserve">Canales para resolver dudas y dar retroalimentación</w:t>
            </w:r>
          </w:p>
          <w:p>
            <w:pPr>
              <w:spacing w:after="40"/>
            </w:pPr>
            <w:r>
              <w:rPr>
                <w:sz w:val="19"/>
                <w:szCs w:val="19"/>
              </w:rPr>
              <w:t xml:space="preserve">Cierre con preguntas abiertas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Dirigido 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Todo el personal (no líderes).</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Modalidad y duración sugerida</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Sensibilización corta, 2 horas, presencial o virtual, en grupos por área.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Prioridad</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Media</w:t>
            </w:r>
          </w:p>
        </w:tc>
      </w:tr>
      <w:tr>
        <w:tc>
          <w:tcPr>
            <w:tcW w:type="pct" w:w="25%"/>
            <w:tcBorders>
              <w:top w:val="single" w:color="D1D5DB" w:sz="2"/>
              <w:left w:val="single" w:color="D1D5DB" w:sz="2"/>
              <w:bottom w:val="single" w:color="D1D5DB" w:sz="2"/>
              <w:right w:val="single" w:color="D1D5DB" w:sz="2"/>
            </w:tcBorders>
            <w:shd w:fill="EDE9FE" w:val="clear"/>
            <w:tcMar>
              <w:top w:type="dxa" w:w="80"/>
              <w:left w:type="dxa" w:w="100"/>
              <w:bottom w:type="dxa" w:w="80"/>
              <w:right w:type="dxa" w:w="100"/>
            </w:tcMar>
            <w:vAlign w:val="center"/>
          </w:tcPr>
          <w:p>
            <w:r>
              <w:rPr>
                <w:b/>
                <w:bCs/>
                <w:sz w:val="19"/>
                <w:szCs w:val="19"/>
              </w:rPr>
              <w:t xml:space="preserve">Se puede "amarrar" con</w:t>
            </w:r>
          </w:p>
        </w:tc>
        <w:tc>
          <w:tcPr>
            <w:tcW w:type="pct" w:w="75%"/>
            <w:tcBorders>
              <w:top w:val="single" w:color="D1D5DB" w:sz="2"/>
              <w:left w:val="single" w:color="D1D5DB" w:sz="2"/>
              <w:bottom w:val="single" w:color="D1D5DB" w:sz="2"/>
              <w:right w:val="single" w:color="D1D5DB" w:sz="2"/>
            </w:tcBorders>
            <w:tcMar>
              <w:top w:type="dxa" w:w="80"/>
              <w:left w:type="dxa" w:w="100"/>
              <w:bottom w:type="dxa" w:w="80"/>
              <w:right w:type="dxa" w:w="100"/>
            </w:tcMar>
            <w:vAlign w:val="center"/>
          </w:tcPr>
          <w:p>
            <w:r>
              <w:rPr>
                <w:sz w:val="19"/>
                <w:szCs w:val="19"/>
              </w:rPr>
              <w:t xml:space="preserve">Se recomienda dictarla como apertura ("kickoff") de cualquier iniciativa nueva grande, por ejemplo antes de terminar de implementar CirculoCrecimiento con todos los colaboradores. Es intencionalmente más corta y menos profunda que el módulo 1.3 para líderes, porque el rol de un no líder frente al cambio es distinto: entender y adoptar, no conducir.</w:t>
            </w:r>
          </w:p>
        </w:tc>
      </w:tr>
    </w:tbl>
    <w:p>
      <w:pPr>
        <w:spacing w:after="200"/>
      </w:pPr>
      <w:r>
        <w:rPr>
          <w:b w:val="false"/>
          <w:bCs w:val="false"/>
          <w:i w:val="false"/>
          <w:iCs w:val="false"/>
          <w:sz w:val="21"/>
          <w:szCs w:val="21"/>
        </w:rPr>
        <w:t xml:space="preserve"/>
      </w:r>
    </w:p>
    <w:p>
      <w:r>
        <w:br w:type="page"/>
      </w:r>
    </w:p>
    <w:p>
      <w:pPr>
        <w:pStyle w:val="Heading1"/>
        <w:spacing w:after="200" w:before="400"/>
      </w:pPr>
      <w:r>
        <w:t xml:space="preserve">5. Secuencia sugerida</w:t>
      </w:r>
    </w:p>
    <w:p>
      <w:pPr>
        <w:spacing w:after="120"/>
      </w:pPr>
      <w:r>
        <w:rPr>
          <w:b w:val="false"/>
          <w:bCs w:val="false"/>
          <w:i w:val="false"/>
          <w:iCs w:val="false"/>
          <w:sz w:val="21"/>
          <w:szCs w:val="21"/>
        </w:rPr>
        <w:t xml:space="preserve">Sugerencia de orden, pensada para que los programas se refuercen entre sí y para repartir la carga a lo largo del año:</w:t>
      </w:r>
    </w:p>
    <w:p>
      <w:pPr>
        <w:pStyle w:val="ListParagraph"/>
        <w:numPr>
          <w:ilvl w:val="0"/>
          <w:numId w:val="1"/>
        </w:numPr>
        <w:spacing w:after="60"/>
      </w:pPr>
      <w:r>
        <w:t xml:space="preserve">Primero: Programa 8 (sensibilización de gestión del cambio) — abre el año y prepara al personal para todo lo que viene, incluida la adopción de CirculoCrecimiento.</w:t>
      </w:r>
    </w:p>
    <w:p>
      <w:pPr>
        <w:pStyle w:val="ListParagraph"/>
        <w:numPr>
          <w:ilvl w:val="0"/>
          <w:numId w:val="1"/>
        </w:numPr>
        <w:spacing w:after="60"/>
      </w:pPr>
      <w:r>
        <w:t xml:space="preserve">Segundo: Programa 1 (Escuela de Líderes) — se prioriza porque los líderes necesitan las herramientas (KPIs, gestión del cambio, análisis de problemas) antes de que se les pida usarlas con sus equipos.</w:t>
      </w:r>
    </w:p>
    <w:p>
      <w:pPr>
        <w:pStyle w:val="ListParagraph"/>
        <w:numPr>
          <w:ilvl w:val="0"/>
          <w:numId w:val="1"/>
        </w:numPr>
        <w:spacing w:after="60"/>
      </w:pPr>
      <w:r>
        <w:t xml:space="preserve">En paralelo: Programa 3 (Gestión Humana Legal y Atracción de Talento) y Programa 4.1 (actualización tributaria) — son temas de cumplimiento normativo, no dependen de los demás y conviene resolverlos temprano.</w:t>
      </w:r>
    </w:p>
    <w:p>
      <w:pPr>
        <w:pStyle w:val="ListParagraph"/>
        <w:numPr>
          <w:ilvl w:val="0"/>
          <w:numId w:val="1"/>
        </w:numPr>
        <w:spacing w:after="60"/>
      </w:pPr>
      <w:r>
        <w:t xml:space="preserve">Tercer bloque: Programa 2 (Productividad y Transformación Digital) — se apoya en lo aprendido en KPIs (Programa 1) para que el tablero en Excel/Power BI tenga sentido inmediato.</w:t>
      </w:r>
    </w:p>
    <w:p>
      <w:pPr>
        <w:pStyle w:val="ListParagraph"/>
        <w:numPr>
          <w:ilvl w:val="0"/>
          <w:numId w:val="1"/>
        </w:numPr>
        <w:spacing w:after="60"/>
      </w:pPr>
      <w:r>
        <w:t xml:space="preserve">Cuarto bloque: Programas 5 y 6 (Inventarios y Producción) — pueden coordinarse en la misma época del año por compartir instructor/metodología con el módulo 1.4 de líderes.</w:t>
      </w:r>
    </w:p>
    <w:p>
      <w:pPr>
        <w:pStyle w:val="ListParagraph"/>
        <w:numPr>
          <w:ilvl w:val="0"/>
          <w:numId w:val="1"/>
        </w:numPr>
        <w:spacing w:after="60"/>
      </w:pPr>
      <w:r>
        <w:t xml:space="preserve">Último bloque: Programa 4.2 (finanzas) y Programa 7 (comercial) — de prioridad media, se ubican al cierre para no competir por agenda con los de prioridad alta.</w:t>
      </w:r>
    </w:p>
    <w:p>
      <w:pPr>
        <w:pStyle w:val="Heading1"/>
        <w:spacing w:after="200" w:before="400"/>
      </w:pPr>
      <w:r>
        <w:t xml:space="preserve">6. Acompañamiento formacional: sostener el aprendizaje en el tiempo</w:t>
      </w:r>
    </w:p>
    <w:p>
      <w:pPr>
        <w:spacing w:after="120"/>
      </w:pPr>
      <w:r>
        <w:rPr>
          <w:b w:val="false"/>
          <w:bCs w:val="false"/>
          <w:i w:val="false"/>
          <w:iCs w:val="false"/>
          <w:sz w:val="21"/>
          <w:szCs w:val="21"/>
        </w:rPr>
        <w:t xml:space="preserve">Parte de la transición que vive la empresa es apostar por más acompañamiento, no solo por más capacitación puntual. Una sesión aislada, por buena que sea, se olvida en semanas si nadie le hace seguimiento. Se propone que cada uno de los 8 programas incluya, además de las horas de formación ya descritas, tres elementos livianos de acompañamiento:</w:t>
      </w:r>
    </w:p>
    <w:p>
      <w:pPr>
        <w:pStyle w:val="ListParagraph"/>
        <w:numPr>
          <w:ilvl w:val="0"/>
          <w:numId w:val="1"/>
        </w:numPr>
        <w:spacing w:after="60"/>
      </w:pPr>
      <w:r>
        <w:t xml:space="preserve">Sesión de seguimiento (2 horas, 4 a 6 semanas después del programa): se revisa qué se aplicó, qué obstáculos aparecieron y se ajusta el plan de acción individual que quedó de la capacitación — no es una repetición del contenido, es una revisión de la aplicación real.</w:t>
      </w:r>
    </w:p>
    <w:p>
      <w:pPr>
        <w:pStyle w:val="ListParagraph"/>
        <w:numPr>
          <w:ilvl w:val="0"/>
          <w:numId w:val="1"/>
        </w:numPr>
        <w:spacing w:after="60"/>
      </w:pPr>
      <w:r>
        <w:t xml:space="preserve">Persona de referencia interna por programa: alguien de la propia empresa (no necesariamente del área de Talento Humano) que ya domina el tema y queda disponible para consultas informales entre sesiones — por ejemplo, un líder que ya maneja bien su tablero de KPIs puede ser el punto de consulta de otro líder que apenas está aplicándolo.</w:t>
      </w:r>
    </w:p>
    <w:p>
      <w:pPr>
        <w:pStyle w:val="ListParagraph"/>
        <w:numPr>
          <w:ilvl w:val="0"/>
          <w:numId w:val="1"/>
        </w:numPr>
        <w:spacing w:after="60"/>
      </w:pPr>
      <w:r>
        <w:t xml:space="preserve">Indicador simple de adopción, no solo de asistencia: en vez de medir únicamente "cuántas personas asistieron", medir si el conocimiento se está usando — ej. % de líderes que ya tiene su tablero de KPIs armado, o número de auditorías de inventario realizadas con el nuevo método, no solo si la persona firmó la lista de asistencia.</w:t>
      </w:r>
    </w:p>
    <w:p>
      <w:pPr>
        <w:spacing w:after="120"/>
      </w:pPr>
      <w:r>
        <w:rPr>
          <w:b w:val="false"/>
          <w:bCs w:val="false"/>
          <w:i w:val="false"/>
          <w:iCs w:val="false"/>
          <w:sz w:val="21"/>
          <w:szCs w:val="21"/>
        </w:rPr>
        <w:t xml:space="preserve">Este acompañamiento es especialmente importante en el Programa 1 (Escuela de Líderes) y el Programa 8 (gestión del cambio): son los que sostienen la transición de liderazgo y de cultura, y por eso su valor no está solo en la sesión, sino en que el nuevo estilo de liderar y las nuevas normativas realmente se instalen en el día a día.</w:t>
      </w:r>
    </w:p>
    <w:p>
      <w:pPr>
        <w:pStyle w:val="Heading1"/>
        <w:spacing w:after="200" w:before="400"/>
      </w:pPr>
      <w:r>
        <w:t xml:space="preserve">7. Respuesta directa a la inquietud de Talento Humano</w:t>
      </w:r>
    </w:p>
    <w:p>
      <w:pPr>
        <w:spacing w:after="120"/>
      </w:pPr>
      <w:r>
        <w:rPr>
          <w:b w:val="false"/>
          <w:bCs w:val="false"/>
          <w:i w:val="false"/>
          <w:iCs w:val="false"/>
          <w:sz w:val="21"/>
          <w:szCs w:val="21"/>
        </w:rPr>
        <w:t xml:space="preserve">"Hay muchos temas que abordar y no queremos llenarnos de capacitaciones — ¿hay algunas que se puedan amarrar con otras?"</w:t>
      </w:r>
    </w:p>
    <w:p>
      <w:pPr>
        <w:spacing w:after="120"/>
      </w:pPr>
      <w:r>
        <w:rPr>
          <w:b w:val="false"/>
          <w:bCs w:val="false"/>
          <w:i w:val="false"/>
          <w:iCs w:val="false"/>
          <w:sz w:val="21"/>
          <w:szCs w:val="21"/>
        </w:rPr>
        <w:t xml:space="preserve">Sí. De los 21 temas identificados (18 del diagnóstico original + 3 solicitados: gestión del cambio para líderes, gestión del cambio para todo el personal, y análisis y gestión de problemas), se identificaron 3 fusiones directas por ser prácticamente el mismo contenido con la misma audiencia:</w:t>
      </w:r>
    </w:p>
    <w:p>
      <w:pPr>
        <w:pStyle w:val="ListParagraph"/>
        <w:numPr>
          <w:ilvl w:val="0"/>
          <w:numId w:val="1"/>
        </w:numPr>
        <w:spacing w:after="60"/>
      </w:pPr>
      <w:r>
        <w:t xml:space="preserve">IA aplicada al trabajo + Excel avanzado/Power BI + Microsoft 365/automatización → un solo programa de 4 sesiones (Programa 2.2). Es la fusión más clara: los tres ítems del Excel original describen, con palabras distintas, la misma necesidad de productividad digital.</w:t>
      </w:r>
    </w:p>
    <w:p>
      <w:pPr>
        <w:pStyle w:val="ListParagraph"/>
        <w:numPr>
          <w:ilvl w:val="0"/>
          <w:numId w:val="1"/>
        </w:numPr>
        <w:spacing w:after="60"/>
      </w:pPr>
      <w:r>
        <w:t xml:space="preserve">Auditoría de inventarios + Buenas prácticas en administración de inventarios → un solo programa (5.1), porque ambos apuntan a la misma competencia: confiabilidad y trazabilidad del inventario.</w:t>
      </w:r>
    </w:p>
    <w:p>
      <w:pPr>
        <w:pStyle w:val="ListParagraph"/>
        <w:numPr>
          <w:ilvl w:val="0"/>
          <w:numId w:val="1"/>
        </w:numPr>
        <w:spacing w:after="60"/>
      </w:pPr>
      <w:r>
        <w:t xml:space="preserve">Selección por competencias + Tendencias en reclutamiento y marca empleadora → un solo programa en 2 módulos (3.2), por ser etapas consecutivas del mismo proceso de atracción de talento.</w:t>
      </w:r>
    </w:p>
    <w:p>
      <w:pPr>
        <w:spacing w:after="120"/>
      </w:pPr>
      <w:r>
        <w:rPr>
          <w:b w:val="false"/>
          <w:bCs w:val="false"/>
          <w:i w:val="false"/>
          <w:iCs w:val="false"/>
          <w:sz w:val="21"/>
          <w:szCs w:val="21"/>
        </w:rPr>
        <w:t xml:space="preserve">Además, "definición y manejo de KPIs para líderes" ya estaba cubierto por el tema original "Gestión por indicadores (KPIs) y toma de decisiones" — no se sumó como capacitación nueva, solo se dejó explícito que el contenido debe incluir la parte de definición, no solo de seguimiento.</w:t>
      </w:r>
    </w:p>
    <w:p>
      <w:pPr>
        <w:spacing w:after="120"/>
      </w:pPr>
      <w:r>
        <w:rPr>
          <w:b w:val="false"/>
          <w:bCs w:val="false"/>
          <w:i w:val="false"/>
          <w:iCs w:val="false"/>
          <w:sz w:val="21"/>
          <w:szCs w:val="21"/>
        </w:rPr>
        <w:t xml:space="preserve">Por último, "Análisis y gestión de problemas" para líderes comparte metodología con "Herramientas de calidad y análisis de causa raíz" de Producción — se pueden contratar con el mismo proveedor para dictar ambas versiones (una de gestión general para líderes, otra más técnica para producción), lo que puede reducir el costo por volumen.</w:t>
      </w:r>
    </w:p>
    <w:p>
      <w:pPr>
        <w:spacing w:after="120"/>
      </w:pPr>
      <w:r>
        <w:rPr>
          <w:b w:val="false"/>
          <w:bCs w:val="false"/>
          <w:i w:val="false"/>
          <w:iCs w:val="false"/>
          <w:sz w:val="21"/>
          <w:szCs w:val="21"/>
        </w:rPr>
        <w:t xml:space="preserve">Con estas fusiones, el número real de eventos de capacitación que Talento Humano tiene que agendar y coordinar baja de 21 a 8 — sin dejar ningún tema del diagnóstico original por fuera, y sí incorporando lo que se pidió de forma explícita.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2026-07-25T03:19:04.009Z</dcterms:created>
  <dcterms:modified xsi:type="dcterms:W3CDTF">2026-07-25T03:19:04.009Z</dcterms:modified>
</cp:coreProperties>
</file>

<file path=docProps/custom.xml><?xml version="1.0" encoding="utf-8"?>
<Properties xmlns="http://schemas.openxmlformats.org/officeDocument/2006/custom-properties" xmlns:vt="http://schemas.openxmlformats.org/officeDocument/2006/docPropsVTypes"/>
</file>